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right="2220" w:firstLine="8"/>
        <w:spacing w:after="0" w:line="32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1" w:lineRule="exact"/>
        <w:rPr>
          <w:rFonts w:ascii="MS PGothic" w:cs="MS PGothic" w:eastAsia="MS PGothic" w:hAnsi="MS PGothic"/>
          <w:sz w:val="18"/>
          <w:szCs w:val="18"/>
          <w:color w:val="auto"/>
        </w:rPr>
      </w:pPr>
    </w:p>
    <w:p>
      <w:pPr>
        <w:ind w:right="2200"/>
        <w:spacing w:after="0" w:line="293"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001-37468</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AppFolio,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286" w:lineRule="exact"/>
        <w:rPr>
          <w:sz w:val="24"/>
          <w:szCs w:val="24"/>
          <w:color w:val="auto"/>
        </w:rPr>
      </w:pPr>
    </w:p>
    <w:tbl>
      <w:tblPr>
        <w:tblLayout w:type="fixed"/>
        <w:tblInd w:w="1360" w:type="dxa"/>
        <w:tblCellMar>
          <w:top w:w="0" w:type="dxa"/>
          <w:left w:w="0" w:type="dxa"/>
          <w:bottom w:w="0" w:type="dxa"/>
          <w:right w:w="0" w:type="dxa"/>
        </w:tblCellMar>
      </w:tblPr>
      <w:tr>
        <w:trPr>
          <w:trHeight w:val="230"/>
        </w:trPr>
        <w:tc>
          <w:tcPr>
            <w:tcW w:w="43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26-0359894</w:t>
            </w:r>
          </w:p>
        </w:tc>
      </w:tr>
      <w:tr>
        <w:trPr>
          <w:trHeight w:val="238"/>
        </w:trPr>
        <w:tc>
          <w:tcPr>
            <w:tcW w:w="430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of incorporation or organization)</w:t>
            </w:r>
          </w:p>
        </w:tc>
        <w:tc>
          <w:tcPr>
            <w:tcW w:w="40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i w:val="1"/>
                <w:iCs w:val="1"/>
                <w:color w:val="auto"/>
              </w:rPr>
              <w:t>(I.R.S. Employer Identification No.)</w:t>
            </w:r>
          </w:p>
        </w:tc>
      </w:tr>
      <w:tr>
        <w:trPr>
          <w:trHeight w:val="477"/>
        </w:trPr>
        <w:tc>
          <w:tcPr>
            <w:tcW w:w="43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rPr>
              <w:t>70 Castilian Drive</w:t>
            </w:r>
          </w:p>
        </w:tc>
        <w:tc>
          <w:tcPr>
            <w:tcW w:w="40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93117</w:t>
            </w: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Santa Barbara, California</w:t>
            </w:r>
          </w:p>
        </w:tc>
        <w:tc>
          <w:tcPr>
            <w:tcW w:w="4040" w:type="dxa"/>
            <w:vAlign w:val="bottom"/>
          </w:tcPr>
          <w:p>
            <w:pPr>
              <w:spacing w:after="0"/>
              <w:rPr>
                <w:sz w:val="19"/>
                <w:szCs w:val="19"/>
                <w:color w:val="auto"/>
              </w:rPr>
            </w:pPr>
          </w:p>
        </w:tc>
      </w:tr>
      <w:tr>
        <w:trPr>
          <w:trHeight w:val="238"/>
        </w:trPr>
        <w:tc>
          <w:tcPr>
            <w:tcW w:w="43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i w:val="1"/>
                <w:iCs w:val="1"/>
                <w:color w:val="auto"/>
                <w:w w:val="99"/>
              </w:rPr>
              <w:t>(Address of principal executive offices)</w:t>
            </w:r>
          </w:p>
        </w:tc>
        <w:tc>
          <w:tcPr>
            <w:tcW w:w="40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bl>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(805) 364-6093</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(Registrant’s telephone number, including area code)</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(Former name, former address and former fiscal year, if changed since last report)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8"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81"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309" w:lineRule="exact"/>
        <w:rPr>
          <w:sz w:val="24"/>
          <w:szCs w:val="24"/>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As of October 17, 2024, the number of shares of the registrant’s Class A common stock outstanding was 23,079,878 and the number of shares of the registrant’s Class B common stock outstanding was 13,253,438.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20" w:type="dxa"/>
            <w:vAlign w:val="bottom"/>
            <w:gridSpan w:val="9"/>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5"/>
              </w:rPr>
              <w:t>Forward-Looking Statements</w:t>
            </w:r>
          </w:p>
        </w:tc>
        <w:tc>
          <w:tcPr>
            <w:tcW w:w="7940" w:type="dxa"/>
            <w:vAlign w:val="bottom"/>
            <w:gridSpan w:val="14"/>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940" w:type="dxa"/>
            <w:vAlign w:val="bottom"/>
            <w:gridSpan w:val="14"/>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w:t>
            </w:r>
          </w:p>
        </w:tc>
        <w:tc>
          <w:tcPr>
            <w:tcW w:w="2560" w:type="dxa"/>
            <w:vAlign w:val="bottom"/>
            <w:gridSpan w:val="5"/>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480" w:type="dxa"/>
            <w:vAlign w:val="bottom"/>
            <w:gridSpan w:val="2"/>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w:t>
            </w:r>
          </w:p>
        </w:tc>
        <w:tc>
          <w:tcPr>
            <w:tcW w:w="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8"/>
                <w:szCs w:val="18"/>
                <w:color w:val="0000FF"/>
                <w:w w:val="88"/>
              </w:rPr>
              <w:t>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30, 2024 and 2023</w:t>
            </w:r>
          </w:p>
        </w:tc>
        <w:tc>
          <w:tcPr>
            <w:tcW w:w="7340" w:type="dxa"/>
            <w:vAlign w:val="bottom"/>
            <w:tcBorders>
              <w:top w:val="single" w:sz="8" w:color="0000FF"/>
            </w:tcBorders>
            <w:gridSpan w:val="12"/>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2024</w:t>
            </w:r>
          </w:p>
        </w:tc>
        <w:tc>
          <w:tcPr>
            <w:tcW w:w="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8"/>
                <w:szCs w:val="18"/>
                <w:color w:val="0000FF"/>
                <w:w w:val="88"/>
              </w:rPr>
              <w:t>6</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7720" w:type="dxa"/>
            <w:vAlign w:val="bottom"/>
            <w:tcBorders>
              <w:top w:val="single" w:sz="8" w:color="0000FF"/>
            </w:tcBorders>
            <w:gridSpan w:val="13"/>
          </w:tcPr>
          <w:p>
            <w:pPr>
              <w:spacing w:after="0"/>
              <w:rPr>
                <w:sz w:val="13"/>
                <w:szCs w:val="13"/>
                <w:color w:val="auto"/>
              </w:rPr>
            </w:pPr>
          </w:p>
        </w:tc>
        <w:tc>
          <w:tcPr>
            <w:tcW w:w="480" w:type="dxa"/>
            <w:vAlign w:val="bottom"/>
            <w:gridSpan w:val="2"/>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4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Unaudited Financial Statements</w:t>
            </w:r>
          </w:p>
        </w:tc>
        <w:tc>
          <w:tcPr>
            <w:tcW w:w="1220" w:type="dxa"/>
            <w:vAlign w:val="bottom"/>
            <w:gridSpan w:val="3"/>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18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23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702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46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48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9"/>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for the fiscal quarter ended September 30, 2024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in this Quarterly Report and "Risk Factors" in our Annual Report on Form 10-K for the fiscal year ended December 31, 2023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49,509</w:t>
            </w:r>
          </w:p>
        </w:tc>
        <w:tc>
          <w:tcPr>
            <w:tcW w:w="0" w:type="dxa"/>
            <w:vAlign w:val="bottom"/>
          </w:tcPr>
          <w:p>
            <w:pPr>
              <w:spacing w:after="0"/>
              <w:rPr>
                <w:sz w:val="1"/>
                <w:szCs w:val="1"/>
                <w:color w:val="auto"/>
              </w:rPr>
            </w:pPr>
          </w:p>
        </w:tc>
      </w:tr>
      <w:tr>
        <w:trPr>
          <w:trHeight w:val="213"/>
        </w:trPr>
        <w:tc>
          <w:tcPr>
            <w:tcW w:w="7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securities—current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162,196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39,943</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272,357</w:t>
            </w:r>
          </w:p>
        </w:tc>
        <w:tc>
          <w:tcPr>
            <w:tcW w:w="0" w:type="dxa"/>
            <w:vAlign w:val="bottom"/>
          </w:tcPr>
          <w:p>
            <w:pPr>
              <w:spacing w:after="0"/>
              <w:rPr>
                <w:sz w:val="1"/>
                <w:szCs w:val="1"/>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19,285</w:t>
            </w:r>
          </w:p>
        </w:tc>
        <w:tc>
          <w:tcPr>
            <w:tcW w:w="0" w:type="dxa"/>
            <w:vAlign w:val="bottom"/>
          </w:tcPr>
          <w:p>
            <w:pPr>
              <w:spacing w:after="0"/>
              <w:rPr>
                <w:sz w:val="1"/>
                <w:szCs w:val="1"/>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 net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56,060</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0" w:type="dxa"/>
            <w:vAlign w:val="bottom"/>
          </w:tcPr>
          <w:p>
            <w:pPr>
              <w:spacing w:after="0"/>
              <w:rPr>
                <w:sz w:val="1"/>
                <w:szCs w:val="1"/>
                <w:color w:val="auto"/>
              </w:rPr>
            </w:pPr>
          </w:p>
        </w:tc>
      </w:tr>
      <w:tr>
        <w:trPr>
          <w:trHeight w:val="234"/>
        </w:trPr>
        <w:tc>
          <w:tcPr>
            <w:tcW w:w="78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523,297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408,889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expenses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35,567</w:t>
            </w:r>
          </w:p>
        </w:tc>
        <w:tc>
          <w:tcPr>
            <w:tcW w:w="0" w:type="dxa"/>
            <w:vAlign w:val="bottom"/>
          </w:tcPr>
          <w:p>
            <w:pPr>
              <w:spacing w:after="0"/>
              <w:rPr>
                <w:sz w:val="1"/>
                <w:szCs w:val="1"/>
                <w:color w:val="auto"/>
              </w:rPr>
            </w:pPr>
          </w:p>
        </w:tc>
      </w:tr>
      <w:tr>
        <w:trPr>
          <w:trHeight w:val="213"/>
        </w:trPr>
        <w:tc>
          <w:tcPr>
            <w:tcW w:w="7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21,723</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0" w:type="dxa"/>
            <w:vAlign w:val="bottom"/>
          </w:tcPr>
          <w:p>
            <w:pPr>
              <w:spacing w:after="0"/>
              <w:rPr>
                <w:sz w:val="1"/>
                <w:szCs w:val="1"/>
                <w:color w:val="auto"/>
              </w:rPr>
            </w:pPr>
          </w:p>
        </w:tc>
      </w:tr>
      <w:tr>
        <w:trPr>
          <w:trHeight w:val="207"/>
        </w:trPr>
        <w:tc>
          <w:tcPr>
            <w:tcW w:w="7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41,114</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111,577</w:t>
            </w: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236,985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187,314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85,980</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412,827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297,312</w:t>
            </w:r>
          </w:p>
        </w:tc>
        <w:tc>
          <w:tcPr>
            <w:tcW w:w="0" w:type="dxa"/>
            <w:vAlign w:val="bottom"/>
          </w:tcPr>
          <w:p>
            <w:pPr>
              <w:spacing w:after="0"/>
              <w:rPr>
                <w:sz w:val="1"/>
                <w:szCs w:val="1"/>
                <w:color w:val="auto"/>
              </w:rPr>
            </w:pPr>
          </w:p>
        </w:tc>
      </w:tr>
      <w:tr>
        <w:trPr>
          <w:trHeight w:val="235"/>
        </w:trPr>
        <w:tc>
          <w:tcPr>
            <w:tcW w:w="78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523,297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408,889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448,615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176,801</w:t>
            </w: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product development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116,517</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475,891</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233"/>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55"/>
        </w:trPr>
        <w:tc>
          <w:tcPr>
            <w:tcW w:w="4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Stock-based compensation expense included in costs and</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175"/>
        </w:trPr>
        <w:tc>
          <w:tcPr>
            <w:tcW w:w="4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7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7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r>
      <w:tr>
        <w:trPr>
          <w:trHeight w:val="27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39,932</w:t>
            </w: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unrealized gains on investment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101,710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297,312</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w:t>
            </w: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(14,086)</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38,663</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240,419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124,643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339,195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29,665</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371,412</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16,315</w:t>
            </w: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33,006</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187,314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412,827</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265,546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(35,110)</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240,569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223,025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225,953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15,508</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26,445</w:t>
            </w:r>
          </w:p>
        </w:tc>
        <w:tc>
          <w:tcPr>
            <w:tcW w:w="0" w:type="dxa"/>
            <w:vAlign w:val="bottom"/>
          </w:tcPr>
          <w:p>
            <w:pPr>
              <w:spacing w:after="0"/>
              <w:rPr>
                <w:sz w:val="1"/>
                <w:szCs w:val="1"/>
                <w:color w:val="auto"/>
              </w:rPr>
            </w:pPr>
          </w:p>
        </w:tc>
      </w:tr>
      <w:tr>
        <w:trPr>
          <w:trHeight w:val="237"/>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262,656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(27,566)</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20,115</w:t>
            </w:r>
          </w:p>
        </w:tc>
      </w:tr>
      <w:tr>
        <w:trPr>
          <w:trHeight w:val="21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w:t>
            </w:r>
          </w:p>
        </w:tc>
      </w:tr>
      <w:tr>
        <w:trPr>
          <w:trHeight w:val="21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including as amortized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w:t>
            </w: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1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r>
      <w:tr>
        <w:trPr>
          <w:trHeight w:val="21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3"/>
        </w:trPr>
        <w:tc>
          <w:tcPr>
            <w:tcW w:w="8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r>
      <w:tr>
        <w:trPr>
          <w:trHeight w:val="21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213"/>
        </w:trPr>
        <w:tc>
          <w:tcPr>
            <w:tcW w:w="84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7,990</w:t>
            </w:r>
          </w:p>
        </w:tc>
      </w:tr>
      <w:tr>
        <w:trPr>
          <w:trHeight w:val="212"/>
        </w:trPr>
        <w:tc>
          <w:tcPr>
            <w:tcW w:w="8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29,100</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(108,919)</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available-for-sale investments</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maturities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94,252</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of software development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 net of cash divested</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2"/>
        </w:trPr>
        <w:tc>
          <w:tcPr>
            <w:tcW w:w="846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(22,351)</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financing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 withholding for net share settlement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(19,766)</w:t>
            </w:r>
          </w:p>
        </w:tc>
      </w:tr>
      <w:tr>
        <w:trPr>
          <w:trHeight w:val="212"/>
        </w:trPr>
        <w:tc>
          <w:tcPr>
            <w:tcW w:w="8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(17,581)</w:t>
            </w:r>
          </w:p>
        </w:tc>
      </w:tr>
      <w:tr>
        <w:trPr>
          <w:trHeight w:val="207"/>
        </w:trPr>
        <w:tc>
          <w:tcPr>
            <w:tcW w:w="84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71,019</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60,187</w:t>
            </w:r>
          </w:p>
        </w:tc>
      </w:tr>
      <w:tr>
        <w:trPr>
          <w:trHeight w:val="21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59,937</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consolidated statements of cash flows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60,187</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included in operating cash flows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AppFolio, Inc. ("we," "us" or "our") is a leading provider of cloud business management solutions for the real estate industry. Our solutions are designed to enable our property manager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Significant Accounting Policies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1, 2024.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and nine months ended September 30, 2024 are not necessarily indicative of the results expected for the full year ending December 31, 2024.</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reclassified certain amounts in our Condensed Consolidated Statements of Cash Flows within the cash flows from operating activities section in the prior year to conform to the current year's presentation.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income (loss) per common share was the same for shares of our Class A and Class B common stock because they are entitled to the same liquidation and dividend rights and are therefore combined in the table below. The following table sets forth the computation of basic and diluted net income (loss) per common share (in thousands):</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94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undistributed earnings to participating securities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top w:val="single" w:sz="8" w:color="CCEEFF"/>
            </w:tcBorders>
            <w:gridSpan w:val="3"/>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Weighted average unvested restricted shares subject to repurchase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 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7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Weighted average dilutive options outstanding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Weighted average dilutive RSUs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are not included in the calculation of diluted net income (loss) per share because doing so would be antidilutive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32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5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8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18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0"/>
        </w:trPr>
        <w:tc>
          <w:tcPr>
            <w:tcW w:w="5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00" w:hanging="607"/>
        <w:spacing w:after="0" w:line="378" w:lineRule="auto"/>
        <w:tabs>
          <w:tab w:leader="none" w:pos="2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Securities and Fair Value Measurements </w:t>
      </w:r>
      <w:r>
        <w:rPr>
          <w:rFonts w:ascii="Times New Roman" w:cs="Times New Roman" w:eastAsia="Times New Roman" w:hAnsi="Times New Roman"/>
          <w:sz w:val="18"/>
          <w:szCs w:val="18"/>
          <w:b w:val="1"/>
          <w:bCs w:val="1"/>
          <w:i w:val="1"/>
          <w:iCs w:val="1"/>
          <w:color w:val="auto"/>
        </w:rPr>
        <w:t>Investment Securities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securities classified as available-for-sale consisted of the following as of September 30, 2024 and December 31, 2023 (in thousands):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4"/>
        </w:trPr>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September 30, 2024 or December 31, 2023.</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available-for-sale investment securities, by remaining contractual maturity, are as follows (in thousands):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298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162,196</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162,196</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we had sales and maturities of investment securities,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20" w:type="dxa"/>
            <w:vAlign w:val="bottom"/>
          </w:tcPr>
          <w:p>
            <w:pPr>
              <w:spacing w:after="0"/>
              <w:rPr>
                <w:sz w:val="11"/>
                <w:szCs w:val="11"/>
                <w:color w:val="auto"/>
              </w:rPr>
            </w:pPr>
          </w:p>
        </w:tc>
        <w:tc>
          <w:tcPr>
            <w:tcW w:w="15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00" w:type="dxa"/>
            <w:vAlign w:val="bottom"/>
          </w:tcPr>
          <w:p>
            <w:pPr>
              <w:spacing w:after="0"/>
              <w:rPr>
                <w:sz w:val="11"/>
                <w:szCs w:val="11"/>
                <w:color w:val="auto"/>
              </w:rPr>
            </w:pPr>
          </w:p>
        </w:tc>
        <w:tc>
          <w:tcPr>
            <w:tcW w:w="142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7"/>
                <w:szCs w:val="17"/>
                <w:color w:val="auto"/>
              </w:rPr>
            </w:pPr>
          </w:p>
        </w:tc>
        <w:tc>
          <w:tcPr>
            <w:tcW w:w="14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163,755</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4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20" w:type="dxa"/>
            <w:vAlign w:val="bottom"/>
          </w:tcPr>
          <w:p>
            <w:pPr>
              <w:spacing w:after="0"/>
              <w:rPr>
                <w:sz w:val="11"/>
                <w:szCs w:val="11"/>
                <w:color w:val="auto"/>
              </w:rPr>
            </w:pPr>
          </w:p>
        </w:tc>
        <w:tc>
          <w:tcPr>
            <w:tcW w:w="15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00" w:type="dxa"/>
            <w:vAlign w:val="bottom"/>
          </w:tcPr>
          <w:p>
            <w:pPr>
              <w:spacing w:after="0"/>
              <w:rPr>
                <w:sz w:val="11"/>
                <w:szCs w:val="11"/>
                <w:color w:val="auto"/>
              </w:rPr>
            </w:pPr>
          </w:p>
        </w:tc>
        <w:tc>
          <w:tcPr>
            <w:tcW w:w="1420" w:type="dxa"/>
            <w:vAlign w:val="bottom"/>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6"/>
                <w:szCs w:val="16"/>
                <w:color w:val="auto"/>
              </w:rPr>
            </w:pPr>
          </w:p>
        </w:tc>
        <w:tc>
          <w:tcPr>
            <w:tcW w:w="14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700" w:type="dxa"/>
            <w:vAlign w:val="bottom"/>
            <w:tcBorders>
              <w:top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77,755</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tables above do not include our non-marketable debt securities of $1.3 million, which are recorded in </w:t>
      </w:r>
      <w:r>
        <w:rPr>
          <w:rFonts w:ascii="Times New Roman" w:cs="Times New Roman" w:eastAsia="Times New Roman" w:hAnsi="Times New Roman"/>
          <w:sz w:val="18"/>
          <w:szCs w:val="18"/>
          <w:i w:val="1"/>
          <w:iCs w:val="1"/>
          <w:color w:val="auto"/>
        </w:rPr>
        <w:t>Other long term assets</w:t>
      </w:r>
      <w:r>
        <w:rPr>
          <w:rFonts w:ascii="Times New Roman" w:cs="Times New Roman" w:eastAsia="Times New Roman" w:hAnsi="Times New Roman"/>
          <w:sz w:val="18"/>
          <w:szCs w:val="18"/>
          <w:color w:val="auto"/>
        </w:rPr>
        <w:t xml:space="preserve"> in the Condensed Consolidated Balance Sheet as of September 30, 2024.</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our financial assets and liabilities measured at fair value on a recurring basis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by level within the fair value hierarchy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240" w:type="dxa"/>
            <w:vAlign w:val="bottom"/>
          </w:tcPr>
          <w:p>
            <w:pPr>
              <w:jc w:val="center"/>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313,658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24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4"/>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accrued liabilities approximate their fair value because of the short maturity of these items.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Capitalized Software Development Costs,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development costs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gross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Capitalized software development costs were $1.9 million and $1.6 million for the three months ended September 30, 2024 and 2023, respectively, and $4.6 million and $3.9 million for the nine months ended September 30, 2024 and 2023, respectively. Amortization expense with respect to capitalized software development costs totaled $2.9 million and $4.4 million for the three months ended September 30, 2024 and 2023, respectively, and $9.8 million and $15.2 million for the nine months ended September 30, 2024 and 2023, respectively. We disposed of fully amortized capitalized software development costs of $3.2 million and $2.8 million, during the three months ended September 30, 2024 and 2023, respectively, and $7.1 million and $6.3 million, during the nine months ended September 30, 2024 and 2023, respectively.</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amortization expense with respect to capitalized software development costs as of September 30, 2024 is estimated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4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Accrued Employee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employee expenses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14,795</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severance and related personnel cost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23"/>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employee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2023, we accrued $10.3 million of severance and related personnel costs associated with our workforce reduction. Refer to Note 12, Workforce Reduction for additional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Current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23"/>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refer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Leases.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Operating leases for our corporate offices have remaining lease terms ranging from seven years to nine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recognized in the Condensed Consolidated Statements of Operations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8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48"/>
        </w:trPr>
        <w:tc>
          <w:tcPr>
            <w:tcW w:w="4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Lease-related assets and liabilities were as follows (in thousands):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r>
      <w:tr>
        <w:trPr>
          <w:trHeight w:val="270"/>
        </w:trPr>
        <w:tc>
          <w:tcPr>
            <w:tcW w:w="7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30"/>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48"/>
        </w:trPr>
        <w:tc>
          <w:tcPr>
            <w:tcW w:w="7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2023, we entered into an amendment to the lease agreement for our San Diego facility. We remeasured the lease liability and recorded a reduction to the lease liability and right-of-use asset using the discount rate at the modification date, which resulted in a gain of $2.4 million in the Condensed Consolidated Statements of Operations.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we entered into a second amendment to reduce the rentable square footage and our future rental payment obligations under the San Diego Lease pursuant to which we made a one-time payment of $2.9 million. We again remeasured the lease liability and recorded a reduction to the lease liability using the discount rate at the modification date. As a result, we recorded a gain of $1.9 million in the Consolidated Statements of Operations.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2023, we entered into an agreement to sublet one of our office spaces in Santa Barbara through December 31, 2031 (the "Santa Barbara 90 Sublease"). The total rental commitment over the term of the Santa Barbara 90 Sublease is $6.1 million. We performed impairment testing in accordance with ASC 360, and no impairment related to the right-of-use assets was recorded for the three months ended September 30, 2023.</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September 30, 2024 were as follows (in thousands):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2"/>
        </w:trPr>
        <w:tc>
          <w:tcPr>
            <w:tcW w:w="9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w:t>
            </w:r>
          </w:p>
        </w:tc>
      </w:tr>
      <w:tr>
        <w:trPr>
          <w:trHeight w:val="22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r>
      <w:tr>
        <w:trPr>
          <w:trHeight w:val="22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41,543</w:t>
            </w:r>
          </w:p>
        </w:tc>
      </w:tr>
      <w:tr>
        <w:trPr>
          <w:trHeight w:val="20"/>
        </w:trPr>
        <w:tc>
          <w:tcPr>
            <w:tcW w:w="9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Liability to Landlord Insurance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September 30, 2024 and December 31, 2023 was $3.5 million and $4.2 million, respectively, and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our Condensed Consolidated Balance Sheets.</w:t>
      </w:r>
    </w:p>
    <w:p>
      <w:pPr>
        <w:spacing w:after="0" w:line="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as of September 30, 2024 and December 31, 2023 are $3.8 million and $5.1 million, respectively, of deposits held with a third party related to requirements to maintain collateral for this insurance service.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inquiries, legal proceedings and other disputes, if determined adversely to us, would, individually or taken together, have a material adverse effect on our business, operating results, financial condition or cash flows.</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285" w:lineRule="exact"/>
        <w:rPr>
          <w:sz w:val="20"/>
          <w:szCs w:val="20"/>
          <w:color w:val="auto"/>
        </w:rPr>
      </w:pPr>
    </w:p>
    <w:p>
      <w:pPr>
        <w:ind w:left="660" w:right="8900" w:hanging="607"/>
        <w:spacing w:after="0" w:line="400" w:lineRule="auto"/>
        <w:tabs>
          <w:tab w:leader="none" w:pos="237"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Options</w:t>
      </w: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summary of activity in connection with our stock options for the nine months ended September 30, 2024, is as follows (number of shares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182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tcPr>
          <w:p>
            <w:pPr>
              <w:jc w:val="center"/>
              <w:ind w:left="43"/>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50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1"/>
                <w:szCs w:val="11"/>
                <w:color w:val="auto"/>
              </w:rPr>
            </w:pPr>
          </w:p>
        </w:tc>
        <w:tc>
          <w:tcPr>
            <w:tcW w:w="1820" w:type="dxa"/>
            <w:vAlign w:val="bottom"/>
          </w:tcPr>
          <w:p>
            <w:pPr>
              <w:jc w:val="center"/>
              <w:ind w:left="23"/>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2"/>
                <w:szCs w:val="12"/>
                <w:color w:val="auto"/>
              </w:rPr>
            </w:pPr>
          </w:p>
        </w:tc>
        <w:tc>
          <w:tcPr>
            <w:tcW w:w="1820" w:type="dxa"/>
            <w:vAlign w:val="bottom"/>
          </w:tcPr>
          <w:p>
            <w:pPr>
              <w:jc w:val="center"/>
              <w:ind w:left="23"/>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98"/>
        </w:trPr>
        <w:tc>
          <w:tcPr>
            <w:tcW w:w="59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820" w:type="dxa"/>
            <w:vAlign w:val="bottom"/>
            <w:tcBorders>
              <w:bottom w:val="single" w:sz="8" w:color="CCEEFF"/>
            </w:tcBorders>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2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September 30, 2024</w:t>
            </w:r>
          </w:p>
        </w:tc>
        <w:tc>
          <w:tcPr>
            <w:tcW w:w="12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60" w:type="dxa"/>
            <w:vAlign w:val="bottom"/>
            <w:gridSpan w:val="2"/>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120.72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stock-based compensation expense for stock options were not material for the periods presented.</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estimated remaining stock-based compensation expense for the aforementioned stock options was $5.4 million, which is expected to be recognized over a weighted average period of 3.3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activity in connection with our restricted stock units ("RSUs") for the nine months ended September 30, 2024, is as follows (number of shares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1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Unvested RSUs as of September 30, 2024 were composed of 0.8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 at 100% of the performance target. The unvested PSUs as of September 30, 2024, are subject to vesting based on the achievement of pre-established performance metrics for the year ending December 31, 2024 and will vest over a three year period, assuming continued employment through each vesting date. The actual number of shares to be issued at the end of the performance period will range from 0% to 170% of the target number of shares depending on achievement relative to the performance metric over the applicable period.</w:t>
      </w:r>
    </w:p>
    <w:p>
      <w:pPr>
        <w:spacing w:after="0" w:line="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for the RSUs and PSUs of $15.9 million and $14.8 million for the three months ended September 30, 2024 and 2023, respectively, and $43.4 million and $39.0 million for the nine months ended September 30, 2024 and 2023, respectively. As of September 30, 2024, the total estimated remaining stock-based compensation expense for the aforementioned RSUs and PSUs was $107.2 million, which is expected to be recognized over a weighted average period of 2.1 years.</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351"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In determining the interim benefit from income taxes for the three and nine months ended September 30, 2024, we utilized the annual estimated effective tax rate applied to the actual year-to-date income and added the tax effects of any discrete items in the reporting period in which they occur. In determining the interim benefit from income taxes for the three and nine months ended September 30, 2023, we utilized the discrete effective tax rate method, as allowed by Accounting Standards Codification (“ASC”) 740-270-30-18, “Income Taxes – Interim Reporting.”</w:t>
      </w:r>
    </w:p>
    <w:p>
      <w:pPr>
        <w:spacing w:after="0" w:line="20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recorded income tax expense of $13.6 million and $21.8 million, respectively, representing an effective tax rate of 29.1% and 17.7%, respectively. For the three months ended September 30, 2024, our effective tax rate differs from the U.S. federal statutory rate of 21% primarily due to the change in valuation allowance against deferred tax assets, state income taxes and non-deductible officers' compensation partially offset by excess tax benefits from stock-based compensation. For the nine months ended September 30, 2024, our effective tax rate differs from the U.S. federal statutory rate of 21% primarily due to excess tax benefits from stock-based compensation.</w:t>
      </w:r>
    </w:p>
    <w:p>
      <w:pPr>
        <w:spacing w:after="0" w:line="2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assess our ability to realize our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a history of cumulative losses, including permanent adjustments, and assessing all available positive and negative evidence, we have determined that it is more likely than not that our federal and state deferred tax assets would not be realized. Accordingly, we have been maintaining full valuation allowance against our deferred tax assets. However, based on our current and projected future earnings, we believe that there is reasonable possibility that sufficient positive evidence of sustained profitability may be achieved during the current year to reach a conclusion that part or all of our deferred tax assets may become realizable, resulting in a possible release of all or a portion of the valuation allowance. Such valuation allowance release may result in a material increase to our deferred tax assets and a corresponding decrease in income tax expense. The exact timing and amount of the valuation allowance release are subject to our projection of earnings and level of profitability.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unrecognized tax benefits during the three and nine months ended September 30, 2024, and we do not expect to have any significant changes to unrecognized tax benefits through the remainder of the year.</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Revenue and Other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categories for the three and nine months ended September 30, 2024 and 2023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115,440</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326,108</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165,440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448,615</w:t>
            </w:r>
          </w:p>
        </w:tc>
      </w:tr>
      <w:tr>
        <w:trPr>
          <w:trHeight w:val="21"/>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is generated primarily from customers in the United States. All of our property and equipment is located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Workforce Reduction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2023, we announced a plan to reduce our workforce by 149 employees in order to scale the business more efficiently. Impacted employees were notified in August 2023. There were no workforce reductions during the three and nine months ended September 30, 2024.</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severance and related personnel costs by function, for the three and nine months ended September 30, 2023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Severance and Related Personnel</w:t>
            </w:r>
          </w:p>
        </w:tc>
      </w:tr>
      <w:tr>
        <w:trPr>
          <w:trHeight w:val="195"/>
        </w:trPr>
        <w:tc>
          <w:tcPr>
            <w:tcW w:w="8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228"/>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48"/>
        </w:trPr>
        <w:tc>
          <w:tcPr>
            <w:tcW w:w="884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8"/>
        <w:spacing w:after="0" w:line="229" w:lineRule="auto"/>
        <w:tabs>
          <w:tab w:leader="none" w:pos="19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severance and related personnel costs include $1.8 million of accelerated stock-based compensation expense recognized during the three months ended September 30, 2023.</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changes in the accrued severance and related personnel cost, within Accrued Employee Expenses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Accrued Severance and Related</w:t>
            </w:r>
          </w:p>
        </w:tc>
      </w:tr>
      <w:tr>
        <w:trPr>
          <w:trHeight w:val="196"/>
        </w:trPr>
        <w:tc>
          <w:tcPr>
            <w:tcW w:w="8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Personnel Cost</w:t>
            </w: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and related personnel cost</w:t>
            </w: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r>
      <w:tr>
        <w:trPr>
          <w:trHeight w:val="230"/>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r>
      <w:tr>
        <w:trPr>
          <w:trHeight w:val="21"/>
        </w:trPr>
        <w:tc>
          <w:tcPr>
            <w:tcW w:w="8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balance as of September 30, 2023, $7.6 million of accrued severance was paid in the fourth quarter of 2023, and the remainder was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October 22, 2024, we acquired all of the outstanding shares of Move EZ, Inc., a concierge platform providing moving and home services throughout the resident onboarding process, for approximately $80 million in cash, subject to customary adjustment.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results of operations and liquidity should be read together with our Condensed Consolidated Financial Statements and the related notes included elsewhere in this Quarterly Report and in our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technology leader powering the future of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risk mitigation services. AppFolio’s intuitive interface, coupled with streamlined and automated workflows, make it easier for our customers to eliminate redundant and manual processes so they can deliver a great experience for their network of stakeholders while improving financial and operational performance.</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Property management units under management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ability to increase our number of property management units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is an indicator of our market penetration, growth, and potential future business opportunities. We define property management units under management as active or committed units under management at the period end date. We had 8.5 million and 7.8 million property management units under management as of September 30, 2024 and 2023, respectively.</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As of September 30, 2024 and 2023, we had 20,403 and 19,418 property management customers,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(Exclusive of Depreciation and Amortization). </w:t>
      </w:r>
      <w:r>
        <w:rPr>
          <w:rFonts w:ascii="Times New Roman" w:cs="Times New Roman" w:eastAsia="Times New Roman" w:hAnsi="Times New Roman"/>
          <w:sz w:val="18"/>
          <w:szCs w:val="18"/>
          <w:color w:val="auto"/>
        </w:rPr>
        <w:t>Many of our Value Added Services are facilitated by third-party service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includes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of personnel-related costs for our employees focused on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Research and Product Development. </w:t>
      </w:r>
      <w:r>
        <w:rPr>
          <w:rFonts w:ascii="Times New Roman" w:cs="Times New Roman" w:eastAsia="Times New Roman" w:hAnsi="Times New Roman"/>
          <w:sz w:val="18"/>
          <w:szCs w:val="18"/>
          <w:color w:val="auto"/>
        </w:rPr>
        <w:t>Research and product development expense consists of personnel-related costs for our employees focused on</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product development (including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of personnel-related costs for employees in our executive,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human resources, legal, compliance, and administrative organizations (including salaries, performance-based compensation,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includes depreciation of property and equipment,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Other income (loss), net includes gains and losses associated with the sale of businesses and property and equipment.</w:t>
      </w:r>
    </w:p>
    <w:p>
      <w:pPr>
        <w:spacing w:after="0" w:line="11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net includes interest earned on investment securities, amortization and accretion of the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paid from the purchase of investment securities, and interest earned on cash deposited in our bank accounts.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 xml:space="preserve">Provision for (benefit from) income taxes. </w:t>
      </w:r>
      <w:r>
        <w:rPr>
          <w:rFonts w:ascii="Times New Roman" w:cs="Times New Roman" w:eastAsia="Times New Roman" w:hAnsi="Times New Roman"/>
          <w:sz w:val="17"/>
          <w:szCs w:val="17"/>
          <w:color w:val="auto"/>
        </w:rPr>
        <w:t>Provision for (benefit from) income taxes consists of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1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125,569</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 for the three and nine months ended September 30, 2024, compared to the same period in the prior year, was primarily attributable to an increase in the usage of our payments, tenant screening, and risk mitigation services. During the three and nine- month periods ended September 30, 2024, we also experienced growth of 9% in the number of property management units under management compared to the same periods in the prior year, which drove growth in users of our subscription and usage-based services.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payment services experienced increased usage during the comparative periods as residents and property managers transacted more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w:t>
      </w:r>
    </w:p>
    <w:p>
      <w:pPr>
        <w:spacing w:after="0" w:line="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total revenue for the year ending December 31, 2024 to increase compared to the year ended December 31, 2023 as we continue to add new customers and property management units under management, along with increased adoption and utilization of our Value Added Services.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71,631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62,739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8,892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205,878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176,801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29,077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above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3,261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356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cost of revenue (exclusive of depreciation and amortization) increased, primarily due to higher expenditures related to third-party service providers for delivering our Value Added Services, which increased by $10.4 million and $30.6 million, respectively, compared to the same period in the prior year. The increases in expenditures related to third-party service providers were (1) driven by greater adoption and utilization of our Value Added Services and (2) partially offset by decreases of $2.5 million and $2.8 million for the three and nine months ended September 30, 2024, respectively, in personnel-related costs, including stock-based and performance-based compensation. The decreases included $2.4 million in severance and related personnel costs we incurred from the workforce reduction in the third quarter of 2023.</w:t>
      </w:r>
    </w:p>
    <w:p>
      <w:pPr>
        <w:spacing w:after="0" w:line="157"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expect cost of revenue (exclusive of depreciation and amortization) for the year ending December 31, 2024, to decrease as a percentage of revenue compared to the year ended December 31, 2023, primarily due to increased revenue from eCheck transaction fees, product mix, and continued leverage from headcount efficiencies.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25,406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29,701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(4,295)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77,161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86,101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(8,940)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above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5,284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382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for the three and nine months ended September 30, 2024 decreased, compared to the same period in the prior year, primarily due to reductions of $3.7 million and $7.2 million, respectively, in personnel-related costs, including stock-based and performance-based compensation. The reductions were driven by reduced headcount and $3.8 million in severance and related personnel costs we incurred from the workforce reduction in the third quarter of 2023.</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 for the year ending December 31, 2024 to decrease as a percentage of revenue compared to the year ended December 31, 2023, as we continue to leverage headcount efficiencies.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Product Development</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40,662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41,592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(930)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118,079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116,517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1,562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7,471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6,064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1,407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19,625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96"/>
              </w:rPr>
              <w:t>15,851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3,774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product development expense decreased slightly for the three months ended September 30, 2024, compared to the same period in the prior year, primarily due to a $1.5M reduction in personnel-related costs, including stock-based and performance-based compensation. This included $3.4 million in severance and related personnel costs we incurred from the workforce reduction in the third quarter of 2023.</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product development expense increased for the nine months ended September 30, 2024, compared to the same period in the prior year, primarily due to a $3.2 million increase in allocated shared and other costs, driven by higher technology costs. This increase in allocated shared and other costs was partially offset by a $1.6 million reduction in personnel-related costs, including stock-based and performance-based compensation. This reduction included $3.4 million in severance and related personnel costs we incurred from the workforce reduction in the third quarter of 2023.</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research and product development expenses for the year ending December 31, 2024 to decrease as a percentage of revenue compared to the year ended December 31, 2023, as we continue to leverage headcount efficiencies.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gridSpan w:val="4"/>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21,139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23,907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(2,768)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62,525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74,417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(11,892)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5,367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(636)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16,133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16,274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(141)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for the three months ended September 30, 2024, compared to the same period in the prior year, primarily due to a $3.4 million reduction in personnel-related costs, including stock-based and performance-based compensation. The reduction included $2.5 million in severance and related personnel costs we incurred from the workforce reduction in the third quarter of 2023.</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decreased for the nine months ended September 30, 2024, compared to the same period in the prior year, primarily due to a $18.8 million reduction in personnel-related costs, including stock-based and performance-based compensation. which was partially offset by a $6.9 million increase in allocated shared and other costs, The decrease in personnel-related costs was primarily due to severance costs associated with our former Chief Executive Officer's separation in the first quarter of 2023 and the severance related costs we incurred from the workforce reduction in the third quarter of 2023. The increase in allocated shared and other costs was primarily due to a $4.3 million decrease in gains related to lease modifications recognized in the nine months ended September 30, 2023, and an increase in allocated shared and other costs of $2.6 million, driven by expenses to support our growth.</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for the year ending December 31, 2024 to decrease as a percentage of revenue compared to the year ended December 31, 2023, as we continue to leverage headcount efficiencies.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40" w:type="dxa"/>
            <w:vAlign w:val="bottom"/>
            <w:gridSpan w:val="3"/>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4,327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98"/>
              </w:rPr>
              <w:t>7,568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  (3,241)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14,209</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22,055</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   (7,846)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2.4 %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2024 decreased, compared to the same period in the prior year, primarily due to decreased amortization expense associated with capitalized software development and intangible balances.</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for the year ending December 31, 2024 to decrease as a percentage of revenue compared to the year ended December 31, 2023 due to a decrease in amortization of accumulated capitalized software development costs and intangible assets balances.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8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4,014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1,788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2,226</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124 %   $</w:t>
            </w:r>
          </w:p>
        </w:tc>
        <w:tc>
          <w:tcPr>
            <w:tcW w:w="9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10,482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5,855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2.0 %</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income for the three and nine months ended September 30, 2024 increased, compared to the same period in the prior year, primarily due to higher interest rates and purchases of available-for-sale investment securities.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8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(loss) before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46,582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45,110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123,168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(22,932)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146,100</w:t>
            </w:r>
          </w:p>
        </w:tc>
        <w:tc>
          <w:tcPr>
            <w:tcW w:w="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9"/>
              </w:rPr>
              <w:t>(637)%</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(benefit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13,576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(24,973)</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38,549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21,834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17,200</w:t>
            </w:r>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*Percentage not meaningful</w:t>
      </w:r>
    </w:p>
    <w:p>
      <w:pPr>
        <w:spacing w:after="0" w:line="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our effective tax rate differed from the U.S. federal statutory rate of 21% primarily due to a change in valuation allowance against deferred tax assets, state income taxes and non-deductible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officers' compensation partially offset by excess tax benefits from stock-based compensation. For the nine months ended September 30, 2024, our effective tax rate differed from the U.S. federal statutory rate of 21% primarily due to excess tax benefits from stock-based compensation. Our effective tax rates for the three and nine months ended September 30, 2023 differed from the U.S. federal statutory rate of 21% primarily due to the change in valuation allowance against deferred tax assets, non-deductible officers' compensation and state income taxes, partially offset by tax benefits from stock-based compensation research and development tax credits.</w:t>
      </w:r>
    </w:p>
    <w:p>
      <w:pPr>
        <w:spacing w:after="0" w:line="62"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September 30, 2024, as compared to the same periods in 2023, are significantly different primarily due to the substantial increase in our pre-tax income in the current year and changes in discrete tax benefits year over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continue to be cash, cash equivalents, and investment securities totaling $331.4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6"/>
              </w:rPr>
              <w:t>29,100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rPr>
              <w:t>(22,351)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rPr>
              <w:t>(17,581)</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rPr>
              <w:t>(10,832)</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increase in cash provided by operating activities for the nine months ended September 30, 2024, compared to the same period in the prior year, was primarily due to an increase in cash collections from customers.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is generally composed of purchases of investment securities, maturities of investment securities, purchases of property and equipment, and additions to capitalized software development.</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increase in cash used in investing activities for the nine months ended September 30, 2024, compared to the same period in the prior year, was primarily due to higher purchases of available-for-sale investment securities.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is generally composed of net share settlements for employee tax withholdings associated with the vesting of equity awards offset by proceeds from the exercise of stock options.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increase in cash used in financing activities for the nine months ended September 30, 2024, compared to the same period in the prior year, was primarily due to an increase in net share settlements for employee tax withholdings associated with the vesting of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described in our Annual Report that have had a material impact on our Condensed Consolidated Financial Statements and related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$269.0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September 30, 2024, a hypothetical 100 basis point decrease in interest rates would have resulted in an increase in the fair value of our investment securities of approximately $1.1 million and a hypothetical 100 basis point increase in interest rates would have resulted in a decrease in the fair value of our investment securities of approximately $1.1 million. This estimate is based on a sensitivity model which measures an instant change in interest rates by 100 basis points at September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refer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our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1, 2024. If any of the identified risks are realized, our business, financial condition, operating results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operating results and prospects. As of the date of this Quarterly Report, there have been no material changes to the risk factors previously disclosed under the section entitled "Risk Factors" in Part I, Item IA of our 2023 Annual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98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4"/>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98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5"/>
                <w:szCs w:val="15"/>
                <w:color w:val="auto"/>
              </w:rPr>
            </w:pPr>
          </w:p>
        </w:tc>
        <w:tc>
          <w:tcPr>
            <w:tcW w:w="980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or Rule 15d-14(a) promulgated under the Securities Exchange Act</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of 1934, as 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promulgated under the Securities Exchange</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1934, as amended</w:t>
            </w:r>
          </w:p>
        </w:tc>
        <w:tc>
          <w:tcPr>
            <w:tcW w:w="79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2"/>
                <w:szCs w:val="22"/>
                <w:color w:val="auto"/>
              </w:rPr>
            </w:pPr>
          </w:p>
        </w:tc>
        <w:tc>
          <w:tcPr>
            <w:tcW w:w="3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460" w:right="160" w:hanging="1164"/>
        <w:spacing w:after="0" w:line="215" w:lineRule="auto"/>
        <w:tabs>
          <w:tab w:leader="none" w:pos="14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AppFolio, Inc.</w:t>
            </w:r>
          </w:p>
        </w:tc>
      </w:tr>
      <w:tr>
        <w:trPr>
          <w:trHeight w:val="9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24, 2024</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Shane Trigg</w:t>
            </w: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Shane Trigg</w:t>
            </w:r>
          </w:p>
        </w:tc>
      </w:tr>
      <w:tr>
        <w:trPr>
          <w:trHeight w:val="230"/>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24, 2024</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Fay Sien Goon</w:t>
            </w: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 Sien Goon</w:t>
            </w:r>
          </w:p>
        </w:tc>
      </w:tr>
      <w:tr>
        <w:trPr>
          <w:trHeight w:val="229"/>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7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Trigg, certify that:</w:t>
      </w:r>
    </w:p>
    <w:p>
      <w:pPr>
        <w:spacing w:after="0" w:line="144" w:lineRule="exact"/>
        <w:rPr>
          <w:sz w:val="20"/>
          <w:szCs w:val="20"/>
          <w:color w:val="auto"/>
        </w:rPr>
      </w:pPr>
    </w:p>
    <w:p>
      <w:pPr>
        <w:ind w:left="1100" w:hanging="1074"/>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280" w:right="420" w:hanging="519"/>
        <w:spacing w:after="0" w:line="231" w:lineRule="auto"/>
        <w:tabs>
          <w:tab w:leader="none" w:pos="22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26" w:lineRule="auto"/>
        <w:tabs>
          <w:tab w:leader="none" w:pos="22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260" w:right="20" w:hanging="520"/>
        <w:spacing w:after="0" w:line="226" w:lineRule="auto"/>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2260" w:right="20" w:hanging="520"/>
        <w:spacing w:after="0" w:line="250" w:lineRule="auto"/>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700" w:val="left"/>
          <w:tab w:leader="none" w:pos="5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24, 2024</w:t>
      </w:r>
      <w:r>
        <w:rPr>
          <w:sz w:val="20"/>
          <w:szCs w:val="20"/>
          <w:color w:val="auto"/>
        </w:rPr>
        <w:tab/>
      </w:r>
      <w:r>
        <w:rPr>
          <w:rFonts w:ascii="Times New Roman" w:cs="Times New Roman" w:eastAsia="Times New Roman" w:hAnsi="Times New Roman"/>
          <w:sz w:val="17"/>
          <w:szCs w:val="17"/>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Shane Trigg</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Fay Sien Goon, certify that:</w:t>
      </w:r>
    </w:p>
    <w:p>
      <w:pPr>
        <w:spacing w:after="0" w:line="144" w:lineRule="exact"/>
        <w:rPr>
          <w:sz w:val="20"/>
          <w:szCs w:val="20"/>
          <w:color w:val="auto"/>
        </w:rPr>
      </w:pPr>
    </w:p>
    <w:p>
      <w:pPr>
        <w:ind w:left="1120" w:hanging="1094"/>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92"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300" w:right="420" w:hanging="573"/>
        <w:spacing w:after="0" w:line="247" w:lineRule="auto"/>
        <w:tabs>
          <w:tab w:leader="none" w:pos="23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jc w:val="both"/>
        <w:ind w:left="2300" w:right="20" w:hanging="560"/>
        <w:spacing w:after="0" w:line="226" w:lineRule="auto"/>
        <w:tabs>
          <w:tab w:leader="none" w:pos="2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400" w:right="20" w:hanging="646"/>
        <w:spacing w:after="0" w:line="226" w:lineRule="auto"/>
        <w:tabs>
          <w:tab w:leader="none" w:pos="24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sz w:val="20"/>
          <w:szCs w:val="20"/>
          <w:color w:val="auto"/>
        </w:rPr>
      </w:pPr>
    </w:p>
    <w:p>
      <w:pPr>
        <w:ind w:left="2400" w:right="20" w:hanging="646"/>
        <w:spacing w:after="0" w:line="250" w:lineRule="auto"/>
        <w:tabs>
          <w:tab w:leader="none" w:pos="2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20"/>
        <w:spacing w:after="0"/>
        <w:tabs>
          <w:tab w:leader="none" w:pos="720" w:val="left"/>
          <w:tab w:leader="none" w:pos="5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24, 2024</w:t>
      </w:r>
      <w:r>
        <w:rPr>
          <w:sz w:val="20"/>
          <w:szCs w:val="20"/>
          <w:color w:val="auto"/>
        </w:rPr>
        <w:tab/>
      </w:r>
      <w:r>
        <w:rPr>
          <w:rFonts w:ascii="Times New Roman" w:cs="Times New Roman" w:eastAsia="Times New Roman" w:hAnsi="Times New Roman"/>
          <w:sz w:val="18"/>
          <w:szCs w:val="18"/>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Fay Sien Goon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1440" w:gutter="0" w:footer="0" w:header="0"/>
        </w:sectPr>
      </w:pPr>
    </w:p>
    <w:bookmarkStart w:id="30" w:name="page31"/>
    <w:bookmarkEnd w:id="30"/>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certifications are hereby made in connection with the Quarterly Report on Form 10-Q of AppFolio, Inc. (the “Company”) for the period ended September 30, 2024, as filed with the Securities and Exchange Commission on the date hereof (the “Report”):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24, 2024</w:t>
            </w:r>
          </w:p>
        </w:tc>
        <w:tc>
          <w:tcPr>
            <w:tcW w:w="2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Shane Trigg</w:t>
            </w:r>
          </w:p>
        </w:tc>
      </w:tr>
      <w:tr>
        <w:trPr>
          <w:trHeight w:val="218"/>
        </w:trPr>
        <w:tc>
          <w:tcPr>
            <w:tcW w:w="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Shane Trigg</w:t>
            </w:r>
          </w:p>
        </w:tc>
      </w:tr>
      <w:tr>
        <w:trPr>
          <w:trHeight w:val="234"/>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24, 2024</w:t>
            </w:r>
          </w:p>
        </w:tc>
        <w:tc>
          <w:tcPr>
            <w:tcW w:w="2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Fay Sien Goon</w:t>
            </w:r>
          </w:p>
        </w:tc>
      </w:tr>
      <w:tr>
        <w:trPr>
          <w:trHeight w:val="218"/>
        </w:trPr>
        <w:tc>
          <w:tcPr>
            <w:tcW w:w="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 Sien Goon</w:t>
            </w:r>
          </w:p>
        </w:tc>
      </w:tr>
      <w:tr>
        <w:trPr>
          <w:trHeight w:val="234"/>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2024-10-25T05:19:14Z</dcterms:created>
  <dcterms:modified xsi:type="dcterms:W3CDTF">2024-10-25T05:19:14Z</dcterms:modified>
</cp:coreProperties>
</file>