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04" w:lineRule="exact"/>
        <w:rPr>
          <w:sz w:val="24"/>
          <w:szCs w:val="24"/>
          <w:color w:val="auto"/>
        </w:rPr>
      </w:pPr>
    </w:p>
    <w:p>
      <w:pPr>
        <w:ind w:right="2340" w:firstLine="8"/>
        <w:spacing w:after="0" w:line="335" w:lineRule="auto"/>
        <w:tabs>
          <w:tab w:leader="none" w:pos="2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2022.</w:t>
      </w:r>
    </w:p>
    <w:p>
      <w:pPr>
        <w:spacing w:after="0" w:line="1" w:lineRule="exact"/>
        <w:rPr>
          <w:rFonts w:ascii="MS PGothic" w:cs="MS PGothic" w:eastAsia="MS PGothic" w:hAnsi="MS PGothic"/>
          <w:sz w:val="18"/>
          <w:szCs w:val="18"/>
          <w:color w:val="auto"/>
        </w:rPr>
      </w:pPr>
    </w:p>
    <w:p>
      <w:pPr>
        <w:ind w:right="2320"/>
        <w:spacing w:after="0" w:line="28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001-37468</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AppFolio,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286" w:lineRule="exact"/>
        <w:rPr>
          <w:sz w:val="24"/>
          <w:szCs w:val="24"/>
          <w:color w:val="auto"/>
        </w:rPr>
      </w:pPr>
    </w:p>
    <w:tbl>
      <w:tblPr>
        <w:tblLayout w:type="fixed"/>
        <w:tblInd w:w="1360" w:type="dxa"/>
        <w:tblCellMar>
          <w:top w:w="0" w:type="dxa"/>
          <w:left w:w="0" w:type="dxa"/>
          <w:bottom w:w="0" w:type="dxa"/>
          <w:right w:w="0" w:type="dxa"/>
        </w:tblCellMar>
      </w:tblPr>
      <w:tr>
        <w:trPr>
          <w:trHeight w:val="230"/>
        </w:trPr>
        <w:tc>
          <w:tcPr>
            <w:tcW w:w="438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26-0359894</w:t>
            </w:r>
          </w:p>
        </w:tc>
      </w:tr>
      <w:tr>
        <w:trPr>
          <w:trHeight w:val="238"/>
        </w:trPr>
        <w:tc>
          <w:tcPr>
            <w:tcW w:w="438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i w:val="1"/>
                <w:iCs w:val="1"/>
                <w:color w:val="auto"/>
                <w:w w:val="99"/>
              </w:rPr>
              <w:t>(State of incorporation or organization)</w:t>
            </w:r>
          </w:p>
        </w:tc>
        <w:tc>
          <w:tcPr>
            <w:tcW w:w="408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i w:val="1"/>
                <w:iCs w:val="1"/>
                <w:color w:val="auto"/>
                <w:w w:val="99"/>
              </w:rPr>
              <w:t>(I.R.S. Employer Identification No.)</w:t>
            </w:r>
          </w:p>
        </w:tc>
      </w:tr>
      <w:tr>
        <w:trPr>
          <w:trHeight w:val="477"/>
        </w:trPr>
        <w:tc>
          <w:tcPr>
            <w:tcW w:w="438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rPr>
              <w:t>70 Castilian Drive</w:t>
            </w:r>
          </w:p>
        </w:tc>
        <w:tc>
          <w:tcPr>
            <w:tcW w:w="40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93117</w:t>
            </w:r>
          </w:p>
        </w:tc>
      </w:tr>
      <w:tr>
        <w:trPr>
          <w:trHeight w:val="230"/>
        </w:trPr>
        <w:tc>
          <w:tcPr>
            <w:tcW w:w="438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rPr>
              <w:t>Santa Barbara, California</w:t>
            </w:r>
          </w:p>
        </w:tc>
        <w:tc>
          <w:tcPr>
            <w:tcW w:w="4080" w:type="dxa"/>
            <w:vAlign w:val="bottom"/>
          </w:tcPr>
          <w:p>
            <w:pPr>
              <w:spacing w:after="0"/>
              <w:rPr>
                <w:sz w:val="19"/>
                <w:szCs w:val="19"/>
                <w:color w:val="auto"/>
              </w:rPr>
            </w:pPr>
          </w:p>
        </w:tc>
      </w:tr>
      <w:tr>
        <w:trPr>
          <w:trHeight w:val="238"/>
        </w:trPr>
        <w:tc>
          <w:tcPr>
            <w:tcW w:w="438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i w:val="1"/>
                <w:iCs w:val="1"/>
                <w:color w:val="auto"/>
                <w:w w:val="99"/>
              </w:rPr>
              <w:t>(Address of principal executive offices)</w:t>
            </w:r>
          </w:p>
        </w:tc>
        <w:tc>
          <w:tcPr>
            <w:tcW w:w="40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i w:val="1"/>
                <w:iCs w:val="1"/>
                <w:color w:val="auto"/>
              </w:rPr>
              <w:t>(Zip Code)</w:t>
            </w:r>
          </w:p>
        </w:tc>
      </w:tr>
    </w:tbl>
    <w:p>
      <w:pPr>
        <w:spacing w:after="0" w:line="1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(805) 364-6093</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(Registrant’s telephone number, including area code)</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(Former name, former address and former fiscal year, if changed since last report)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88"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38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1400" w:type="dxa"/>
            <w:vAlign w:val="bottom"/>
            <w:tcBorders>
              <w:top w:val="single" w:sz="8" w:color="auto"/>
            </w:tcBorders>
          </w:tcPr>
          <w:p>
            <w:pPr>
              <w:spacing w:after="0"/>
              <w:rPr>
                <w:sz w:val="16"/>
                <w:szCs w:val="16"/>
                <w:color w:val="auto"/>
              </w:rPr>
            </w:pPr>
          </w:p>
        </w:tc>
        <w:tc>
          <w:tcPr>
            <w:tcW w:w="4440" w:type="dxa"/>
            <w:vAlign w:val="bottom"/>
            <w:tcBorders>
              <w:top w:val="single" w:sz="8" w:color="auto"/>
              <w:right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Class A common stock, $0.0001 par value</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APPF</w:t>
            </w:r>
          </w:p>
        </w:tc>
        <w:tc>
          <w:tcPr>
            <w:tcW w:w="1400" w:type="dxa"/>
            <w:vAlign w:val="bottom"/>
            <w:tcBorders>
              <w:bottom w:val="single" w:sz="8" w:color="auto"/>
            </w:tcBorders>
          </w:tcPr>
          <w:p>
            <w:pPr>
              <w:spacing w:after="0"/>
              <w:rPr>
                <w:sz w:val="17"/>
                <w:szCs w:val="17"/>
                <w:color w:val="auto"/>
              </w:rPr>
            </w:pPr>
          </w:p>
        </w:tc>
        <w:tc>
          <w:tcPr>
            <w:tcW w:w="4440" w:type="dxa"/>
            <w:vAlign w:val="bottom"/>
            <w:tcBorders>
              <w:bottom w:val="single" w:sz="8" w:color="auto"/>
              <w:right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81"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jc w:val="both"/>
        <w:spacing w:after="0" w:line="24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25" w:lineRule="exact"/>
        <w:rPr>
          <w:sz w:val="24"/>
          <w:szCs w:val="24"/>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8"/>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2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9"/>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4"/>
        </w:trPr>
        <w:tc>
          <w:tcPr>
            <w:tcW w:w="2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vMerge w:val="restart"/>
          </w:tcPr>
          <w:p>
            <w:pPr>
              <w:ind w:left="2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9"/>
        </w:trPr>
        <w:tc>
          <w:tcPr>
            <w:tcW w:w="20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2"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97" w:lineRule="exact"/>
        <w:rPr>
          <w:sz w:val="24"/>
          <w:szCs w:val="24"/>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As of October 20, 2022, the number of shares of the registrant’s Class A common stock outstanding was 20,414,695 and the number of shares of the registrant’s Class B common stock outstanding was 14,746,432.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20" w:type="dxa"/>
            <w:vAlign w:val="bottom"/>
            <w:gridSpan w:val="8"/>
          </w:tcPr>
          <w:p>
            <w:pPr>
              <w:ind w:left="1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5"/>
              </w:rPr>
              <w:t>Forward-Looking Statements</w:t>
            </w:r>
          </w:p>
        </w:tc>
        <w:tc>
          <w:tcPr>
            <w:tcW w:w="7940" w:type="dxa"/>
            <w:vAlign w:val="bottom"/>
            <w:gridSpan w:val="13"/>
          </w:tcPr>
          <w:p>
            <w:pPr>
              <w:spacing w:after="0"/>
              <w:rPr>
                <w:sz w:val="15"/>
                <w:szCs w:val="15"/>
                <w:color w:val="auto"/>
              </w:rPr>
            </w:pPr>
          </w:p>
        </w:tc>
        <w:tc>
          <w:tcPr>
            <w:tcW w:w="640" w:type="dxa"/>
            <w:vAlign w:val="bottom"/>
            <w:tcBorders>
              <w:top w:val="single" w:sz="8" w:color="auto"/>
            </w:tcBorders>
            <w:gridSpan w:val="2"/>
          </w:tcPr>
          <w:p>
            <w:pPr>
              <w:jc w:val="center"/>
              <w:ind w:left="470"/>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940" w:type="dxa"/>
            <w:vAlign w:val="bottom"/>
            <w:gridSpan w:val="13"/>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2022 and December 31, 2021</w:t>
            </w:r>
          </w:p>
        </w:tc>
        <w:tc>
          <w:tcPr>
            <w:tcW w:w="2560" w:type="dxa"/>
            <w:vAlign w:val="bottom"/>
            <w:gridSpan w:val="5"/>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2022 and 2021</w:t>
            </w:r>
          </w:p>
        </w:tc>
        <w:tc>
          <w:tcPr>
            <w:tcW w:w="480" w:type="dxa"/>
            <w:vAlign w:val="bottom"/>
            <w:gridSpan w:val="2"/>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 for the Three and Nine Months Ended September</w:t>
            </w:r>
          </w:p>
        </w:tc>
        <w:tc>
          <w:tcPr>
            <w:tcW w:w="640" w:type="dxa"/>
            <w:vAlign w:val="bottom"/>
            <w:gridSpan w:val="2"/>
            <w:vMerge w:val="restart"/>
          </w:tcPr>
          <w:p>
            <w:pPr>
              <w:jc w:val="center"/>
              <w:ind w:left="470"/>
              <w:spacing w:after="0"/>
              <w:rPr>
                <w:sz w:val="20"/>
                <w:szCs w:val="20"/>
                <w:color w:val="auto"/>
              </w:rPr>
            </w:pPr>
            <w:r>
              <w:rPr>
                <w:rFonts w:ascii="Times New Roman" w:cs="Times New Roman" w:eastAsia="Times New Roman" w:hAnsi="Times New Roman"/>
                <w:sz w:val="18"/>
                <w:szCs w:val="18"/>
                <w:color w:val="0000FF"/>
                <w:w w:val="88"/>
              </w:rPr>
              <w:t>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30, 2022 and 2021</w:t>
            </w:r>
          </w:p>
        </w:tc>
        <w:tc>
          <w:tcPr>
            <w:tcW w:w="7340" w:type="dxa"/>
            <w:vAlign w:val="bottom"/>
            <w:tcBorders>
              <w:top w:val="single" w:sz="8" w:color="0000FF"/>
            </w:tcBorders>
            <w:gridSpan w:val="11"/>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40" w:type="dxa"/>
            <w:vAlign w:val="bottom"/>
            <w:gridSpan w:val="16"/>
          </w:tcPr>
          <w:p>
            <w:pPr>
              <w:spacing w:after="0" w:line="203"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2022</w:t>
            </w:r>
          </w:p>
        </w:tc>
        <w:tc>
          <w:tcPr>
            <w:tcW w:w="640" w:type="dxa"/>
            <w:vAlign w:val="bottom"/>
            <w:gridSpan w:val="2"/>
            <w:vMerge w:val="restart"/>
          </w:tcPr>
          <w:p>
            <w:pPr>
              <w:jc w:val="center"/>
              <w:ind w:left="470"/>
              <w:spacing w:after="0"/>
              <w:rPr>
                <w:sz w:val="20"/>
                <w:szCs w:val="20"/>
                <w:color w:val="auto"/>
              </w:rPr>
            </w:pPr>
            <w:r>
              <w:rPr>
                <w:rFonts w:ascii="Times New Roman" w:cs="Times New Roman" w:eastAsia="Times New Roman" w:hAnsi="Times New Roman"/>
                <w:sz w:val="18"/>
                <w:szCs w:val="18"/>
                <w:color w:val="0000FF"/>
                <w:w w:val="88"/>
              </w:rPr>
              <w:t>6</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and 2021</w:t>
            </w:r>
          </w:p>
        </w:tc>
        <w:tc>
          <w:tcPr>
            <w:tcW w:w="7720" w:type="dxa"/>
            <w:vAlign w:val="bottom"/>
            <w:tcBorders>
              <w:top w:val="single" w:sz="8" w:color="0000FF"/>
            </w:tcBorders>
            <w:gridSpan w:val="12"/>
          </w:tcPr>
          <w:p>
            <w:pPr>
              <w:spacing w:after="0"/>
              <w:rPr>
                <w:sz w:val="13"/>
                <w:szCs w:val="13"/>
                <w:color w:val="auto"/>
              </w:rPr>
            </w:pPr>
          </w:p>
        </w:tc>
        <w:tc>
          <w:tcPr>
            <w:tcW w:w="480" w:type="dxa"/>
            <w:vAlign w:val="bottom"/>
            <w:gridSpan w:val="2"/>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shd w:val="clear" w:color="auto" w:fill="0000FF"/>
          </w:tcPr>
          <w:p>
            <w:pPr>
              <w:spacing w:after="0"/>
              <w:rPr>
                <w:sz w:val="2"/>
                <w:szCs w:val="2"/>
                <w:color w:val="auto"/>
              </w:rPr>
            </w:pPr>
          </w:p>
        </w:tc>
        <w:tc>
          <w:tcPr>
            <w:tcW w:w="44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2022 and 2021</w:t>
            </w: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Unaudited Financial Statements</w:t>
            </w:r>
          </w:p>
        </w:tc>
        <w:tc>
          <w:tcPr>
            <w:tcW w:w="1220" w:type="dxa"/>
            <w:vAlign w:val="bottom"/>
            <w:gridSpan w:val="3"/>
          </w:tcPr>
          <w:p>
            <w:pPr>
              <w:spacing w:after="0"/>
              <w:rPr>
                <w:sz w:val="18"/>
                <w:szCs w:val="18"/>
                <w:color w:val="auto"/>
              </w:rPr>
            </w:pP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10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20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Item 3. Qualitative and Quantitative Disclosure about Market Risk</w:t>
            </w:r>
          </w:p>
        </w:tc>
        <w:tc>
          <w:tcPr>
            <w:tcW w:w="234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480" w:type="dxa"/>
            <w:vAlign w:val="bottom"/>
            <w:tcBorders>
              <w:top w:val="single" w:sz="8" w:color="0000FF"/>
            </w:tcBorders>
          </w:tcPr>
          <w:p>
            <w:pPr>
              <w:spacing w:after="0"/>
              <w:rPr>
                <w:sz w:val="18"/>
                <w:szCs w:val="18"/>
                <w:color w:val="auto"/>
              </w:rPr>
            </w:pPr>
          </w:p>
        </w:tc>
        <w:tc>
          <w:tcPr>
            <w:tcW w:w="454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28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28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46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80" w:type="dxa"/>
            <w:vAlign w:val="bottom"/>
            <w:gridSpan w:val="10"/>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28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48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200" w:type="dxa"/>
            <w:vAlign w:val="bottom"/>
            <w:gridSpan w:val="14"/>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9"/>
        </w:trPr>
        <w:tc>
          <w:tcPr>
            <w:tcW w:w="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for the fiscal quarter ended September 30, 2022 (this "Quarterly Report"), contains forward-looking statements within the meaning of federal securities laws, which statements involve substantial risks and uncertainties. The forward-looking statements made in this Quarterly Report are based primarily on our current expectations and projections about future events and trends that we believe may affect our business, financial condition, operating results, and prospects and relate only to events as of the date on which the statements are made. In some cases, you can identify forward-looking statements because they contain words such as “may,” “will,” “should,” “might,” “expects,” “plans,” “anticipates,” “could,” “intends,” “target,” “projects,” “contemplates,” “believes,” “estimates,” “predicts,” “potential,” or “continue,” or the negative of these words or other similar terms or expressions that concern our expectations, strategy, plans, or intentions. We cannot assure you that the results, events, and circumstances reflected in the forward-looking statements will be achieved or occur, and actual results, events, or circumstances could differ materially from those described in the forward-looking statements. Our forward-looking statements do not reflect the potential impact of any future acquisitions, mergers, dispositions, joint ventures, or investments we may make. The outcome of the events described in these forward-looking statements is subject to risks, uncertainties, and other factors described in the section titled "Management's Discussion and Analysis of Financial Condition and Results of Operations" in this Quarterly Report and "Risk Factors" in our Annual Report on Form 10-K for the fiscal year ended December 31, 2021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Examples of forward-looking statements include, among others, statements made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par values)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57,847</w:t>
            </w:r>
          </w:p>
        </w:tc>
        <w:tc>
          <w:tcPr>
            <w:tcW w:w="0" w:type="dxa"/>
            <w:vAlign w:val="bottom"/>
          </w:tcPr>
          <w:p>
            <w:pPr>
              <w:spacing w:after="0"/>
              <w:rPr>
                <w:sz w:val="1"/>
                <w:szCs w:val="1"/>
                <w:color w:val="auto"/>
              </w:rPr>
            </w:pPr>
          </w:p>
        </w:tc>
      </w:tr>
      <w:tr>
        <w:trPr>
          <w:trHeight w:val="21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securities—current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64,600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12,595</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158,595</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securities—noncurrent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30,479</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41,212</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56,147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7,087</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384,882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408,017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employee expenses—current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30,065</w:t>
            </w:r>
          </w:p>
        </w:tc>
        <w:tc>
          <w:tcPr>
            <w:tcW w:w="0" w:type="dxa"/>
            <w:vAlign w:val="bottom"/>
          </w:tcPr>
          <w:p>
            <w:pPr>
              <w:spacing w:after="0"/>
              <w:rPr>
                <w:sz w:val="1"/>
                <w:szCs w:val="1"/>
                <w:color w:val="auto"/>
              </w:rPr>
            </w:pPr>
          </w:p>
        </w:tc>
      </w:tr>
      <w:tr>
        <w:trPr>
          <w:trHeight w:val="21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0" w:type="dxa"/>
            <w:vAlign w:val="bottom"/>
          </w:tcPr>
          <w:p>
            <w:pPr>
              <w:spacing w:after="0"/>
              <w:rPr>
                <w:sz w:val="1"/>
                <w:szCs w:val="1"/>
                <w:color w:val="auto"/>
              </w:rPr>
            </w:pPr>
          </w:p>
        </w:tc>
      </w:tr>
      <w:tr>
        <w:trPr>
          <w:trHeight w:val="207"/>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52,642</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55,733</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113,010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110,636</w:t>
            </w: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B common stock</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171,930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151,397</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271,872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297,381</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384,882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408,017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4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6"/>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5"/>
        </w:trPr>
        <w:tc>
          <w:tcPr>
            <w:tcW w:w="55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95,809</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263,770</w:t>
            </w: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60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38,730</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104,847</w:t>
            </w:r>
          </w:p>
        </w:tc>
      </w:tr>
      <w:tr>
        <w:trPr>
          <w:trHeight w:val="229"/>
        </w:trPr>
        <w:tc>
          <w:tcPr>
            <w:tcW w:w="560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53,255</w:t>
            </w:r>
          </w:p>
        </w:tc>
      </w:tr>
      <w:tr>
        <w:trPr>
          <w:trHeight w:val="229"/>
        </w:trPr>
        <w:tc>
          <w:tcPr>
            <w:tcW w:w="560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Research and product development</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46,389</w:t>
            </w:r>
          </w:p>
        </w:tc>
      </w:tr>
      <w:tr>
        <w:trPr>
          <w:trHeight w:val="230"/>
        </w:trPr>
        <w:tc>
          <w:tcPr>
            <w:tcW w:w="560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40,971</w:t>
            </w:r>
          </w:p>
        </w:tc>
      </w:tr>
      <w:tr>
        <w:trPr>
          <w:trHeight w:val="229"/>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22,844</w:t>
            </w:r>
          </w:p>
        </w:tc>
      </w:tr>
      <w:tr>
        <w:trPr>
          <w:trHeight w:val="223"/>
        </w:trPr>
        <w:tc>
          <w:tcPr>
            <w:tcW w:w="55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132,898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95,822</w:t>
            </w:r>
          </w:p>
        </w:tc>
        <w:tc>
          <w:tcPr>
            <w:tcW w:w="2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400,243</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268,306</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r>
      <w:tr>
        <w:trPr>
          <w:trHeight w:val="230"/>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r>
      <w:tr>
        <w:trPr>
          <w:trHeight w:val="22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29"/>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5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5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34,525</w:t>
            </w:r>
          </w:p>
        </w:tc>
      </w:tr>
      <w:tr>
        <w:trPr>
          <w:trHeight w:val="229"/>
        </w:trPr>
        <w:tc>
          <w:tcPr>
            <w:tcW w:w="5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34,614</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35,695</w:t>
            </w:r>
          </w:p>
        </w:tc>
      </w:tr>
      <w:tr>
        <w:trPr>
          <w:trHeight w:val="474"/>
        </w:trPr>
        <w:tc>
          <w:tcPr>
            <w:tcW w:w="5600" w:type="dxa"/>
            <w:vAlign w:val="bottom"/>
            <w:gridSpan w:val="2"/>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Includes stock-based compensation expense as follows: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4"/>
        </w:trPr>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8"/>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6"/>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8"/>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7"/>
                <w:szCs w:val="17"/>
                <w:color w:val="auto"/>
              </w:rPr>
            </w:pPr>
          </w:p>
        </w:tc>
      </w:tr>
      <w:tr>
        <w:trPr>
          <w:trHeight w:val="196"/>
        </w:trPr>
        <w:tc>
          <w:tcPr>
            <w:tcW w:w="55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6"/>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Stock-based compensation expense included in costs and operating expenses: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w:t>
            </w:r>
          </w:p>
        </w:tc>
        <w:tc>
          <w:tcPr>
            <w:tcW w:w="32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40" w:type="dxa"/>
            <w:vAlign w:val="bottom"/>
          </w:tcPr>
          <w:p>
            <w:pPr>
              <w:spacing w:after="0"/>
              <w:rPr>
                <w:sz w:val="19"/>
                <w:szCs w:val="19"/>
                <w:color w:val="auto"/>
              </w:rPr>
            </w:pPr>
          </w:p>
        </w:tc>
        <w:tc>
          <w:tcPr>
            <w:tcW w:w="5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30"/>
        </w:trPr>
        <w:tc>
          <w:tcPr>
            <w:tcW w:w="5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738</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30"/>
        </w:trPr>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1,451</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r>
      <w:tr>
        <w:trPr>
          <w:trHeight w:val="229"/>
        </w:trPr>
        <w:tc>
          <w:tcPr>
            <w:tcW w:w="5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1,299</w:t>
            </w:r>
          </w:p>
        </w:tc>
        <w:tc>
          <w:tcPr>
            <w:tcW w:w="3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2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4,063</w:t>
            </w:r>
          </w:p>
        </w:tc>
        <w:tc>
          <w:tcPr>
            <w:tcW w:w="3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w:t>
            </w: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8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unrealized losses on investment securities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1"/>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151,397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297,381</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(14,287)</w:t>
            </w: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20,023</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14,836</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178,924</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137,110</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288,743</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awards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(29,970)</w:t>
            </w: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2022</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20,173</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14,826</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185,542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107,140</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264,991</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11,665</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0" w:type="dxa"/>
            <w:vAlign w:val="bottom"/>
          </w:tcPr>
          <w:p>
            <w:pPr>
              <w:spacing w:after="0"/>
              <w:rPr>
                <w:sz w:val="1"/>
                <w:szCs w:val="1"/>
                <w:color w:val="auto"/>
              </w:rPr>
            </w:pPr>
          </w:p>
        </w:tc>
      </w:tr>
      <w:tr>
        <w:trPr>
          <w:trHeight w:val="237"/>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271,872</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6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6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285,920</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07"/>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18,902</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15,551</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160,650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150,848</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285,784</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3,873</w:t>
            </w:r>
          </w:p>
        </w:tc>
        <w:tc>
          <w:tcPr>
            <w:tcW w:w="0" w:type="dxa"/>
            <w:vAlign w:val="bottom"/>
          </w:tcPr>
          <w:p>
            <w:pPr>
              <w:spacing w:after="0"/>
              <w:rPr>
                <w:sz w:val="1"/>
                <w:szCs w:val="1"/>
                <w:color w:val="auto"/>
              </w:rPr>
            </w:pPr>
          </w:p>
        </w:tc>
      </w:tr>
      <w:tr>
        <w:trPr>
          <w:trHeight w:val="165"/>
        </w:trPr>
        <w:tc>
          <w:tcPr>
            <w:tcW w:w="25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stock awards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07"/>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18,989</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15,621</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160,160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152,869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287,267</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0" w:type="dxa"/>
            <w:vAlign w:val="bottom"/>
          </w:tcPr>
          <w:p>
            <w:pPr>
              <w:spacing w:after="0"/>
              <w:rPr>
                <w:sz w:val="1"/>
                <w:szCs w:val="1"/>
                <w:color w:val="auto"/>
              </w:rPr>
            </w:pPr>
          </w:p>
        </w:tc>
      </w:tr>
      <w:tr>
        <w:trPr>
          <w:trHeight w:val="165"/>
        </w:trPr>
        <w:tc>
          <w:tcPr>
            <w:tcW w:w="25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37"/>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291,699</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9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(48,419)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21,545</w:t>
            </w: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r>
      <w:tr>
        <w:trPr>
          <w:trHeight w:val="213"/>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r>
      <w:tr>
        <w:trPr>
          <w:trHeight w:val="213"/>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including as amortized</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11,352</w:t>
            </w: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sale of business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13"/>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219"/>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w:t>
            </w:r>
          </w:p>
        </w:tc>
      </w:tr>
      <w:tr>
        <w:trPr>
          <w:trHeight w:val="213"/>
        </w:trPr>
        <w:tc>
          <w:tcPr>
            <w:tcW w:w="8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w:t>
            </w:r>
          </w:p>
        </w:tc>
      </w:tr>
      <w:tr>
        <w:trPr>
          <w:trHeight w:val="219"/>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r>
      <w:tr>
        <w:trPr>
          <w:trHeight w:val="213"/>
        </w:trPr>
        <w:tc>
          <w:tcPr>
            <w:tcW w:w="8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employee expenses—current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6,335</w:t>
            </w:r>
          </w:p>
        </w:tc>
      </w:tr>
      <w:tr>
        <w:trPr>
          <w:trHeight w:val="219"/>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r>
      <w:tr>
        <w:trPr>
          <w:trHeight w:val="213"/>
        </w:trPr>
        <w:tc>
          <w:tcPr>
            <w:tcW w:w="8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r>
      <w:tr>
        <w:trPr>
          <w:trHeight w:val="219"/>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r>
      <w:tr>
        <w:trPr>
          <w:trHeight w:val="207"/>
        </w:trPr>
        <w:tc>
          <w:tcPr>
            <w:tcW w:w="84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26,459</w:t>
            </w:r>
          </w:p>
        </w:tc>
      </w:tr>
      <w:tr>
        <w:trPr>
          <w:trHeight w:val="19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investing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available-for-sale investments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(167,041)</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available-for-sale investments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43,198</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maturities of available-for-sale investments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73,754</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 of software development costs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(18,511)</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business, net of cash divested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4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(73,766)</w:t>
            </w:r>
          </w:p>
        </w:tc>
      </w:tr>
      <w:tr>
        <w:trPr>
          <w:trHeight w:val="19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financing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withholding for net share settlement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(9,303)</w:t>
            </w:r>
          </w:p>
        </w:tc>
      </w:tr>
      <w:tr>
        <w:trPr>
          <w:trHeight w:val="207"/>
        </w:trPr>
        <w:tc>
          <w:tcPr>
            <w:tcW w:w="84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(8,512)</w:t>
            </w:r>
          </w:p>
        </w:tc>
      </w:tr>
      <w:tr>
        <w:trPr>
          <w:trHeight w:val="212"/>
        </w:trPr>
        <w:tc>
          <w:tcPr>
            <w:tcW w:w="84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(55,819)</w:t>
            </w: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140,699</w:t>
            </w:r>
          </w:p>
        </w:tc>
      </w:tr>
      <w:tr>
        <w:trPr>
          <w:trHeight w:val="20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67,482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84,880</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6"/>
        </w:trPr>
        <w:tc>
          <w:tcPr>
            <w:tcW w:w="8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4"/>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expenses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 of software development costs included in accrued expenses and accrued employee expenses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capitalized for software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cash, cash equivalents and restricted cash reported within our Condensed Consolidated Balance Sheets to the total of the same such amounts shown above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67,232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84,444</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67,482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84,880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UNAUDITED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AppFolio, Inc. ("we," "us" or "our") is a leading provider of cloud business management solutions for the real estate industry. Our solutions enable our customers to digitally transform their businesses, automate and streamline critical business operations and deliver a better customer experience. We were founded in 2006 with the vision of revolutionizing vertical industry businesses by providing great software and services. Our mission is even more relevant today, when digital transformation is effectively a requirement for business success in the modern world, and the way we work and live requires powerful software solutions to enable a more seamless experience.</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Significant Accounting Policies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28, 2022.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nine months ended September 30, 2022 are not necessarily indicative of the results expected for the full year ending December 31, 2022.</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reclassified certain amounts in our Condensed Consolidated Balance Sheets and Condensed Consolidated Statements of Cash Flows within the cash flows from operating activities section in the prior year to conform to the current year's presentation.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capitalized software development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assumptions underlying stock-based compensation. Actual results could differ from those estimates and any such differences may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Share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(loss) income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(loss) income per common share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3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40" w:type="dxa"/>
            <w:vAlign w:val="bottom"/>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23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140" w:type="dxa"/>
            <w:vAlign w:val="bottom"/>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78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34,530</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Weighted average unvested restricted shares subject to repurchase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1"/>
        </w:trPr>
        <w:tc>
          <w:tcPr>
            <w:tcW w:w="67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35,043</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34,614</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34,936</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34,525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Plus: Weighted average options, restricted stock units and restricted shares used to compute</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78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48"/>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an aggregate of 212,000 and 127,000 shares, respectively, underlying performance-based restricted stock units ("PSUs") were not included in the computations of diluted and anti-dilutive shares as they are considered contingently issuable upon satisfaction of pre-defined performance measures and their respective performance measures have not been met. Restricted stock units ("RSUs") with an anti-dilutive effect were excluded from the calculation of weighted average number of shares used to compute diluted net income per common share and they were not material for the nine months ended September 30, 2021. Because we reported a net loss for the three and nine months ended September 30, 2022, and the three months ended September 30, 2021, all potentially dilutive common shares are anti-dilutive for these periods and have been excluded from the calculation of net loss per share.</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which requires contract assets and contract liabilities acquired in a business combination to be recognized and measured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acquirer on the acquisition date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if the acquirer had originated the contracts. ASU 2021-08 is effective for fiscal years beginning after December 15, 2022, with early adoption permitted. We expect to adopt ASU 2021-08 on January 1, 2023.</w:t>
      </w:r>
    </w:p>
    <w:p>
      <w:pPr>
        <w:spacing w:after="0" w:line="200" w:lineRule="exact"/>
        <w:rPr>
          <w:sz w:val="20"/>
          <w:szCs w:val="20"/>
          <w:color w:val="auto"/>
        </w:rPr>
      </w:pPr>
    </w:p>
    <w:p>
      <w:pPr>
        <w:spacing w:after="0" w:line="231" w:lineRule="exact"/>
        <w:rPr>
          <w:sz w:val="20"/>
          <w:szCs w:val="20"/>
          <w:color w:val="auto"/>
        </w:rPr>
      </w:pPr>
    </w:p>
    <w:p>
      <w:pPr>
        <w:ind w:left="660" w:right="8920" w:hanging="607"/>
        <w:spacing w:after="0" w:line="333" w:lineRule="auto"/>
        <w:tabs>
          <w:tab w:leader="none" w:pos="237"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Sale of Subsidiary Business </w:t>
      </w:r>
      <w:r>
        <w:rPr>
          <w:rFonts w:ascii="Times New Roman" w:cs="Times New Roman" w:eastAsia="Times New Roman" w:hAnsi="Times New Roman"/>
          <w:sz w:val="17"/>
          <w:szCs w:val="17"/>
          <w:b w:val="1"/>
          <w:bCs w:val="1"/>
          <w:i w:val="1"/>
          <w:iCs w:val="1"/>
          <w:color w:val="auto"/>
        </w:rPr>
        <w:t>Sale of WegoWise</w:t>
      </w:r>
    </w:p>
    <w:p>
      <w:pPr>
        <w:spacing w:after="0" w:line="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August 2022, we completed the sale of AppFolio Utility Management, Inc., dba WegoWise ("WegoWise"), a former wholly owned subsidiary of the Company that provided cloud-based utility analytics reporting software solutions to our customers. We sold WegoWise for $5.2 million (the “WegoWise Transaction”) and recognized a pre-tax gain on the sale of $4.2 million. Net assets divested are primarily comprised of intangible assets of $2.5 million and deferred revenue of $1.7 million. The gain on the sale is included within </w:t>
      </w: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xml:space="preserve">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right="7000" w:hanging="607"/>
        <w:spacing w:after="0" w:line="378" w:lineRule="auto"/>
        <w:tabs>
          <w:tab w:leader="none" w:pos="23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Securities and Fair Value Measurements </w:t>
      </w:r>
      <w:r>
        <w:rPr>
          <w:rFonts w:ascii="Times New Roman" w:cs="Times New Roman" w:eastAsia="Times New Roman" w:hAnsi="Times New Roman"/>
          <w:sz w:val="18"/>
          <w:szCs w:val="18"/>
          <w:b w:val="1"/>
          <w:bCs w:val="1"/>
          <w:i w:val="1"/>
          <w:iCs w:val="1"/>
          <w:color w:val="auto"/>
        </w:rPr>
        <w:t>Investment Securities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securities classified as available-for-sale consisted of the following as of September 30, 2022 and December 31, 2021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117,218</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4"/>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125,676</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September 30, 2022 or December 31, 2021.</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values of available-for-sale investment securities, by remaining contractual maturity, are as follows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2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2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72,816</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64,627</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64,600</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through three years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61,076</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and 2021, we had sales and maturities (which include calls) of investment securities,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Realized Gains</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Realized Losses</w:t>
            </w:r>
          </w:p>
        </w:tc>
        <w:tc>
          <w:tcPr>
            <w:tcW w:w="100" w:type="dxa"/>
            <w:vAlign w:val="bottom"/>
          </w:tcPr>
          <w:p>
            <w:pPr>
              <w:spacing w:after="0"/>
              <w:rPr>
                <w:sz w:val="11"/>
                <w:szCs w:val="11"/>
                <w:color w:val="auto"/>
              </w:rPr>
            </w:pPr>
          </w:p>
        </w:tc>
        <w:tc>
          <w:tcPr>
            <w:tcW w:w="15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120" w:type="dxa"/>
            <w:vAlign w:val="bottom"/>
          </w:tcPr>
          <w:p>
            <w:pPr>
              <w:spacing w:after="0"/>
              <w:rPr>
                <w:sz w:val="11"/>
                <w:szCs w:val="11"/>
                <w:color w:val="auto"/>
              </w:rPr>
            </w:pPr>
          </w:p>
        </w:tc>
        <w:tc>
          <w:tcPr>
            <w:tcW w:w="1380" w:type="dxa"/>
            <w:vAlign w:val="bottom"/>
          </w:tcPr>
          <w:p>
            <w:pPr>
              <w:jc w:val="right"/>
              <w:ind w:right="16"/>
              <w:spacing w:after="0" w:line="129"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600" w:type="dxa"/>
            <w:vAlign w:val="bottom"/>
            <w:gridSpan w:val="3"/>
            <w:vMerge w:val="continue"/>
          </w:tcPr>
          <w:p>
            <w:pPr>
              <w:spacing w:after="0"/>
              <w:rPr>
                <w:sz w:val="17"/>
                <w:szCs w:val="17"/>
                <w:color w:val="auto"/>
              </w:rPr>
            </w:pPr>
          </w:p>
        </w:tc>
        <w:tc>
          <w:tcPr>
            <w:tcW w:w="16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7"/>
                <w:szCs w:val="17"/>
                <w:color w:val="auto"/>
              </w:rPr>
            </w:pPr>
          </w:p>
        </w:tc>
        <w:tc>
          <w:tcPr>
            <w:tcW w:w="13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36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76,598</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 Realized Gains</w:t>
            </w:r>
          </w:p>
        </w:tc>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 Realized Losses</w:t>
            </w:r>
          </w:p>
        </w:tc>
        <w:tc>
          <w:tcPr>
            <w:tcW w:w="120" w:type="dxa"/>
            <w:vAlign w:val="bottom"/>
          </w:tcPr>
          <w:p>
            <w:pPr>
              <w:spacing w:after="0"/>
              <w:rPr>
                <w:sz w:val="11"/>
                <w:szCs w:val="11"/>
                <w:color w:val="auto"/>
              </w:rPr>
            </w:pPr>
          </w:p>
        </w:tc>
        <w:tc>
          <w:tcPr>
            <w:tcW w:w="15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120" w:type="dxa"/>
            <w:vAlign w:val="bottom"/>
          </w:tcPr>
          <w:p>
            <w:pPr>
              <w:spacing w:after="0"/>
              <w:rPr>
                <w:sz w:val="11"/>
                <w:szCs w:val="11"/>
                <w:color w:val="auto"/>
              </w:rPr>
            </w:pPr>
          </w:p>
        </w:tc>
        <w:tc>
          <w:tcPr>
            <w:tcW w:w="1380" w:type="dxa"/>
            <w:vAlign w:val="bottom"/>
          </w:tcPr>
          <w:p>
            <w:pPr>
              <w:jc w:val="right"/>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6"/>
                <w:szCs w:val="16"/>
                <w:color w:val="auto"/>
              </w:rPr>
            </w:pPr>
          </w:p>
        </w:tc>
        <w:tc>
          <w:tcPr>
            <w:tcW w:w="13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8"/>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6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61,704</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73,754</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our financial assets and liabilities measured at fair value on a recurring basis as of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by level within the fair value hierarchy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1"/>
                <w:szCs w:val="11"/>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1"/>
                <w:szCs w:val="11"/>
                <w:color w:val="auto"/>
              </w:rPr>
            </w:pPr>
          </w:p>
        </w:tc>
        <w:tc>
          <w:tcPr>
            <w:tcW w:w="1240" w:type="dxa"/>
            <w:vAlign w:val="bottom"/>
          </w:tcPr>
          <w:p>
            <w:pPr>
              <w:jc w:val="center"/>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6"/>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securities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Agency securities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securities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82,990</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6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1"/>
                <w:szCs w:val="11"/>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1"/>
                <w:szCs w:val="11"/>
                <w:color w:val="auto"/>
              </w:rPr>
            </w:pPr>
          </w:p>
        </w:tc>
        <w:tc>
          <w:tcPr>
            <w:tcW w:w="1240" w:type="dxa"/>
            <w:vAlign w:val="bottom"/>
          </w:tcPr>
          <w:p>
            <w:pPr>
              <w:jc w:val="center"/>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securities</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securities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receivable, accounts payable and accrued liabilities approximate their fair value because of the short maturity of these items.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Capitalized Software Development Costs,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software development costs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gross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Capitalized software development costs were $4.5 million and $7.0 million for the three months ended September 30, 2022 and 2021, respectively, and $12.8 million and $21.0 million for the nine months ended September 30, 2022 and 2021, respectively. Amortization expense with respect to capitalized software development costs totaled $5.9 million and $5.5 million for the three months ended September 30, 2022 and 2021, respectively, and $18.0 million and $15.8 million for the nine months ended September 30, 2022 and 2021, respectively. During the three and nine months ended September 30, 2022, we disposed of $0.7 million and $2.5 million, respectively, of fully amortized capitalized software development costs.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amortization expense with respect to capitalized software development costs is estimated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5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4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84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584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84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58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Intangible Assets, net and Goodwill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 except years):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28"/>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1"/>
                <w:szCs w:val="11"/>
                <w:color w:val="auto"/>
              </w:rPr>
            </w:pPr>
          </w:p>
        </w:tc>
        <w:tc>
          <w:tcPr>
            <w:tcW w:w="14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1360" w:type="dxa"/>
            <w:vAlign w:val="bottom"/>
          </w:tcPr>
          <w:p>
            <w:pPr>
              <w:jc w:val="center"/>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6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Useful</w:t>
            </w:r>
          </w:p>
        </w:tc>
        <w:tc>
          <w:tcPr>
            <w:tcW w:w="20" w:type="dxa"/>
            <w:vAlign w:val="bottom"/>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13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Database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 relationships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Domain names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4"/>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28"/>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1"/>
                <w:szCs w:val="11"/>
                <w:color w:val="auto"/>
              </w:rPr>
            </w:pPr>
          </w:p>
        </w:tc>
        <w:tc>
          <w:tcPr>
            <w:tcW w:w="14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1360" w:type="dxa"/>
            <w:vAlign w:val="bottom"/>
          </w:tcPr>
          <w:p>
            <w:pPr>
              <w:jc w:val="center"/>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6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Useful</w:t>
            </w:r>
          </w:p>
        </w:tc>
        <w:tc>
          <w:tcPr>
            <w:tcW w:w="20" w:type="dxa"/>
            <w:vAlign w:val="bottom"/>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13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0" w:type="dxa"/>
            <w:vAlign w:val="bottom"/>
          </w:tcPr>
          <w:p>
            <w:pPr>
              <w:spacing w:after="0"/>
              <w:rPr>
                <w:sz w:val="17"/>
                <w:szCs w:val="17"/>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Database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 relationships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Patents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CCEEFF"/>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with respect to intangible assets totaled $1.1 million and $1.2 million for the three months ended September 30, 2022 and 2021, respectively, and $3.4 million and $3.5 million for the nine months ended September 30, 2022 and 2021, respectively. Future amortization expense with respect to intangible assets is estimated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48"/>
        </w:trPr>
        <w:tc>
          <w:tcPr>
            <w:tcW w:w="9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goodwill balance is solely attributed to acquisitions. The change in the carrying amount of goodwill during the nine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is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2021</w:t>
            </w:r>
          </w:p>
        </w:tc>
        <w:tc>
          <w:tcPr>
            <w:tcW w:w="58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 attributed to WegoWise Transaction</w:t>
            </w:r>
          </w:p>
        </w:tc>
        <w:tc>
          <w:tcPr>
            <w:tcW w:w="5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September 30, 2022</w:t>
            </w:r>
          </w:p>
        </w:tc>
        <w:tc>
          <w:tcPr>
            <w:tcW w:w="5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leases for our corporate offices have remaining lease terms ranging from one to ten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recognized in the Condensed Consolidated Statements of Operations were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8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4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7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2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48"/>
        </w:trPr>
        <w:tc>
          <w:tcPr>
            <w:tcW w:w="4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689"/>
        </w:trPr>
        <w:tc>
          <w:tcPr>
            <w:tcW w:w="56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Lease-related assets and liabilities were as follows (in thousands):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2"/>
        </w:trPr>
        <w:tc>
          <w:tcPr>
            <w:tcW w:w="4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3"/>
                <w:szCs w:val="23"/>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7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w:t>
            </w:r>
          </w:p>
        </w:tc>
      </w:tr>
      <w:tr>
        <w:trPr>
          <w:trHeight w:val="270"/>
        </w:trPr>
        <w:tc>
          <w:tcPr>
            <w:tcW w:w="4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55,733</w:t>
            </w:r>
          </w:p>
        </w:tc>
      </w:tr>
      <w:tr>
        <w:trPr>
          <w:trHeight w:val="223"/>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57,607</w:t>
            </w:r>
          </w:p>
        </w:tc>
      </w:tr>
      <w:tr>
        <w:trPr>
          <w:trHeight w:val="20"/>
        </w:trPr>
        <w:tc>
          <w:tcPr>
            <w:tcW w:w="4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September 30, 2022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5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4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400" w:type="dxa"/>
            <w:vAlign w:val="bottom"/>
            <w:vMerge w:val="restart"/>
          </w:tcPr>
          <w:p>
            <w:pPr>
              <w:jc w:val="right"/>
              <w:ind w:right="3850"/>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During the second quarter of 2022, we decided to exit and make available for sublease certain leased office spaces. As a result, we reassessed our asset groupings and evaluated the recoverability of our right-of-use and other lease related assets, and determined that the carrying value of the respective asset groups of $23.3 million was not fully recoverable. As a result, we utilized discounted cash flow models to estimate the fair value of the asset groups taking into consideration the time period it will take to obtain a sublessee, the applicable discount rate and the anticipated sublease income and calculated the corresponding impairment loss. We used prices and other relevant information generated primarily by recent market transactions involving similar or comparable assets, as well as our historical experience in real estate transactions. When available, we use valuation inputs from independent valuation experts, such as real estate appraisers and brokers, to corroborate our estimates of fair value. We recorded an impairment of $19.4 million consisting of $15.7 million related to right-of-use ("ROU") assets and $3.7 million related to property and equipment associated with our leased office spaces. These charges were recorded within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xml:space="preserve"> in our Condensed Consolidated Statements of Operations.</w:t>
      </w: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 Liability to Landlord Insurance</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 wholly owned subsidiary, Terra Mar Insurance Company, Inc., which was established in connection with reinsuring liability to landlord insurance policies offered to our customers by our third-party service provider. Each policy has a limit of $100 thousand per incident.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September 30, 2022 and December 31, 2021 was $2.9 million and $1.7 million, respectively, and is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w:t>
      </w:r>
    </w:p>
    <w:p>
      <w:pPr>
        <w:spacing w:after="0" w:line="23"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as of September 30, 2022 and December 31, 2021 are $2.7 million and $3.0 million, respectively, of deposits held with a third party related to requirements to maintain collateral for this insurance service.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investigative inquiries, and other disputes arising from or related to matters incident to the ordinary course of our business activities. We are not currently a party to any legal proceedings, nor are we aware of any pending or threatened legal proceedings, that we believe would have a material adverse effect on our business, operating results, cash flows or financial condition should such proceedings be resolved unfavorably.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activity in connection with our stock options for the nine months ended September 30, 2022, is as follows (number of shares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220" w:type="dxa"/>
            <w:vAlign w:val="bottom"/>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122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0" w:type="dxa"/>
            <w:vAlign w:val="bottom"/>
          </w:tcPr>
          <w:p>
            <w:pPr>
              <w:spacing w:after="0"/>
              <w:rPr>
                <w:sz w:val="1"/>
                <w:szCs w:val="1"/>
                <w:color w:val="auto"/>
              </w:rPr>
            </w:pPr>
          </w:p>
        </w:tc>
      </w:tr>
      <w:tr>
        <w:trPr>
          <w:trHeight w:val="229"/>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2021</w:t>
            </w:r>
          </w:p>
        </w:tc>
        <w:tc>
          <w:tcPr>
            <w:tcW w:w="12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September 30, 2022</w:t>
            </w: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4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stock-based compensation expense for stock options was not material for the periods presented.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stock options were granted during the nine months ended September 30, 2022 or 2021.</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activity in connection with our RSUs for the nine months ended September 30, 2022, is as follows (number of shares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7"/>
        </w:trPr>
        <w:tc>
          <w:tcPr>
            <w:tcW w:w="7700" w:type="dxa"/>
            <w:vAlign w:val="bottom"/>
          </w:tcPr>
          <w:p>
            <w:pPr>
              <w:spacing w:after="0"/>
              <w:rPr>
                <w:sz w:val="11"/>
                <w:szCs w:val="11"/>
                <w:color w:val="auto"/>
              </w:rPr>
            </w:pPr>
          </w:p>
        </w:tc>
        <w:tc>
          <w:tcPr>
            <w:tcW w:w="1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jc w:val="center"/>
              <w:ind w:right="5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3"/>
        </w:trPr>
        <w:tc>
          <w:tcPr>
            <w:tcW w:w="77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110.95</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Unvested RSUs as of September 30, 2022 were composed of 1.0 million RSUs with only service conditions and 0.2 million PSUs with both service conditions and performance conditions. RSUs granted with only service conditions generally vest over a four-year period. The number of PSUs granted, as included in the above table, assumes achievement of the performance metric at 100% of the performance target. Of the unvested PSUs as of September 30, 2022, 0.1 million are subject to vesting based on the achievement of pre-established performance metrics for the year ending December 31, 2022 and will vest over a three year period, assuming continued employment throughout the performance period. The actual number of shares to be issued at the end of the performance period will range from 0% to 150% of the target number of shares depending on achievement relative to the performance metric over the applicable period. The remaining 0.1 million PSUs unvested as of September 30, 2022 are subject to vesting based on the achievement of pre-established performance metrics for three year measurement periods ending December 31, 2022 and 2023, assuming continued employment throughout the performance period.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w:t>
      </w:r>
    </w:p>
    <w:p>
      <w:pPr>
        <w:spacing w:after="0" w:line="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recognized stock-based compensation expense for the RSUs and PSUs of $11.5 million and $4.6 million for the three months ended September 30, 2022 and 2021, respectively, and $29.8 million and $11.4 million for the nine months ended September 30, 2022 and 2021, respectively. Excluded from stock-based compensation expense is capitalized software development costs of $0.8 million for the three months ended September 30, 2022 and 2021, and $2.1 million and $2.0 million for the nine months ended September 30, 2022 and 2021, respectively. As of September 30, 2022, the total estimated remaining stock-based compensation expense for the aforementioned RSUs and PSUs was $107.4 million, which is expected to be recognized over a weighted average period of 2.8 years.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A summary of activity in connection with our restricted stock awards ("RSAs") for the nine months ended September 30, 2022 is as follows (number of shares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32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77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2022</w:t>
            </w:r>
          </w:p>
        </w:tc>
        <w:tc>
          <w:tcPr>
            <w:tcW w:w="13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the right to repurchase any unvested RSAs subject to certain conditions. RSAs vest over a one-year period. Our stock-based compensation expense for RSAs was not material for the periods presented.</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 total estimated remaining stock-based compensation expense for unvested RSAs with a repurchase right was $0.4 million, which is expected to be recognized over a weighted average period of 0.7 years.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calculate our provision for (benefit from) income taxes on a quarterly basis by applying an estimated annual effective tax rate to income/loss from operations and by calculating the tax effect of discrete items recognized during the quarter.</w:t>
      </w:r>
    </w:p>
    <w:p>
      <w:pPr>
        <w:spacing w:after="0" w:line="54"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2022, we recorded income tax expense of $0.9 million and $0.9 million, respectively. The effective tax rate as compared to the U.S. federal statutory rate of 21% differs primarily due to the significance of the benefits associated with stock-based compensation expense, research and development tax credits, offset by the change in the valuation allowance against deferred taxes.</w:t>
      </w:r>
    </w:p>
    <w:p>
      <w:pPr>
        <w:spacing w:after="0" w:line="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unrecognized tax benefits during the nine months ended September 30, 2022 and we do not expect to have any significant changes to unrecognized tax benefits through the remainder of the fiscal year.</w:t>
      </w:r>
    </w:p>
    <w:p>
      <w:pPr>
        <w:spacing w:after="0" w:line="4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August 2022, the Inflation Reduction Act of 2022 (“IRA”) was signed into law. The IRA contains several revisions to the Internal Revenue Code, including a 15% corporate minimum income tax on adjusted financial statement income for companies with profits greater than $1.0 billion and a 1% excise tax on corporate stock repurchases in tax years beginning after December 31, 2022. While these tax law changes have no immediate effect and are not expected to have a material adverse effect on our results of operations going forward, we will continue to evaluate its impact as further information becomes available.</w:t>
      </w: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Revenue and Other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categories for the three and nine months ended September 30, 2022 and 2021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solutions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Services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177,535</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125,079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95,809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347,825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263,770</w:t>
            </w: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right="640"/>
        <w:spacing w:after="0" w:line="461" w:lineRule="auto"/>
        <w:rPr>
          <w:sz w:val="20"/>
          <w:szCs w:val="20"/>
          <w:color w:val="auto"/>
        </w:rPr>
      </w:pPr>
      <w:r>
        <w:rPr>
          <w:rFonts w:ascii="Times New Roman" w:cs="Times New Roman" w:eastAsia="Times New Roman" w:hAnsi="Times New Roman"/>
          <w:sz w:val="18"/>
          <w:szCs w:val="18"/>
          <w:color w:val="auto"/>
        </w:rPr>
        <w:t xml:space="preserve">Our revenue is generated primarily from customers in the United States. All of our property and equipment is located in the United States. </w:t>
      </w:r>
      <w:r>
        <w:rPr>
          <w:rFonts w:ascii="Times New Roman" w:cs="Times New Roman" w:eastAsia="Times New Roman" w:hAnsi="Times New Roman"/>
          <w:sz w:val="18"/>
          <w:szCs w:val="18"/>
          <w:b w:val="1"/>
          <w:bCs w:val="1"/>
          <w:i w:val="1"/>
          <w:iCs w:val="1"/>
          <w:color w:val="auto"/>
        </w:rPr>
        <w:t>Deferred Revenue</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Deferred revenue as of September 30, 2022 and December 31, 2021 was $1.1 million and $2.5 million, respectively. During the nine months ended September 30, 2022 and 2021, we recognized $2.3 million and $2.1 million of revenue, respectively, which were included in the deferred revenue balances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Our actual results may differ materially from those expressed or implied by these forward-looking statements as a result of many factors, including those set forth in the section entitled “Risk Factors” in our Annual Report, as well as our other public filings with the SEC. Please also refer to the section of this Quarterly Report entitled "Forward-Looking Statements" for additional information.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provider of cloud business management solutions for the real estate industry. Our solutions enable our customers to digitally transform their businesses, automate and streamline critical business operations and deliver a better customer experience. Our products assist an interconnected and growing ecosystem of users, including property managers, property owners, real estate investment managers, rental prospects, residents, and service providers with critical transactions across the real estate lifecycle, including screening potential tenants, sending and receiving payments and providing insurance-related risk mitigation services. AppFolio’s intuitive interface, coupled with streamlined and automated workflows, make it easier for our customers to eliminate redundant and manual processes so they can deliver a great experience for their users while improving financial and operational performance.</w:t>
      </w:r>
    </w:p>
    <w:p>
      <w:pPr>
        <w:spacing w:after="0" w:line="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work environment to motivate and develop our valuable human capital. As we navigate the challenges of increased competition for talent, we have evolved our compensation and employee reward practices, which has had, and we expect will continue to have, a material impact on our results.</w:t>
      </w:r>
    </w:p>
    <w:p>
      <w:pPr>
        <w:spacing w:after="0" w:line="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Property management units under management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our ability to increase our number of property management units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is an indicator of our market penetration, growth, and potential future business opportunities. We define property management units under management as the number of active units in our core solutions. We had 7.08 million and 6.04 million property management units under management as of September 30, 2022 and 2021, respectively.</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solutions and certain of our Value Added Services are offered on a subscription basis. Our core solutions subscription fees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the subscription period.</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offer certain Value Added Services, which are not covered by our subscription fees, on a per-use basis. Usage-based fees are charged either as a percentage of the transaction amount (e.g., for certain of our electronic payment services) or on a flat fee per transaction basis with no minimum usage commitments (e.g., for our tenant screening and risk mitigation services). We recognize revenue for usage-based services in the period the service is rendered. Our electronic payments services fees are recorded gross of the interchange and payment processing related fees. We generally invoice our usage-based services on a monthly basis or collect the fee at the time of service. A significant majority of our Value Added Services revenue comes directly and indirectly from the use of our electronic payment services, tenant screening services, and risk mitigation services. Usage-based fees are paid either by customers or by users.</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charge our customers for onboarding assistance to our core solutions and certain other non-recurring services. We generally invoice for these other services in advance of the services being completed and recognize revenue upon completion of the related service. We generate revenue from the legacy customers of previously acquired businesses by providing services outside of our property management core solution platform. Revenue derived from these services is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As of September 30, 2022 and 2021, we had 18,109 and 16,844 property management customers,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Many of our Value Added Services are facilitated by third-party service providers. Cost of revenue paid to these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providers includes the cost of electronic interchange and payment processing-related services to support our electronic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 consists of personnel-related costs for our employees focused on sales and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Added Services by our new and existing customers are deferred and then amortized on a straight-line basis over a period of benefit, which we have determined to be three years. We focus our sales and marketing efforts on generating awareness of our software solutions, creating sales leads, establishing and promoting our brands, and cultivating an educated community of successful and vocal customers.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Research and Product Development. </w:t>
      </w:r>
      <w:r>
        <w:rPr>
          <w:rFonts w:ascii="Times New Roman" w:cs="Times New Roman" w:eastAsia="Times New Roman" w:hAnsi="Times New Roman"/>
          <w:sz w:val="18"/>
          <w:szCs w:val="18"/>
          <w:color w:val="auto"/>
        </w:rPr>
        <w:t>Research and product development expense consists of personnel-related costs for our employees focused on</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product development (including salaries, performance-based compensation, benefits, and stock-based compensation), fees for third-party development resources, and allocated shared and other costs. Our research and product development efforts are focused on enhancing functionality and the ease of use of our existing software solutions by adding new core functionality, Value Added Services and other improvements, as well as developing new products and services for existing and adjacent markets. We capitalize our software development costs that meet the criteria for capitalization. Amortization of capitalized software development costs is included in depreciation and amortization expense.</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of personnel-related costs for employees in our executive,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human resources, legal, compliance, corporate development and administrative organizations (including salaries, performance-based cash compensation, benefits, and stock-based compensation). In addition, general and administrative expense includes fees for third-party professional services (including audit, legal, compliance, tax, and consulting services), transaction costs related to business combinations and sales, regulatory fees, other corporate expenses, impairment of long-lived assets, and allocated shared and other costs.</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includes depreciation of property and equipment,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(Loss), Net. </w:t>
      </w:r>
      <w:r>
        <w:rPr>
          <w:rFonts w:ascii="Times New Roman" w:cs="Times New Roman" w:eastAsia="Times New Roman" w:hAnsi="Times New Roman"/>
          <w:sz w:val="18"/>
          <w:szCs w:val="18"/>
          <w:color w:val="auto"/>
        </w:rPr>
        <w:t>Other income (loss), net includes gains and losses associated with the sale of businesses and property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income from certain post-closing transition services provided by us to MyCase, Inc. during fiscal year 2021.</w:t>
      </w:r>
    </w:p>
    <w:p>
      <w:pPr>
        <w:spacing w:after="0" w:line="5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includes interest earned on investment securities, amortization and accretion of the premium and discounts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purchase of investment securities, and interest earned on cash deposited in our bank accounts.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Provision for (Benefit from) Income Taxes. </w:t>
      </w:r>
      <w:r>
        <w:rPr>
          <w:rFonts w:ascii="Times New Roman" w:cs="Times New Roman" w:eastAsia="Times New Roman" w:hAnsi="Times New Roman"/>
          <w:sz w:val="18"/>
          <w:szCs w:val="18"/>
          <w:color w:val="auto"/>
        </w:rPr>
        <w:t>Provision for (benefit from) income taxes consists of federal and state income taxes in the United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1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solutions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20,706</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Services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63,814</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125,079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29,270</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347,825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84,055</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revenue for the three and nine months ended September 30, 2022, compared to the same periods in the prior year, was primarily attributable to growth in our base of property management customers driving an increase in the number of property management units under management, and growth in users of our subscription and usage-based services. During the three and nine month period ended September 30, 2022, we experienced growth of 17% in the number of property management units under management resulting from 8% growth in the number of property management customers, compared to the same periods in the prior year.</w:t>
      </w:r>
    </w:p>
    <w:p>
      <w:pPr>
        <w:spacing w:after="0" w:line="3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20" w:type="dxa"/>
            <w:vAlign w:val="bottom"/>
            <w:gridSpan w:val="4"/>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50,707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38,730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11,977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141,484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104,847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36,637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above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789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214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1,873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364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2022, expenditures to third-party service providers related to the delivery of our Value Added Services increased $8.5 million and $27.2 million, respectively, compared to the same periods in the prior year. These increases were directly associated with the increased adoption and utilization of our Value Added Services. Personnel-related costs, including performance-based compensation, necessary to support growth and key investments, increased $3.5 million and $9.2 million for the three and nine months ended September 30, 2022, respectively, compared to the same periods in the prior year. Additionally, offsetting cost of revenue (exclusive of depreciation and amortization) during the three and nine months ended September 30, 2022 was $0.4 million and during the nine months ended September 30, 2021 was $2.0 million of incentives earned from third-party service providers related to programs intended to increase adoption and utilization of online payments.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percentage of revenue, cost of revenue (exclusive of depreciation and amortization) fluctuates primarily based on the mix of Value Added Services revenue in the period, given the varying percentage of revenue we pay to third-party service providers. We expect cost of revenue (exclusive of depreciation and amortization) for the year ending December 31, 2022, to increase as a percentage of revenue compared to the year ended December 31, 2021, as we expect expenditures to third-party service providers related to the delivery of our Value Added Services to increase at a faster rate than total revenue as a result of a higher growth rate related to our Value Added Services revenue.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1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20" w:type="dxa"/>
            <w:vAlign w:val="bottom"/>
            <w:gridSpan w:val="4"/>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25,644</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96"/>
              </w:rPr>
              <w:t>19,362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6,282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77,558</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96"/>
              </w:rPr>
              <w:t>53,255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24,303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above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1,285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5,496</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3,909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 for the three and nine months ended September 30, 2022 increased primarily due to increases in personnel-related costs, including performance-based compensation, necessary to support growth in the business of $5.0 million and $17.2 million, respectively, compared to the same periods in the prior year. Allocated shared and other costs increased by $1.9 million and $6.6 million for the three and nine months ended September 30, 2022, respectively, compared to the same periods in the prior year, with such increase being primarily related to software and other costs incurred in support of our overall growth.</w:t>
      </w:r>
    </w:p>
    <w:p>
      <w:pPr>
        <w:spacing w:after="0" w:line="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sales and marketing expense for the year ending December 31, 2022 to increase as a percentage of revenue compared to the year ended December 31, 2021, as we continue to invest in headcount to support our growth and increase our advertising, promotion and other marketing activities.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Product Development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16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gridSpan w:val="5"/>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Research and product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28,959</w:t>
            </w: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16,500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12,459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79,966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46,389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33,577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20" w:type="dxa"/>
            <w:vAlign w:val="bottom"/>
          </w:tcPr>
          <w:p>
            <w:pPr>
              <w:spacing w:after="0"/>
              <w:rPr>
                <w:sz w:val="19"/>
                <w:szCs w:val="19"/>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23.2 %</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above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4,330</w:t>
            </w: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1,451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2,879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11,160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3,522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7,638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2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3.5 %</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product development expense for the three and nine months ended September 30, 2022 increased primarily due to an increase in personnel-related costs including performance-based compensation, net of capitalized software development costs, of $11.6 million and $31.5 million, respectively, compared to the same periods in the prior year.</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research and product development expenses for the year ending December 31, 2022 to increase as a percentage of revenue compared to the year ended December 31, 2021, as we continue to invest in our research and product development organization to support our strategy to expand the use cases of our product capabilities to the larger customer segment and to continue to strengthen the security of our product.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20" w:type="dxa"/>
            <w:vAlign w:val="bottom"/>
            <w:gridSpan w:val="4"/>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19,347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13,404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5,943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76,258</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40,971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35,287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above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3,688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2,389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9,680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3,435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6,245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4"/>
        </w:trPr>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for the three months ended September 30, 2022 increased primarily due to an increase in personnel-related costs, including performance-based compensation, of $3.1 million, compared to the same period in the prior year. Allocated shared and other costs increased $0.9 million for the three months ended September 30, 2022, compared to the same period in the prior year, for professional fees, education and training, insurance, software and other costs to support our growth. Additionally, offsetting general and administrative expense for the three months ended September 30, 2021 was a $1.9 million insurance recovery related to our previously disclosed settlement with the Federal Trade Commission (the "FTC").</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for the nine months ended September 30, 2022 increased primarily due to a lease-related asset impairment charge of $19.8 million. Personnel-related costs, including performance-based compensation, increased $10.1 million for the nine months ended September 30, 2022, compared to the same period in the prior year. Allocated shared and other costs increased $3.5 million for the nine months ended September 30, 2022, compared to the same period in the prior year, for professional fees, education and training, insurance, software and other costs to support our growth. Additionally, offsetting general and administrative expense for the nine months ended September 30, 2021 was a $1.9 million insurance recovery related to our previously disclosed settlement with the Federal Trade Commission (the "FTC").</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Excluding the impairment charge, we expect general and administrative expenses for the year ending December 31, 2022 to increase as a percentage of revenue compared to the year ended December 31, 2021, as we continue to invest in headcount. Further, we expect to incur additional personnel-related costs in future periods related to certain incentive-based compensation programs.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1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gridSpan w:val="3"/>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8,241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98"/>
              </w:rPr>
              <w:t>7,826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415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  24,977</w:t>
            </w: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22,844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2,133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6.6 %</w:t>
            </w:r>
          </w:p>
        </w:tc>
        <w:tc>
          <w:tcPr>
            <w:tcW w:w="4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7.2 %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the three and nine months ended September 30, 2022 increased, compared to the same periods in the prior year, primarily due to increased amortization expense associated with accumulated capitalized software development balances.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1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2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4,221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   4,574</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(1,296)%   $</w:t>
            </w:r>
          </w:p>
        </w:tc>
        <w:tc>
          <w:tcPr>
            <w:tcW w:w="8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4,256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8"/>
                <w:szCs w:val="18"/>
                <w:color w:val="auto"/>
              </w:rPr>
              <w:t>3,551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r>
        <w:trPr>
          <w:trHeight w:val="234"/>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3.4 %</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(loss), net for the three and nine months ended September 30, 2022 increased, compared to the same periods in the prior year, primarily due to the gain of $4.2 million associated with the WegoWise Transaction.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0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8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5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Provision for (benefit from)</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938</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1,098</w:t>
            </w:r>
          </w:p>
        </w:tc>
        <w:tc>
          <w:tcPr>
            <w:tcW w:w="66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889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(6,017)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6,906</w:t>
            </w:r>
          </w:p>
        </w:tc>
        <w:tc>
          <w:tcPr>
            <w:tcW w:w="5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6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0.7 %</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*Percentage not meaningful</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effective tax rate as compared to the U.S. federal statutory rate of 21% differs primarily due to the significance of the benefits associated with stock-based compensation expense, and research and development tax credits.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continue to be cash, cash equivalents, and investment securities, as well as cash flows generated from our operations.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the timing and extent of our expansion into new or adjacent markets, and the timing and extent of our investments across our organization. In addition, we have in the past entered into, and may in the future enter into, arrangements to acquire or invest in new technologies or markets adjacent to those we serve today. Furthermore, our Board of Directors has authorized the repurchase of up to $100.0 million of shares of our Class A common stock from time to time. To date, we have repurchased $4.2 million of our Class A common stock under the share repurchase program.</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13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(73,766)</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(55,819)</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spacing w:after="0" w:line="1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$19.3 million for the nine months ended September 30, 2022 compared to net cash provided by operating activities of $26.5 million for the nine months ended September 30, 2021. The net decrease in cash provided by operating activities was primarily due to an increase in employee related costs and the settlement of accounts payable offset by an increase in cash collections from customers due to higher revenue growth and a decrease in income taxes paid related to the sale of MyCase, Inc. during the nine months ended September 30, 2021.</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is generally composed of purchases of investment securities, maturities and sales of investment securities, purchases of property and equipment, and additions to capitalized software development.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2022 was $5.1 million compared to $73.8 million for the nine months ended September 30, 2021. The net decrease in cash used in investing activities was primarily due to decreases in purchases of available-for-sale investment securities and capitalization of software development costs, offset by a decrease in proceeds from sales of available-for-sale investment securities and net proceeds from the WegoWise Transaction.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is generally composed of net share settlements for employee tax withholdings associated with the vesting of equity awards offset by proceeds from the exercise of stock options.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2022 was $5.0 million compared to $8.5 million for the nine months ended September 30, 2021. The decrease in cash used in financing activities was primarily due to a decrease in taxes paid related to net share settlement of equity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360, Property, Plant, and Equipment (“ASC 360”), we evaluate our long-lived assets, such as property and equipment and right-of-use assets, for impairment whenever events and circumstances indicate that the assets might be impaired due to the carrying amount of an asset group not being recoverable. When the projected undiscounted cash flows estimated to be generated by those assets are less than their carrying amounts, the assets are adjusted to their estimated fair value and an impairment loss is recorded as a component of operating expenses.</w:t>
      </w:r>
    </w:p>
    <w:p>
      <w:pPr>
        <w:spacing w:after="0" w:line="5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During the second quarter of 2022, we decided to exit and make available for sublease certain other leased office spaces. As a result, we reassessed our asset groupings and evaluated the recoverability of our right-of-use and other lease related assets, and determined that the carrying value of the respective asset groups was not fully recoverable. As a result, we utilized discounted cash flow models to estimate the fair value of the asset groups and calculated the corresponding impairment loss. We recorded an impairment of $19.4 million consisting of $15.7 million related to ROU assets and $3.7 million related to property and equipment associated with our leased office spaces as described further in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We used the following significant assumptions to determine the impairment charge: time period it will take to obtain a sublessee, the applicable discount rate and the anticipated sublease income.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Qualitative and Quantitative Disclosure about Market Risk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we had $117.2 million of investment securities consisting of United States government agency securities, corporate bonds,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As of September 30, 2022, a hypothetical 100 basis point decrease in interest rates would have resulted in an increase in the fair value of our investment securities of approximately $0.9 million and a hypothetical 100 basis point increase in interest rates would have resulted in a decrease in the fair value of our investment securities of approximately $0.9 million. This estimate is based on a sensitivity model which measures an instant change in interest rates by 100 basis points at September 30,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our management's evaluation, our principal executive officer and principal financial officer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investigative inquiries, legal proceedings and other disputes arising from or related to matters incident to the ordinary course of our business activities, including actions with respect to intellectual property, employment, labor,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28, 2022, as well as in our other public filings with the SEC. If any of the identified risks are realized, our business, financial condition, operating results and prospects could be materially and adversely affected. In that case, the trading price of our Class A common stock may decline, and you could lose all or part of your investment. In addition, other risks of which we are currently unaware, or which we do not currently view as material, could have a material adverse effect on our business, financial condition, operating results and prospects. As of the date of this report, there have been no material changes to the risk factors previously disclosed in the Annual Report. We may, however, disclose changes to such factors or disclose additional factors from time to time in our future filings with the SEC.</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October 25, 2022, Jon Walker, our Founder and Chief Technology Officer, announced his intention to step down from his position as Chief Technology Officer, effective December 31, 2022. Mr. Walker will continue to serve at AppFolio as Founder, focusing primarily on growing the business, and will work to transition the responsibilities of the Chief Technology Officer among others within the organization over the coming months. We do not intend to appoint a new Chief Technology Officer at this time.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3"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8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80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0" w:type="dxa"/>
            <w:vAlign w:val="bottom"/>
            <w:tcBorders>
              <w:top w:val="single" w:sz="8" w:color="auto"/>
            </w:tcBorders>
            <w:gridSpan w:val="7"/>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or Rule 15d-14(a) promulgated under the Securities Exchange Act</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of 1934, as amended.</w:t>
            </w:r>
          </w:p>
        </w:tc>
        <w:tc>
          <w:tcPr>
            <w:tcW w:w="82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promulgated under the Securities Exchange</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Act of 1934, as amended.</w:t>
            </w:r>
          </w:p>
        </w:tc>
        <w:tc>
          <w:tcPr>
            <w:tcW w:w="794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300" w:type="dxa"/>
            <w:vAlign w:val="bottom"/>
            <w:tcBorders>
              <w:top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60" w:right="140" w:hanging="1164"/>
        <w:spacing w:after="0" w:line="218"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AppFolio, Inc.</w:t>
            </w:r>
          </w:p>
        </w:tc>
      </w:tr>
      <w:tr>
        <w:trPr>
          <w:trHeight w:val="9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27, 2022</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Randall</w:t>
            </w: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Randall</w:t>
            </w:r>
          </w:p>
        </w:tc>
      </w:tr>
      <w:tr>
        <w:trPr>
          <w:trHeight w:val="229"/>
        </w:trPr>
        <w:tc>
          <w:tcPr>
            <w:tcW w:w="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0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27, 2022</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Fay Sien Goon</w:t>
            </w: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Fay Sien Goon</w:t>
            </w:r>
          </w:p>
        </w:tc>
      </w:tr>
      <w:tr>
        <w:trPr>
          <w:trHeight w:val="230"/>
        </w:trPr>
        <w:tc>
          <w:tcPr>
            <w:tcW w:w="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7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Randall, certify that:</w:t>
      </w:r>
    </w:p>
    <w:p>
      <w:pPr>
        <w:spacing w:after="0" w:line="144" w:lineRule="exact"/>
        <w:rPr>
          <w:sz w:val="20"/>
          <w:szCs w:val="20"/>
          <w:color w:val="auto"/>
        </w:rPr>
      </w:pPr>
    </w:p>
    <w:p>
      <w:pPr>
        <w:ind w:left="1100" w:hanging="1074"/>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AppFolio, Inc.;</w:t>
      </w:r>
    </w:p>
    <w:p>
      <w:pPr>
        <w:spacing w:after="0" w:line="130" w:lineRule="exact"/>
        <w:rPr>
          <w:rFonts w:ascii="Times New Roman" w:cs="Times New Roman" w:eastAsia="Times New Roman" w:hAnsi="Times New Roman"/>
          <w:sz w:val="18"/>
          <w:szCs w:val="18"/>
          <w:color w:val="auto"/>
        </w:rPr>
      </w:pPr>
    </w:p>
    <w:p>
      <w:pPr>
        <w:jc w:val="both"/>
        <w:ind w:left="1100" w:right="20" w:hanging="1074"/>
        <w:spacing w:after="0" w:line="231"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37"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1100" w:right="20" w:hanging="1074"/>
        <w:spacing w:after="0" w:line="22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2280" w:right="40" w:hanging="519"/>
        <w:spacing w:after="0" w:line="231" w:lineRule="auto"/>
        <w:tabs>
          <w:tab w:leader="none" w:pos="22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2280" w:right="420" w:hanging="519"/>
        <w:spacing w:after="0" w:line="231" w:lineRule="auto"/>
        <w:tabs>
          <w:tab w:leader="none" w:pos="22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jc w:val="both"/>
        <w:ind w:left="2280" w:right="40" w:hanging="519"/>
        <w:spacing w:after="0" w:line="226" w:lineRule="auto"/>
        <w:tabs>
          <w:tab w:leader="none" w:pos="22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2280" w:right="40" w:hanging="519"/>
        <w:spacing w:after="0" w:line="231" w:lineRule="auto"/>
        <w:tabs>
          <w:tab w:leader="none" w:pos="22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63"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7"/>
          <w:szCs w:val="17"/>
          <w:color w:val="auto"/>
        </w:rPr>
      </w:pPr>
    </w:p>
    <w:p>
      <w:pPr>
        <w:jc w:val="both"/>
        <w:ind w:left="2260" w:right="20" w:hanging="520"/>
        <w:spacing w:after="0" w:line="226" w:lineRule="auto"/>
        <w:tabs>
          <w:tab w:leader="none" w:pos="2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2260" w:right="20" w:hanging="520"/>
        <w:spacing w:after="0" w:line="250" w:lineRule="auto"/>
        <w:tabs>
          <w:tab w:leader="none" w:pos="2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700" w:val="left"/>
          <w:tab w:leader="none" w:pos="5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27, 2022</w:t>
      </w:r>
      <w:r>
        <w:rPr>
          <w:sz w:val="20"/>
          <w:szCs w:val="20"/>
          <w:color w:val="auto"/>
        </w:rPr>
        <w:tab/>
      </w:r>
      <w:r>
        <w:rPr>
          <w:rFonts w:ascii="Times New Roman" w:cs="Times New Roman" w:eastAsia="Times New Roman" w:hAnsi="Times New Roman"/>
          <w:sz w:val="17"/>
          <w:szCs w:val="17"/>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3775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Jason Randall</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1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Fay Sien Goon, certify that:</w:t>
      </w:r>
    </w:p>
    <w:p>
      <w:pPr>
        <w:spacing w:after="0" w:line="144" w:lineRule="exact"/>
        <w:rPr>
          <w:sz w:val="20"/>
          <w:szCs w:val="20"/>
          <w:color w:val="auto"/>
        </w:rPr>
      </w:pPr>
    </w:p>
    <w:p>
      <w:pPr>
        <w:ind w:left="1120" w:hanging="1094"/>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AppFolio, Inc.;</w:t>
      </w:r>
    </w:p>
    <w:p>
      <w:pPr>
        <w:spacing w:after="0" w:line="130" w:lineRule="exact"/>
        <w:rPr>
          <w:rFonts w:ascii="Times New Roman" w:cs="Times New Roman" w:eastAsia="Times New Roman" w:hAnsi="Times New Roman"/>
          <w:sz w:val="18"/>
          <w:szCs w:val="18"/>
          <w:color w:val="auto"/>
        </w:rPr>
      </w:pPr>
    </w:p>
    <w:p>
      <w:pPr>
        <w:jc w:val="both"/>
        <w:ind w:left="1100" w:right="20" w:hanging="1074"/>
        <w:spacing w:after="0" w:line="231"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37"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1100" w:right="20" w:hanging="1074"/>
        <w:spacing w:after="0" w:line="226"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92" w:lineRule="exact"/>
        <w:rPr>
          <w:rFonts w:ascii="Times New Roman" w:cs="Times New Roman" w:eastAsia="Times New Roman" w:hAnsi="Times New Roman"/>
          <w:sz w:val="18"/>
          <w:szCs w:val="18"/>
          <w:color w:val="auto"/>
        </w:rPr>
      </w:pPr>
    </w:p>
    <w:p>
      <w:pPr>
        <w:jc w:val="both"/>
        <w:ind w:left="2300" w:right="20" w:hanging="560"/>
        <w:spacing w:after="0" w:line="231" w:lineRule="auto"/>
        <w:tabs>
          <w:tab w:leader="none" w:pos="2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2300" w:right="420" w:hanging="573"/>
        <w:spacing w:after="0" w:line="247" w:lineRule="auto"/>
        <w:tabs>
          <w:tab w:leader="none" w:pos="23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7"/>
          <w:szCs w:val="17"/>
          <w:color w:val="auto"/>
        </w:rPr>
      </w:pPr>
    </w:p>
    <w:p>
      <w:pPr>
        <w:jc w:val="both"/>
        <w:ind w:left="2300" w:right="20" w:hanging="560"/>
        <w:spacing w:after="0" w:line="226" w:lineRule="auto"/>
        <w:tabs>
          <w:tab w:leader="none" w:pos="2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2300" w:right="20" w:hanging="560"/>
        <w:spacing w:after="0" w:line="231" w:lineRule="auto"/>
        <w:tabs>
          <w:tab w:leader="none" w:pos="23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63" w:lineRule="auto"/>
        <w:tabs>
          <w:tab w:leader="none" w:pos="11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7"/>
          <w:szCs w:val="17"/>
          <w:color w:val="auto"/>
        </w:rPr>
      </w:pPr>
    </w:p>
    <w:p>
      <w:pPr>
        <w:jc w:val="both"/>
        <w:ind w:left="2400" w:right="20" w:hanging="646"/>
        <w:spacing w:after="0" w:line="226" w:lineRule="auto"/>
        <w:tabs>
          <w:tab w:leader="none" w:pos="24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sz w:val="20"/>
          <w:szCs w:val="20"/>
          <w:color w:val="auto"/>
        </w:rPr>
      </w:pPr>
    </w:p>
    <w:p>
      <w:pPr>
        <w:ind w:left="2400" w:right="20" w:hanging="646"/>
        <w:spacing w:after="0" w:line="250" w:lineRule="auto"/>
        <w:tabs>
          <w:tab w:leader="none" w:pos="2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20"/>
        <w:spacing w:after="0"/>
        <w:tabs>
          <w:tab w:leader="none" w:pos="720" w:val="left"/>
          <w:tab w:leader="none" w:pos="5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27, 2022</w:t>
      </w:r>
      <w:r>
        <w:rPr>
          <w:sz w:val="20"/>
          <w:szCs w:val="20"/>
          <w:color w:val="auto"/>
        </w:rPr>
        <w:tab/>
      </w:r>
      <w:r>
        <w:rPr>
          <w:rFonts w:ascii="Times New Roman" w:cs="Times New Roman" w:eastAsia="Times New Roman" w:hAnsi="Times New Roman"/>
          <w:sz w:val="18"/>
          <w:szCs w:val="18"/>
          <w:color w:val="auto"/>
        </w:rPr>
        <w:t>/s/ Fay Sien Goon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Fay Sien Goon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413" w:right="339" w:bottom="1440" w:gutter="0" w:footer="0" w:header="0"/>
        </w:sectPr>
      </w:pPr>
    </w:p>
    <w:bookmarkStart w:id="34" w:name="page35"/>
    <w:bookmarkEnd w:id="34"/>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certifications are hereby made in connection with the Quarterly Report on Form 10-Q of AppFolio, Inc. (the “Company”) for the period ended September 30, 2022, as filed with the Securities and Exchange Commission on the date hereof (the “Report”):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27, 2022</w:t>
            </w:r>
          </w:p>
        </w:tc>
        <w:tc>
          <w:tcPr>
            <w:tcW w:w="2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Randall</w:t>
            </w:r>
          </w:p>
        </w:tc>
      </w:tr>
      <w:tr>
        <w:trPr>
          <w:trHeight w:val="218"/>
        </w:trPr>
        <w:tc>
          <w:tcPr>
            <w:tcW w:w="6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Randall</w:t>
            </w:r>
          </w:p>
        </w:tc>
      </w:tr>
      <w:tr>
        <w:trPr>
          <w:trHeight w:val="234"/>
        </w:trPr>
        <w:tc>
          <w:tcPr>
            <w:tcW w:w="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27, 2022</w:t>
            </w:r>
          </w:p>
        </w:tc>
        <w:tc>
          <w:tcPr>
            <w:tcW w:w="2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Fay Sien Goon</w:t>
            </w:r>
          </w:p>
        </w:tc>
      </w:tr>
      <w:tr>
        <w:trPr>
          <w:trHeight w:val="218"/>
        </w:trPr>
        <w:tc>
          <w:tcPr>
            <w:tcW w:w="6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Fay Sien Goon</w:t>
            </w:r>
          </w:p>
        </w:tc>
      </w:tr>
      <w:tr>
        <w:trPr>
          <w:trHeight w:val="234"/>
        </w:trPr>
        <w:tc>
          <w:tcPr>
            <w:tcW w:w="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6">
    <w:nsid w:val="79E2A9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2022-10-28T05:18:58Z</dcterms:created>
  <dcterms:modified xsi:type="dcterms:W3CDTF">2022-10-28T05:18:58Z</dcterms:modified>
</cp:coreProperties>
</file>