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6" w:lineRule="exact"/>
        <w:rPr>
          <w:sz w:val="24"/>
          <w:szCs w:val="24"/>
          <w:color w:val="auto"/>
        </w:rPr>
      </w:pPr>
    </w:p>
    <w:p>
      <w:pPr>
        <w:ind w:left="5188"/>
        <w:spacing w:after="0"/>
        <w:rPr>
          <w:sz w:val="20"/>
          <w:szCs w:val="20"/>
          <w:color w:val="auto"/>
        </w:rPr>
      </w:pPr>
      <w:r>
        <w:rPr>
          <w:rFonts w:ascii="Times New Roman" w:cs="Times New Roman" w:eastAsia="Times New Roman" w:hAnsi="Times New Roman"/>
          <w:sz w:val="11"/>
          <w:szCs w:val="11"/>
          <w:b w:val="1"/>
          <w:bCs w:val="1"/>
          <w:color w:val="auto"/>
        </w:rPr>
        <w:t>_________________</w:t>
      </w:r>
    </w:p>
    <w:p>
      <w:pPr>
        <w:spacing w:after="0" w:line="144"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33" w:lineRule="exact"/>
        <w:rPr>
          <w:sz w:val="24"/>
          <w:szCs w:val="24"/>
          <w:color w:val="auto"/>
        </w:rPr>
      </w:pPr>
    </w:p>
    <w:p>
      <w:pPr>
        <w:ind w:left="5188"/>
        <w:spacing w:after="0"/>
        <w:rPr>
          <w:sz w:val="20"/>
          <w:szCs w:val="20"/>
          <w:color w:val="auto"/>
        </w:rPr>
      </w:pPr>
      <w:r>
        <w:rPr>
          <w:rFonts w:ascii="Times New Roman" w:cs="Times New Roman" w:eastAsia="Times New Roman" w:hAnsi="Times New Roman"/>
          <w:sz w:val="11"/>
          <w:szCs w:val="11"/>
          <w:b w:val="1"/>
          <w:bCs w:val="1"/>
          <w:color w:val="auto"/>
        </w:rPr>
        <w:t>_________________</w:t>
      </w:r>
    </w:p>
    <w:p>
      <w:pPr>
        <w:spacing w:after="0" w:line="200" w:lineRule="exact"/>
        <w:rPr>
          <w:sz w:val="24"/>
          <w:szCs w:val="24"/>
          <w:color w:val="auto"/>
        </w:rPr>
      </w:pPr>
    </w:p>
    <w:p>
      <w:pPr>
        <w:spacing w:after="0" w:line="245"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17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234"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62"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1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980" w:type="dxa"/>
            <w:vAlign w:val="bottom"/>
            <w:gridSpan w:val="3"/>
          </w:tcPr>
          <w:p>
            <w:pPr>
              <w:ind w:left="1560"/>
              <w:spacing w:after="0"/>
              <w:rPr>
                <w:sz w:val="20"/>
                <w:szCs w:val="20"/>
                <w:color w:val="auto"/>
              </w:rPr>
            </w:pPr>
            <w:r>
              <w:rPr>
                <w:rFonts w:ascii="Times New Roman" w:cs="Times New Roman" w:eastAsia="Times New Roman" w:hAnsi="Times New Roman"/>
                <w:sz w:val="11"/>
                <w:szCs w:val="11"/>
                <w:b w:val="1"/>
                <w:bCs w:val="1"/>
                <w:color w:val="auto"/>
                <w:w w:val="98"/>
              </w:rPr>
              <w:t>For the transition period from</w:t>
            </w: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6"/>
              </w:rPr>
              <w:t>to</w:t>
            </w:r>
          </w:p>
        </w:tc>
        <w:tc>
          <w:tcPr>
            <w:tcW w:w="540" w:type="dxa"/>
            <w:vAlign w:val="bottom"/>
            <w:tcBorders>
              <w:bottom w:val="single" w:sz="8" w:color="auto"/>
            </w:tcBorders>
          </w:tcPr>
          <w:p>
            <w:pPr>
              <w:spacing w:after="0"/>
              <w:rPr>
                <w:sz w:val="11"/>
                <w:szCs w:val="11"/>
                <w:color w:val="auto"/>
              </w:rPr>
            </w:pPr>
          </w:p>
        </w:tc>
        <w:tc>
          <w:tcPr>
            <w:tcW w:w="3080" w:type="dxa"/>
            <w:vAlign w:val="bottom"/>
            <w:gridSpan w:val="2"/>
          </w:tcPr>
          <w:p>
            <w:pPr>
              <w:spacing w:after="0"/>
              <w:rPr>
                <w:sz w:val="11"/>
                <w:szCs w:val="11"/>
                <w:color w:val="auto"/>
              </w:rPr>
            </w:pPr>
          </w:p>
        </w:tc>
      </w:tr>
      <w:tr>
        <w:trPr>
          <w:trHeight w:val="291"/>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gridSpan w:val="9"/>
          </w:tcPr>
          <w:p>
            <w:pPr>
              <w:jc w:val="center"/>
              <w:ind w:right="1464"/>
              <w:spacing w:after="0"/>
              <w:rPr>
                <w:sz w:val="20"/>
                <w:szCs w:val="20"/>
                <w:color w:val="auto"/>
              </w:rPr>
            </w:pPr>
            <w:r>
              <w:rPr>
                <w:rFonts w:ascii="Times New Roman" w:cs="Times New Roman" w:eastAsia="Times New Roman" w:hAnsi="Times New Roman"/>
                <w:sz w:val="11"/>
                <w:szCs w:val="11"/>
                <w:b w:val="1"/>
                <w:bCs w:val="1"/>
                <w:color w:val="auto"/>
                <w:w w:val="98"/>
              </w:rPr>
              <w:t>Commission File Number 001-37468</w:t>
            </w:r>
          </w:p>
        </w:tc>
      </w:tr>
      <w:tr>
        <w:trPr>
          <w:trHeight w:val="189"/>
        </w:trPr>
        <w:tc>
          <w:tcPr>
            <w:tcW w:w="6280" w:type="dxa"/>
            <w:vAlign w:val="bottom"/>
            <w:gridSpan w:val="6"/>
          </w:tcPr>
          <w:p>
            <w:pPr>
              <w:jc w:val="center"/>
              <w:ind w:left="4945"/>
              <w:spacing w:after="0"/>
              <w:rPr>
                <w:sz w:val="20"/>
                <w:szCs w:val="20"/>
                <w:color w:val="auto"/>
              </w:rPr>
            </w:pPr>
            <w:r>
              <w:rPr>
                <w:rFonts w:ascii="Times New Roman" w:cs="Times New Roman" w:eastAsia="Times New Roman" w:hAnsi="Times New Roman"/>
                <w:sz w:val="11"/>
                <w:szCs w:val="11"/>
                <w:b w:val="1"/>
                <w:bCs w:val="1"/>
                <w:color w:val="auto"/>
                <w:w w:val="98"/>
              </w:rPr>
              <w:t>_________________</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90"/>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40" w:type="dxa"/>
            <w:vAlign w:val="bottom"/>
            <w:gridSpan w:val="5"/>
          </w:tcPr>
          <w:p>
            <w:pPr>
              <w:jc w:val="center"/>
              <w:ind w:left="2179"/>
              <w:spacing w:after="0"/>
              <w:rPr>
                <w:sz w:val="20"/>
                <w:szCs w:val="20"/>
                <w:color w:val="auto"/>
              </w:rPr>
            </w:pPr>
            <w:r>
              <w:rPr>
                <w:rFonts w:ascii="Times New Roman" w:cs="Times New Roman" w:eastAsia="Times New Roman" w:hAnsi="Times New Roman"/>
                <w:sz w:val="19"/>
                <w:szCs w:val="19"/>
                <w:b w:val="1"/>
                <w:bCs w:val="1"/>
                <w:color w:val="auto"/>
              </w:rPr>
              <w:t>AppFolio, Inc.</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42"/>
        </w:trPr>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80" w:type="dxa"/>
            <w:vAlign w:val="bottom"/>
            <w:gridSpan w:val="9"/>
          </w:tcPr>
          <w:p>
            <w:pPr>
              <w:jc w:val="center"/>
              <w:ind w:right="1444"/>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r>
      <w:tr>
        <w:trPr>
          <w:trHeight w:val="189"/>
        </w:trPr>
        <w:tc>
          <w:tcPr>
            <w:tcW w:w="6280" w:type="dxa"/>
            <w:vAlign w:val="bottom"/>
            <w:gridSpan w:val="6"/>
          </w:tcPr>
          <w:p>
            <w:pPr>
              <w:jc w:val="center"/>
              <w:ind w:left="4945"/>
              <w:spacing w:after="0"/>
              <w:rPr>
                <w:sz w:val="20"/>
                <w:szCs w:val="20"/>
                <w:color w:val="auto"/>
              </w:rPr>
            </w:pPr>
            <w:r>
              <w:rPr>
                <w:rFonts w:ascii="Times New Roman" w:cs="Times New Roman" w:eastAsia="Times New Roman" w:hAnsi="Times New Roman"/>
                <w:sz w:val="11"/>
                <w:szCs w:val="11"/>
                <w:b w:val="1"/>
                <w:bCs w:val="1"/>
                <w:color w:val="auto"/>
                <w:w w:val="98"/>
              </w:rPr>
              <w:t>_________________</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3"/>
        </w:trPr>
        <w:tc>
          <w:tcPr>
            <w:tcW w:w="1940" w:type="dxa"/>
            <w:vAlign w:val="bottom"/>
          </w:tcPr>
          <w:p>
            <w:pPr>
              <w:spacing w:after="0"/>
              <w:rPr>
                <w:sz w:val="19"/>
                <w:szCs w:val="19"/>
                <w:color w:val="auto"/>
              </w:rPr>
            </w:pPr>
          </w:p>
        </w:tc>
        <w:tc>
          <w:tcPr>
            <w:tcW w:w="3440" w:type="dxa"/>
            <w:vAlign w:val="bottom"/>
            <w:gridSpan w:val="2"/>
          </w:tcPr>
          <w:p>
            <w:pPr>
              <w:jc w:val="center"/>
              <w:ind w:right="1419"/>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gridSpan w:val="4"/>
          </w:tcPr>
          <w:p>
            <w:pPr>
              <w:jc w:val="right"/>
              <w:ind w:right="1104"/>
              <w:spacing w:after="0"/>
              <w:rPr>
                <w:sz w:val="20"/>
                <w:szCs w:val="20"/>
                <w:color w:val="auto"/>
              </w:rPr>
            </w:pPr>
            <w:r>
              <w:rPr>
                <w:rFonts w:ascii="Times New Roman" w:cs="Times New Roman" w:eastAsia="Times New Roman" w:hAnsi="Times New Roman"/>
                <w:sz w:val="12"/>
                <w:szCs w:val="12"/>
                <w:b w:val="1"/>
                <w:bCs w:val="1"/>
                <w:color w:val="auto"/>
              </w:rPr>
              <w:t>26-0359894</w:t>
            </w:r>
          </w:p>
        </w:tc>
      </w:tr>
      <w:tr>
        <w:trPr>
          <w:trHeight w:val="159"/>
        </w:trPr>
        <w:tc>
          <w:tcPr>
            <w:tcW w:w="5380" w:type="dxa"/>
            <w:vAlign w:val="bottom"/>
            <w:gridSpan w:val="3"/>
          </w:tcPr>
          <w:p>
            <w:pPr>
              <w:jc w:val="center"/>
              <w:ind w:left="405"/>
              <w:spacing w:after="0"/>
              <w:rPr>
                <w:sz w:val="20"/>
                <w:szCs w:val="20"/>
                <w:color w:val="auto"/>
              </w:rPr>
            </w:pPr>
            <w:r>
              <w:rPr>
                <w:rFonts w:ascii="Times New Roman" w:cs="Times New Roman" w:eastAsia="Times New Roman" w:hAnsi="Times New Roman"/>
                <w:sz w:val="12"/>
                <w:szCs w:val="12"/>
                <w:b w:val="1"/>
                <w:bCs w:val="1"/>
                <w:i w:val="1"/>
                <w:iCs w:val="1"/>
                <w:color w:val="auto"/>
                <w:w w:val="99"/>
              </w:rPr>
              <w:t>(State of incorporation or organization)</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80" w:type="dxa"/>
            <w:vAlign w:val="bottom"/>
            <w:gridSpan w:val="2"/>
          </w:tcPr>
          <w:p>
            <w:pPr>
              <w:jc w:val="center"/>
              <w:ind w:left="120"/>
              <w:spacing w:after="0"/>
              <w:rPr>
                <w:sz w:val="20"/>
                <w:szCs w:val="20"/>
                <w:color w:val="auto"/>
              </w:rPr>
            </w:pPr>
            <w:r>
              <w:rPr>
                <w:rFonts w:ascii="Times New Roman" w:cs="Times New Roman" w:eastAsia="Times New Roman" w:hAnsi="Times New Roman"/>
                <w:sz w:val="12"/>
                <w:szCs w:val="12"/>
                <w:b w:val="1"/>
                <w:bCs w:val="1"/>
                <w:i w:val="1"/>
                <w:iCs w:val="1"/>
                <w:color w:val="auto"/>
                <w:w w:val="99"/>
              </w:rPr>
              <w:t>(I.R.S. Employer Identification No.)</w:t>
            </w:r>
          </w:p>
        </w:tc>
      </w:tr>
      <w:tr>
        <w:trPr>
          <w:trHeight w:val="291"/>
        </w:trPr>
        <w:tc>
          <w:tcPr>
            <w:tcW w:w="1940" w:type="dxa"/>
            <w:vAlign w:val="bottom"/>
          </w:tcPr>
          <w:p>
            <w:pPr>
              <w:spacing w:after="0"/>
              <w:rPr>
                <w:sz w:val="24"/>
                <w:szCs w:val="24"/>
                <w:color w:val="auto"/>
              </w:rPr>
            </w:pPr>
          </w:p>
        </w:tc>
        <w:tc>
          <w:tcPr>
            <w:tcW w:w="3440" w:type="dxa"/>
            <w:vAlign w:val="bottom"/>
            <w:gridSpan w:val="2"/>
          </w:tcPr>
          <w:p>
            <w:pPr>
              <w:jc w:val="center"/>
              <w:ind w:right="1419"/>
              <w:spacing w:after="0"/>
              <w:rPr>
                <w:sz w:val="20"/>
                <w:szCs w:val="20"/>
                <w:color w:val="auto"/>
              </w:rPr>
            </w:pPr>
            <w:r>
              <w:rPr>
                <w:rFonts w:ascii="Times New Roman" w:cs="Times New Roman" w:eastAsia="Times New Roman" w:hAnsi="Times New Roman"/>
                <w:sz w:val="12"/>
                <w:szCs w:val="12"/>
                <w:b w:val="1"/>
                <w:bCs w:val="1"/>
                <w:color w:val="auto"/>
                <w:w w:val="99"/>
              </w:rPr>
              <w:t>70 Castilian Drive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53"/>
        </w:trPr>
        <w:tc>
          <w:tcPr>
            <w:tcW w:w="1940" w:type="dxa"/>
            <w:vAlign w:val="bottom"/>
          </w:tcPr>
          <w:p>
            <w:pPr>
              <w:spacing w:after="0"/>
              <w:rPr>
                <w:sz w:val="13"/>
                <w:szCs w:val="13"/>
                <w:color w:val="auto"/>
              </w:rPr>
            </w:pPr>
          </w:p>
        </w:tc>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Santa Barbara, California</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gridSpan w:val="4"/>
          </w:tcPr>
          <w:p>
            <w:pPr>
              <w:jc w:val="right"/>
              <w:ind w:right="1244"/>
              <w:spacing w:after="0"/>
              <w:rPr>
                <w:sz w:val="20"/>
                <w:szCs w:val="20"/>
                <w:color w:val="auto"/>
              </w:rPr>
            </w:pPr>
            <w:r>
              <w:rPr>
                <w:rFonts w:ascii="Times New Roman" w:cs="Times New Roman" w:eastAsia="Times New Roman" w:hAnsi="Times New Roman"/>
                <w:sz w:val="12"/>
                <w:szCs w:val="12"/>
                <w:b w:val="1"/>
                <w:bCs w:val="1"/>
                <w:i w:val="1"/>
                <w:iCs w:val="1"/>
                <w:color w:val="auto"/>
              </w:rPr>
              <w:t>93117</w:t>
            </w:r>
          </w:p>
        </w:tc>
      </w:tr>
      <w:tr>
        <w:trPr>
          <w:trHeight w:val="159"/>
        </w:trPr>
        <w:tc>
          <w:tcPr>
            <w:tcW w:w="1940" w:type="dxa"/>
            <w:vAlign w:val="bottom"/>
          </w:tcPr>
          <w:p>
            <w:pPr>
              <w:spacing w:after="0"/>
              <w:rPr>
                <w:sz w:val="13"/>
                <w:szCs w:val="13"/>
                <w:color w:val="auto"/>
              </w:rPr>
            </w:pPr>
          </w:p>
        </w:tc>
        <w:tc>
          <w:tcPr>
            <w:tcW w:w="3440" w:type="dxa"/>
            <w:vAlign w:val="bottom"/>
            <w:gridSpan w:val="2"/>
          </w:tcPr>
          <w:p>
            <w:pPr>
              <w:jc w:val="center"/>
              <w:ind w:right="1419"/>
              <w:spacing w:after="0"/>
              <w:rPr>
                <w:sz w:val="20"/>
                <w:szCs w:val="20"/>
                <w:color w:val="auto"/>
              </w:rPr>
            </w:pPr>
            <w:r>
              <w:rPr>
                <w:rFonts w:ascii="Times New Roman" w:cs="Times New Roman" w:eastAsia="Times New Roman" w:hAnsi="Times New Roman"/>
                <w:sz w:val="12"/>
                <w:szCs w:val="12"/>
                <w:b w:val="1"/>
                <w:bCs w:val="1"/>
                <w:i w:val="1"/>
                <w:iCs w:val="1"/>
                <w:color w:val="auto"/>
                <w:w w:val="99"/>
              </w:rPr>
              <w:t>(Address of principal executive offices)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60" w:type="dxa"/>
            <w:vAlign w:val="bottom"/>
          </w:tcPr>
          <w:p>
            <w:pPr>
              <w:jc w:val="center"/>
              <w:ind w:right="1084"/>
              <w:spacing w:after="0"/>
              <w:rPr>
                <w:sz w:val="20"/>
                <w:szCs w:val="20"/>
                <w:color w:val="auto"/>
              </w:rPr>
            </w:pPr>
            <w:r>
              <w:rPr>
                <w:rFonts w:ascii="Times New Roman" w:cs="Times New Roman" w:eastAsia="Times New Roman" w:hAnsi="Times New Roman"/>
                <w:sz w:val="12"/>
                <w:szCs w:val="12"/>
                <w:b w:val="1"/>
                <w:bCs w:val="1"/>
                <w:i w:val="1"/>
                <w:iCs w:val="1"/>
                <w:color w:val="auto"/>
              </w:rPr>
              <w:t>(Zip Code)</w:t>
            </w:r>
          </w:p>
        </w:tc>
      </w:tr>
      <w:tr>
        <w:trPr>
          <w:trHeight w:val="378"/>
        </w:trPr>
        <w:tc>
          <w:tcPr>
            <w:tcW w:w="6280" w:type="dxa"/>
            <w:vAlign w:val="bottom"/>
            <w:gridSpan w:val="6"/>
          </w:tcPr>
          <w:p>
            <w:pPr>
              <w:jc w:val="center"/>
              <w:ind w:left="4965"/>
              <w:spacing w:after="0"/>
              <w:rPr>
                <w:sz w:val="20"/>
                <w:szCs w:val="20"/>
                <w:color w:val="auto"/>
              </w:rPr>
            </w:pPr>
            <w:r>
              <w:rPr>
                <w:rFonts w:ascii="Times New Roman" w:cs="Times New Roman" w:eastAsia="Times New Roman" w:hAnsi="Times New Roman"/>
                <w:sz w:val="12"/>
                <w:szCs w:val="12"/>
                <w:b w:val="1"/>
                <w:bCs w:val="1"/>
                <w:color w:val="auto"/>
                <w:w w:val="98"/>
              </w:rPr>
              <w:t>(805) 364-6093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0"/>
        </w:trPr>
        <w:tc>
          <w:tcPr>
            <w:tcW w:w="1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80" w:type="dxa"/>
            <w:vAlign w:val="bottom"/>
            <w:gridSpan w:val="9"/>
          </w:tcPr>
          <w:p>
            <w:pPr>
              <w:jc w:val="center"/>
              <w:ind w:right="1444"/>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w:t>
            </w:r>
          </w:p>
        </w:tc>
      </w:tr>
      <w:tr>
        <w:trPr>
          <w:trHeight w:val="320"/>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gridSpan w:val="9"/>
          </w:tcPr>
          <w:p>
            <w:pPr>
              <w:jc w:val="center"/>
              <w:ind w:right="1464"/>
              <w:spacing w:after="0"/>
              <w:rPr>
                <w:sz w:val="20"/>
                <w:szCs w:val="20"/>
                <w:color w:val="auto"/>
              </w:rPr>
            </w:pPr>
            <w:r>
              <w:rPr>
                <w:rFonts w:ascii="Times New Roman" w:cs="Times New Roman" w:eastAsia="Times New Roman" w:hAnsi="Times New Roman"/>
                <w:sz w:val="11"/>
                <w:szCs w:val="11"/>
                <w:b w:val="1"/>
                <w:bCs w:val="1"/>
                <w:color w:val="auto"/>
                <w:w w:val="98"/>
              </w:rPr>
              <w:t>Securities registered pursuant to Section 12(b) of the Exchange Act:</w:t>
            </w:r>
          </w:p>
        </w:tc>
      </w:tr>
      <w:tr>
        <w:trPr>
          <w:trHeight w:val="328"/>
        </w:trPr>
        <w:tc>
          <w:tcPr>
            <w:tcW w:w="194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exchange on which registered</w:t>
            </w:r>
          </w:p>
        </w:tc>
      </w:tr>
      <w:tr>
        <w:trPr>
          <w:trHeight w:val="147"/>
        </w:trPr>
        <w:tc>
          <w:tcPr>
            <w:tcW w:w="5380" w:type="dxa"/>
            <w:vAlign w:val="bottom"/>
            <w:gridSpan w:val="3"/>
          </w:tcPr>
          <w:p>
            <w:pPr>
              <w:jc w:val="center"/>
              <w:ind w:right="599"/>
              <w:spacing w:after="0"/>
              <w:rPr>
                <w:sz w:val="20"/>
                <w:szCs w:val="20"/>
                <w:color w:val="auto"/>
              </w:rPr>
            </w:pPr>
            <w:r>
              <w:rPr>
                <w:rFonts w:ascii="Times New Roman" w:cs="Times New Roman" w:eastAsia="Times New Roman" w:hAnsi="Times New Roman"/>
                <w:sz w:val="11"/>
                <w:szCs w:val="11"/>
                <w:b w:val="1"/>
                <w:bCs w:val="1"/>
                <w:color w:val="auto"/>
                <w:w w:val="97"/>
              </w:rPr>
              <w:t>Class A common stock, par value $0.0001 per share</w:t>
            </w:r>
          </w:p>
        </w:tc>
        <w:tc>
          <w:tcPr>
            <w:tcW w:w="6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APPF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r>
      <w:tr>
        <w:trPr>
          <w:trHeight w:val="351"/>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gridSpan w:val="9"/>
          </w:tcPr>
          <w:p>
            <w:pPr>
              <w:jc w:val="center"/>
              <w:ind w:right="1464"/>
              <w:spacing w:after="0"/>
              <w:rPr>
                <w:sz w:val="20"/>
                <w:szCs w:val="20"/>
                <w:color w:val="auto"/>
              </w:rPr>
            </w:pPr>
            <w:r>
              <w:rPr>
                <w:rFonts w:ascii="Times New Roman" w:cs="Times New Roman" w:eastAsia="Times New Roman" w:hAnsi="Times New Roman"/>
                <w:sz w:val="11"/>
                <w:szCs w:val="11"/>
                <w:b w:val="1"/>
                <w:bCs w:val="1"/>
                <w:color w:val="auto"/>
                <w:w w:val="98"/>
              </w:rPr>
              <w:t>Securities registered pursuant to Section 12(g) of the Exchange Act:</w:t>
            </w:r>
          </w:p>
        </w:tc>
      </w:tr>
      <w:tr>
        <w:trPr>
          <w:trHeight w:val="207"/>
        </w:trPr>
        <w:tc>
          <w:tcPr>
            <w:tcW w:w="1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98"/>
        </w:trPr>
        <w:tc>
          <w:tcPr>
            <w:tcW w:w="6280" w:type="dxa"/>
            <w:vAlign w:val="bottom"/>
            <w:gridSpan w:val="6"/>
          </w:tcPr>
          <w:p>
            <w:pPr>
              <w:jc w:val="center"/>
              <w:ind w:left="4945"/>
              <w:spacing w:after="0"/>
              <w:rPr>
                <w:sz w:val="20"/>
                <w:szCs w:val="20"/>
                <w:color w:val="auto"/>
              </w:rPr>
            </w:pPr>
            <w:r>
              <w:rPr>
                <w:rFonts w:ascii="Times New Roman" w:cs="Times New Roman" w:eastAsia="Times New Roman" w:hAnsi="Times New Roman"/>
                <w:sz w:val="11"/>
                <w:szCs w:val="11"/>
                <w:b w:val="1"/>
                <w:bCs w:val="1"/>
                <w:color w:val="auto"/>
                <w:w w:val="98"/>
              </w:rPr>
              <w:t>_________________</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48"/>
        </w:trPr>
        <w:tc>
          <w:tcPr>
            <w:tcW w:w="6300" w:type="dxa"/>
            <w:vAlign w:val="bottom"/>
            <w:gridSpan w:val="7"/>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7"/>
        </w:trPr>
        <w:tc>
          <w:tcPr>
            <w:tcW w:w="5380" w:type="dxa"/>
            <w:vAlign w:val="bottom"/>
            <w:gridSpan w:val="3"/>
          </w:tcPr>
          <w:p>
            <w:pPr>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15(d) of the Act. Yes</w:t>
            </w:r>
          </w:p>
        </w:tc>
        <w:tc>
          <w:tcPr>
            <w:tcW w:w="920" w:type="dxa"/>
            <w:vAlign w:val="bottom"/>
            <w:gridSpan w:val="4"/>
          </w:tcPr>
          <w:p>
            <w:pPr>
              <w:ind w:left="20"/>
              <w:spacing w:after="0" w:line="127"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13" w:lineRule="exact"/>
        <w:rPr>
          <w:sz w:val="24"/>
          <w:szCs w:val="24"/>
          <w:color w:val="auto"/>
        </w:rPr>
      </w:pPr>
    </w:p>
    <w:p>
      <w:pPr>
        <w:jc w:val="both"/>
        <w:ind w:left="8"/>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32" w:lineRule="exact"/>
        <w:rPr>
          <w:sz w:val="24"/>
          <w:szCs w:val="24"/>
          <w:color w:val="auto"/>
        </w:rPr>
      </w:pPr>
    </w:p>
    <w:p>
      <w:pPr>
        <w:jc w:val="both"/>
        <w:ind w:left="8"/>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32" w:lineRule="exact"/>
        <w:rPr>
          <w:sz w:val="24"/>
          <w:szCs w:val="24"/>
          <w:color w:val="auto"/>
        </w:rPr>
      </w:pPr>
    </w:p>
    <w:p>
      <w:pPr>
        <w:jc w:val="both"/>
        <w:ind w:left="8"/>
        <w:spacing w:after="0" w:line="26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9" w:lineRule="exact"/>
        <w:rPr>
          <w:sz w:val="24"/>
          <w:szCs w:val="24"/>
          <w:color w:val="auto"/>
        </w:rPr>
      </w:pPr>
    </w:p>
    <w:tbl>
      <w:tblPr>
        <w:tblLayout w:type="fixed"/>
        <w:tblInd w:w="8"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700" w:type="dxa"/>
            <w:vAlign w:val="bottom"/>
          </w:tcPr>
          <w:p>
            <w:pPr>
              <w:ind w:left="80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Accelerated filer</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2"/>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700" w:type="dxa"/>
            <w:vAlign w:val="bottom"/>
          </w:tcPr>
          <w:p>
            <w:pPr>
              <w:ind w:left="80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2"/>
        </w:trPr>
        <w:tc>
          <w:tcPr>
            <w:tcW w:w="17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7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Emerging growth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8"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86" w:lineRule="exact"/>
        <w:rPr>
          <w:sz w:val="24"/>
          <w:szCs w:val="24"/>
          <w:color w:val="auto"/>
        </w:rPr>
      </w:pPr>
    </w:p>
    <w:p>
      <w:pPr>
        <w:jc w:val="both"/>
        <w:ind w:left="8" w:right="24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4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w:t>
      </w:r>
    </w:p>
    <w:p>
      <w:pPr>
        <w:spacing w:after="0" w:line="12"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59" w:lineRule="exact"/>
        <w:rPr>
          <w:sz w:val="24"/>
          <w:szCs w:val="24"/>
          <w:color w:val="auto"/>
        </w:rPr>
      </w:pPr>
    </w:p>
    <w:p>
      <w:pPr>
        <w:ind w:left="8" w:right="18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09"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86" w:lineRule="exact"/>
        <w:rPr>
          <w:sz w:val="24"/>
          <w:szCs w:val="24"/>
          <w:color w:val="auto"/>
        </w:rPr>
      </w:pPr>
    </w:p>
    <w:p>
      <w:pPr>
        <w:ind w:left="8" w:right="200"/>
        <w:spacing w:after="0" w:line="248"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based on the closing price of the registrant’s common stock on June 30, 2024 (the last business day of the registrant’s mostly recently completed second fiscal quarter), as reported on the NASDAQ Global Market on such date, was approximately $6.634 billion.</w:t>
      </w:r>
    </w:p>
    <w:p>
      <w:pPr>
        <w:spacing w:after="0" w:line="15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At January 30, 2025, the number of shares of the registrant’s Class A common stock outstanding was 23,241,750 and the number of shares of the registrant’s Class B common stock outstanding was 13,163,007.</w:t>
      </w:r>
    </w:p>
    <w:p>
      <w:pPr>
        <w:spacing w:after="0" w:line="61" w:lineRule="exact"/>
        <w:rPr>
          <w:sz w:val="24"/>
          <w:szCs w:val="24"/>
          <w:color w:val="auto"/>
        </w:rPr>
      </w:pPr>
    </w:p>
    <w:p>
      <w:pPr>
        <w:ind w:left="4408"/>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65" w:lineRule="exact"/>
        <w:rPr>
          <w:sz w:val="24"/>
          <w:szCs w:val="24"/>
          <w:color w:val="auto"/>
        </w:rPr>
      </w:pPr>
    </w:p>
    <w:p>
      <w:pPr>
        <w:jc w:val="both"/>
        <w:ind w:left="8"/>
        <w:spacing w:after="0" w:line="252"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the 2025 Annual Meeting of Stockholders (the “Proxy Statement”), to be filed with the Securities and Exchange Commission (the “SEC”) pursuant to Regulation 14A not later than 120 days after the end of the fiscal year covered by this Annual Report on Form 10-K (this “Annual Report”), are incorporated by reference in Part III, Items 10-14 of this Annual Report. Except for the portions of the Proxy Statement specifically incorporated by reference in this Annual Report, the Proxy Statement shall not be deemed to be filed as part hereof.</w:t>
      </w:r>
    </w:p>
    <w:p>
      <w:pPr>
        <w:spacing w:after="0" w:line="41" w:lineRule="exact"/>
        <w:rPr>
          <w:sz w:val="24"/>
          <w:szCs w:val="24"/>
          <w:color w:val="auto"/>
        </w:rPr>
      </w:pPr>
    </w:p>
    <w:p>
      <w:pPr>
        <w:ind w:left="2568"/>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51" w:lineRule="exact"/>
        <w:rPr>
          <w:sz w:val="24"/>
          <w:szCs w:val="24"/>
          <w:color w:val="auto"/>
        </w:rPr>
      </w:pPr>
    </w:p>
    <w:p>
      <w:pPr>
        <w:ind w:left="2568"/>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843280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6" w:right="2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ANNUAL REPORT ON FORM 10-K</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2024</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0" w:type="dxa"/>
            <w:vAlign w:val="bottom"/>
            <w:gridSpan w:val="8"/>
          </w:tcPr>
          <w:p>
            <w:pPr>
              <w:ind w:left="3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05"/>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auto"/>
              </w:rPr>
              <w:t>Section</w:t>
            </w:r>
          </w:p>
        </w:tc>
        <w:tc>
          <w:tcPr>
            <w:tcW w:w="1040" w:type="dxa"/>
            <w:vAlign w:val="bottom"/>
            <w:gridSpan w:val="4"/>
          </w:tcPr>
          <w:p>
            <w:pPr>
              <w:ind w:left="260"/>
              <w:spacing w:after="0"/>
              <w:rPr>
                <w:sz w:val="20"/>
                <w:szCs w:val="20"/>
                <w:color w:val="auto"/>
              </w:rPr>
            </w:pPr>
            <w:r>
              <w:rPr>
                <w:rFonts w:ascii="Times New Roman" w:cs="Times New Roman" w:eastAsia="Times New Roman" w:hAnsi="Times New Roman"/>
                <w:sz w:val="12"/>
                <w:szCs w:val="12"/>
                <w:b w:val="1"/>
                <w:bCs w:val="1"/>
                <w:color w:val="auto"/>
              </w:rPr>
              <w:t>Page No.</w:t>
            </w:r>
          </w:p>
        </w:tc>
      </w:tr>
      <w:tr>
        <w:trPr>
          <w:trHeight w:val="115"/>
        </w:trPr>
        <w:tc>
          <w:tcPr>
            <w:tcW w:w="1760" w:type="dxa"/>
            <w:vAlign w:val="bottom"/>
            <w:tcBorders>
              <w:top w:val="single" w:sz="8" w:color="auto"/>
            </w:tcBorders>
            <w:gridSpan w:val="6"/>
          </w:tcPr>
          <w:p>
            <w:pPr>
              <w:spacing w:after="0" w:line="115" w:lineRule="exact"/>
              <w:rPr>
                <w:sz w:val="20"/>
                <w:szCs w:val="20"/>
                <w:color w:val="auto"/>
              </w:rPr>
            </w:pPr>
            <w:r>
              <w:rPr>
                <w:rFonts w:ascii="Times New Roman" w:cs="Times New Roman" w:eastAsia="Times New Roman" w:hAnsi="Times New Roman"/>
                <w:sz w:val="12"/>
                <w:szCs w:val="12"/>
                <w:color w:val="0000FF"/>
              </w:rPr>
              <w:t>Part I</w:t>
            </w: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9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Business</w:t>
            </w:r>
          </w:p>
        </w:tc>
        <w:tc>
          <w:tcPr>
            <w:tcW w:w="560" w:type="dxa"/>
            <w:vAlign w:val="bottom"/>
            <w:gridSpan w:val="2"/>
          </w:tcPr>
          <w:p>
            <w:pPr>
              <w:jc w:val="center"/>
              <w:ind w:left="360"/>
              <w:spacing w:after="0" w:line="133" w:lineRule="exact"/>
              <w:rPr>
                <w:sz w:val="20"/>
                <w:szCs w:val="20"/>
                <w:color w:val="auto"/>
              </w:rPr>
            </w:pPr>
            <w:r>
              <w:rPr>
                <w:rFonts w:ascii="Times New Roman" w:cs="Times New Roman" w:eastAsia="Times New Roman" w:hAnsi="Times New Roman"/>
                <w:sz w:val="12"/>
                <w:szCs w:val="12"/>
                <w:u w:val="single" w:color="auto"/>
                <w:color w:val="0000FF"/>
                <w:w w:val="99"/>
              </w:rPr>
              <w:t>1</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1A.</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Risk Factors</w:t>
            </w:r>
          </w:p>
        </w:tc>
        <w:tc>
          <w:tcPr>
            <w:tcW w:w="560" w:type="dxa"/>
            <w:vAlign w:val="bottom"/>
            <w:gridSpan w:val="2"/>
          </w:tcPr>
          <w:p>
            <w:pPr>
              <w:jc w:val="center"/>
              <w:ind w:left="360"/>
              <w:spacing w:after="0" w:line="133" w:lineRule="exact"/>
              <w:rPr>
                <w:sz w:val="20"/>
                <w:szCs w:val="20"/>
                <w:color w:val="auto"/>
              </w:rPr>
            </w:pPr>
            <w:r>
              <w:rPr>
                <w:rFonts w:ascii="Times New Roman" w:cs="Times New Roman" w:eastAsia="Times New Roman" w:hAnsi="Times New Roman"/>
                <w:sz w:val="12"/>
                <w:szCs w:val="12"/>
                <w:u w:val="single" w:color="auto"/>
                <w:color w:val="0000FF"/>
                <w:w w:val="99"/>
              </w:rPr>
              <w:t>8</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1B.</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Unresolved Staff Comments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20</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1C.</w:t>
            </w:r>
          </w:p>
        </w:tc>
        <w:tc>
          <w:tcPr>
            <w:tcW w:w="68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w w:val="97"/>
              </w:rPr>
              <w:t>Cybersecurity</w:t>
            </w:r>
          </w:p>
        </w:tc>
        <w:tc>
          <w:tcPr>
            <w:tcW w:w="680" w:type="dxa"/>
            <w:vAlign w:val="bottom"/>
            <w:gridSpan w:val="4"/>
          </w:tcPr>
          <w:p>
            <w:pPr>
              <w:spacing w:after="0"/>
              <w:rPr>
                <w:sz w:val="11"/>
                <w:szCs w:val="11"/>
                <w:color w:val="auto"/>
              </w:rPr>
            </w:pPr>
          </w:p>
        </w:tc>
        <w:tc>
          <w:tcPr>
            <w:tcW w:w="7140" w:type="dxa"/>
            <w:vAlign w:val="bottom"/>
            <w:gridSpan w:val="13"/>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20</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2.</w:t>
            </w:r>
          </w:p>
        </w:tc>
        <w:tc>
          <w:tcPr>
            <w:tcW w:w="68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Properties</w:t>
            </w:r>
          </w:p>
        </w:tc>
        <w:tc>
          <w:tcPr>
            <w:tcW w:w="7820" w:type="dxa"/>
            <w:vAlign w:val="bottom"/>
            <w:gridSpan w:val="17"/>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21</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3.</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Legal Proceedings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21</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4.</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Mine Safety Disclosures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21</w:t>
            </w:r>
          </w:p>
        </w:tc>
        <w:tc>
          <w:tcPr>
            <w:tcW w:w="40" w:type="dxa"/>
            <w:vAlign w:val="bottom"/>
          </w:tcPr>
          <w:p>
            <w:pPr>
              <w:spacing w:after="0"/>
              <w:rPr>
                <w:sz w:val="11"/>
                <w:szCs w:val="1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Part II</w:t>
            </w: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5.</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Market for Registrant's Common Equity, Related Stockholder Matters and Issuer Purchases of Equity Securities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21</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6.</w:t>
            </w:r>
          </w:p>
        </w:tc>
        <w:tc>
          <w:tcPr>
            <w:tcW w:w="8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rPr>
              <w:t>[RESERVED]</w:t>
            </w:r>
          </w:p>
        </w:tc>
        <w:tc>
          <w:tcPr>
            <w:tcW w:w="4480" w:type="dxa"/>
            <w:vAlign w:val="bottom"/>
            <w:gridSpan w:val="14"/>
          </w:tcPr>
          <w:p>
            <w:pPr>
              <w:spacing w:after="0"/>
              <w:rPr>
                <w:sz w:val="11"/>
                <w:szCs w:val="11"/>
                <w:color w:val="auto"/>
              </w:rPr>
            </w:pPr>
          </w:p>
        </w:tc>
        <w:tc>
          <w:tcPr>
            <w:tcW w:w="3140" w:type="dxa"/>
            <w:vAlign w:val="bottom"/>
            <w:gridSpan w:val="2"/>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7.</w:t>
            </w:r>
          </w:p>
        </w:tc>
        <w:tc>
          <w:tcPr>
            <w:tcW w:w="438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w:t>
            </w:r>
          </w:p>
        </w:tc>
        <w:tc>
          <w:tcPr>
            <w:tcW w:w="4120" w:type="dxa"/>
            <w:vAlign w:val="bottom"/>
            <w:gridSpan w:val="4"/>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7A.</w:t>
            </w:r>
          </w:p>
        </w:tc>
        <w:tc>
          <w:tcPr>
            <w:tcW w:w="438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4120" w:type="dxa"/>
            <w:vAlign w:val="bottom"/>
            <w:gridSpan w:val="4"/>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30</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8.</w:t>
            </w:r>
          </w:p>
        </w:tc>
        <w:tc>
          <w:tcPr>
            <w:tcW w:w="2220" w:type="dxa"/>
            <w:vAlign w:val="bottom"/>
            <w:gridSpan w:val="11"/>
          </w:tcPr>
          <w:p>
            <w:pPr>
              <w:spacing w:after="0" w:line="133" w:lineRule="exact"/>
              <w:rPr>
                <w:sz w:val="20"/>
                <w:szCs w:val="20"/>
                <w:color w:val="auto"/>
              </w:rPr>
            </w:pPr>
            <w:r>
              <w:rPr>
                <w:rFonts w:ascii="Times New Roman" w:cs="Times New Roman" w:eastAsia="Times New Roman" w:hAnsi="Times New Roman"/>
                <w:sz w:val="12"/>
                <w:szCs w:val="12"/>
                <w:color w:val="0000FF"/>
                <w:w w:val="99"/>
              </w:rPr>
              <w:t>Financial Statements and Supplementary Data</w:t>
            </w:r>
          </w:p>
        </w:tc>
        <w:tc>
          <w:tcPr>
            <w:tcW w:w="680" w:type="dxa"/>
            <w:vAlign w:val="bottom"/>
            <w:gridSpan w:val="2"/>
          </w:tcPr>
          <w:p>
            <w:pPr>
              <w:spacing w:after="0"/>
              <w:rPr>
                <w:sz w:val="11"/>
                <w:szCs w:val="11"/>
                <w:color w:val="auto"/>
              </w:rPr>
            </w:pPr>
          </w:p>
        </w:tc>
        <w:tc>
          <w:tcPr>
            <w:tcW w:w="5600" w:type="dxa"/>
            <w:vAlign w:val="bottom"/>
            <w:gridSpan w:val="8"/>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31</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Changes in and Disagreements With Accountants on Accounting and Financial Disclosures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60</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9A.</w:t>
            </w:r>
          </w:p>
        </w:tc>
        <w:tc>
          <w:tcPr>
            <w:tcW w:w="118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w w:val="98"/>
              </w:rPr>
              <w:t>Controls and Procedures</w:t>
            </w:r>
          </w:p>
        </w:tc>
        <w:tc>
          <w:tcPr>
            <w:tcW w:w="3200" w:type="dxa"/>
            <w:vAlign w:val="bottom"/>
            <w:gridSpan w:val="11"/>
          </w:tcPr>
          <w:p>
            <w:pPr>
              <w:spacing w:after="0"/>
              <w:rPr>
                <w:sz w:val="11"/>
                <w:szCs w:val="11"/>
                <w:color w:val="auto"/>
              </w:rPr>
            </w:pPr>
          </w:p>
        </w:tc>
        <w:tc>
          <w:tcPr>
            <w:tcW w:w="4120" w:type="dxa"/>
            <w:vAlign w:val="bottom"/>
            <w:gridSpan w:val="4"/>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61</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9B.</w:t>
            </w:r>
          </w:p>
        </w:tc>
        <w:tc>
          <w:tcPr>
            <w:tcW w:w="8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w w:val="98"/>
              </w:rPr>
              <w:t>Other Information</w:t>
            </w:r>
          </w:p>
        </w:tc>
        <w:tc>
          <w:tcPr>
            <w:tcW w:w="300" w:type="dxa"/>
            <w:vAlign w:val="bottom"/>
          </w:tcPr>
          <w:p>
            <w:pPr>
              <w:spacing w:after="0"/>
              <w:rPr>
                <w:sz w:val="11"/>
                <w:szCs w:val="11"/>
                <w:color w:val="auto"/>
              </w:rPr>
            </w:pPr>
          </w:p>
        </w:tc>
        <w:tc>
          <w:tcPr>
            <w:tcW w:w="7320" w:type="dxa"/>
            <w:vAlign w:val="bottom"/>
            <w:gridSpan w:val="15"/>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61</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9C.</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62</w:t>
            </w:r>
          </w:p>
        </w:tc>
        <w:tc>
          <w:tcPr>
            <w:tcW w:w="40" w:type="dxa"/>
            <w:vAlign w:val="bottom"/>
          </w:tcPr>
          <w:p>
            <w:pPr>
              <w:spacing w:after="0"/>
              <w:rPr>
                <w:sz w:val="11"/>
                <w:szCs w:val="1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Part III</w:t>
            </w: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10.</w:t>
            </w:r>
          </w:p>
        </w:tc>
        <w:tc>
          <w:tcPr>
            <w:tcW w:w="3640" w:type="dxa"/>
            <w:vAlign w:val="bottom"/>
            <w:gridSpan w:val="15"/>
          </w:tcPr>
          <w:p>
            <w:pPr>
              <w:spacing w:after="0" w:line="133" w:lineRule="exact"/>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4860" w:type="dxa"/>
            <w:vAlign w:val="bottom"/>
            <w:gridSpan w:val="6"/>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11.</w:t>
            </w:r>
          </w:p>
        </w:tc>
        <w:tc>
          <w:tcPr>
            <w:tcW w:w="1900" w:type="dxa"/>
            <w:vAlign w:val="bottom"/>
            <w:gridSpan w:val="9"/>
          </w:tcPr>
          <w:p>
            <w:pPr>
              <w:spacing w:after="0" w:line="133" w:lineRule="exact"/>
              <w:rPr>
                <w:sz w:val="20"/>
                <w:szCs w:val="20"/>
                <w:color w:val="auto"/>
              </w:rPr>
            </w:pPr>
            <w:r>
              <w:rPr>
                <w:rFonts w:ascii="Times New Roman" w:cs="Times New Roman" w:eastAsia="Times New Roman" w:hAnsi="Times New Roman"/>
                <w:sz w:val="12"/>
                <w:szCs w:val="12"/>
                <w:color w:val="0000FF"/>
              </w:rPr>
              <w:t>Executive Compensation</w:t>
            </w:r>
          </w:p>
        </w:tc>
        <w:tc>
          <w:tcPr>
            <w:tcW w:w="1740" w:type="dxa"/>
            <w:vAlign w:val="bottom"/>
            <w:gridSpan w:val="6"/>
          </w:tcPr>
          <w:p>
            <w:pPr>
              <w:spacing w:after="0"/>
              <w:rPr>
                <w:sz w:val="11"/>
                <w:szCs w:val="11"/>
                <w:color w:val="auto"/>
              </w:rPr>
            </w:pPr>
          </w:p>
        </w:tc>
        <w:tc>
          <w:tcPr>
            <w:tcW w:w="4860" w:type="dxa"/>
            <w:vAlign w:val="bottom"/>
            <w:gridSpan w:val="6"/>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12.</w:t>
            </w:r>
          </w:p>
        </w:tc>
        <w:tc>
          <w:tcPr>
            <w:tcW w:w="4860" w:type="dxa"/>
            <w:vAlign w:val="bottom"/>
            <w:gridSpan w:val="18"/>
          </w:tcPr>
          <w:p>
            <w:pPr>
              <w:spacing w:after="0" w:line="133" w:lineRule="exact"/>
              <w:rPr>
                <w:sz w:val="20"/>
                <w:szCs w:val="20"/>
                <w:color w:val="auto"/>
              </w:rPr>
            </w:pPr>
            <w:r>
              <w:rPr>
                <w:rFonts w:ascii="Times New Roman" w:cs="Times New Roman" w:eastAsia="Times New Roman" w:hAnsi="Times New Roman"/>
                <w:sz w:val="12"/>
                <w:szCs w:val="12"/>
                <w:color w:val="0000FF"/>
                <w:w w:val="99"/>
              </w:rPr>
              <w:t>Security Ownership of Certain Beneficial Owners and Management and Related Stockholder Matters</w:t>
            </w:r>
          </w:p>
        </w:tc>
        <w:tc>
          <w:tcPr>
            <w:tcW w:w="3640" w:type="dxa"/>
            <w:vAlign w:val="bottom"/>
            <w:gridSpan w:val="3"/>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13.</w:t>
            </w:r>
          </w:p>
        </w:tc>
        <w:tc>
          <w:tcPr>
            <w:tcW w:w="3640" w:type="dxa"/>
            <w:vAlign w:val="bottom"/>
            <w:gridSpan w:val="15"/>
          </w:tcPr>
          <w:p>
            <w:pPr>
              <w:spacing w:after="0" w:line="133" w:lineRule="exact"/>
              <w:rPr>
                <w:sz w:val="20"/>
                <w:szCs w:val="20"/>
                <w:color w:val="auto"/>
              </w:rPr>
            </w:pPr>
            <w:r>
              <w:rPr>
                <w:rFonts w:ascii="Times New Roman" w:cs="Times New Roman" w:eastAsia="Times New Roman" w:hAnsi="Times New Roman"/>
                <w:sz w:val="12"/>
                <w:szCs w:val="12"/>
                <w:color w:val="0000FF"/>
                <w:w w:val="99"/>
              </w:rPr>
              <w:t>Certain Relationships and Related Transactions, and Director Independence</w:t>
            </w:r>
          </w:p>
        </w:tc>
        <w:tc>
          <w:tcPr>
            <w:tcW w:w="1220" w:type="dxa"/>
            <w:vAlign w:val="bottom"/>
            <w:gridSpan w:val="3"/>
          </w:tcPr>
          <w:p>
            <w:pPr>
              <w:spacing w:after="0"/>
              <w:rPr>
                <w:sz w:val="11"/>
                <w:szCs w:val="11"/>
                <w:color w:val="auto"/>
              </w:rPr>
            </w:pPr>
          </w:p>
        </w:tc>
        <w:tc>
          <w:tcPr>
            <w:tcW w:w="3640" w:type="dxa"/>
            <w:vAlign w:val="bottom"/>
            <w:gridSpan w:val="3"/>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14.</w:t>
            </w:r>
          </w:p>
        </w:tc>
        <w:tc>
          <w:tcPr>
            <w:tcW w:w="3640" w:type="dxa"/>
            <w:vAlign w:val="bottom"/>
            <w:gridSpan w:val="15"/>
          </w:tcPr>
          <w:p>
            <w:pPr>
              <w:spacing w:after="0" w:line="133" w:lineRule="exact"/>
              <w:rPr>
                <w:sz w:val="20"/>
                <w:szCs w:val="20"/>
                <w:color w:val="auto"/>
              </w:rPr>
            </w:pPr>
            <w:r>
              <w:rPr>
                <w:rFonts w:ascii="Times New Roman" w:cs="Times New Roman" w:eastAsia="Times New Roman" w:hAnsi="Times New Roman"/>
                <w:sz w:val="12"/>
                <w:szCs w:val="12"/>
                <w:color w:val="0000FF"/>
              </w:rPr>
              <w:t>Principal Accountant Fees and Services</w:t>
            </w:r>
          </w:p>
        </w:tc>
        <w:tc>
          <w:tcPr>
            <w:tcW w:w="4860" w:type="dxa"/>
            <w:vAlign w:val="bottom"/>
            <w:gridSpan w:val="6"/>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62</w:t>
            </w:r>
          </w:p>
        </w:tc>
        <w:tc>
          <w:tcPr>
            <w:tcW w:w="40" w:type="dxa"/>
            <w:vAlign w:val="bottom"/>
          </w:tcPr>
          <w:p>
            <w:pPr>
              <w:spacing w:after="0"/>
              <w:rPr>
                <w:sz w:val="11"/>
                <w:szCs w:val="1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Part IV</w:t>
            </w: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15.</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Exhibits and Financial Statement Schedules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63</w:t>
            </w:r>
          </w:p>
        </w:tc>
        <w:tc>
          <w:tcPr>
            <w:tcW w:w="40" w:type="dxa"/>
            <w:vAlign w:val="bottom"/>
          </w:tcPr>
          <w:p>
            <w:pPr>
              <w:spacing w:after="0"/>
              <w:rPr>
                <w:sz w:val="11"/>
                <w:szCs w:val="11"/>
                <w:color w:val="auto"/>
              </w:rPr>
            </w:pPr>
          </w:p>
        </w:tc>
      </w:tr>
      <w:tr>
        <w:trPr>
          <w:trHeight w:val="20"/>
        </w:trPr>
        <w:tc>
          <w:tcPr>
            <w:tcW w:w="5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Signatures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67</w:t>
            </w:r>
          </w:p>
        </w:tc>
        <w:tc>
          <w:tcPr>
            <w:tcW w:w="40" w:type="dxa"/>
            <w:vAlign w:val="bottom"/>
          </w:tcPr>
          <w:p>
            <w:pPr>
              <w:spacing w:after="0"/>
              <w:rPr>
                <w:sz w:val="11"/>
                <w:szCs w:val="11"/>
                <w:color w:val="auto"/>
              </w:rPr>
            </w:pPr>
          </w:p>
        </w:tc>
      </w:tr>
      <w:tr>
        <w:trPr>
          <w:trHeight w:val="988"/>
        </w:trPr>
        <w:tc>
          <w:tcPr>
            <w:tcW w:w="2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2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24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This Annual Report on Form 10-K for the fiscal year ended December 31, 2024 (this “Annual Report”) contains forward-looking statements within the meaning of the federal securities laws, including the Private Securities Litigation Reform Act of 1995 (the “PSLRA”), which statements involve substantial risks and uncertainties. The forward-looking statements made in this Annual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Forward-looking statements include all statements that are not statements of historical fact. 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sections entitled “Risk Factors” and “Management's Discussion and Analysis of Financial Condition and Results of Operations” in this Annual Report, as well as in the other reports we file with the Securities and Exchange Commission (the “SEC”). You should read this Annual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Annual Report is based only on information currently available to us and speaks only as of the date on which it is made.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spacing w:after="0" w:line="19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i w:val="1"/>
          <w:iCs w:val="1"/>
          <w:color w:val="auto"/>
        </w:rPr>
        <w:t>Unless otherwise stated in this Annual Report, references to "AppFolio," "we," "us," and "our" refer to AppFolio, Inc. and its consolidated subsidiaries.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Founded in 2006, AppFolio is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 We believe our customer-centric culture leads to long-term customer retention and, ultimately, our long-term success.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597535</wp:posOffset>
            </wp:positionV>
            <wp:extent cx="3891915" cy="2188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891915" cy="218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Our Platform</w:t>
      </w:r>
    </w:p>
    <w:p>
      <w:pPr>
        <w:spacing w:after="0" w:line="8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Our mission is to build the platform where the real estate industry comes to do business. Our platform is designed to deliver value to industry segments throughout the property management ecosystem. It is optimized for use across multiple devices and operating systems, and includes an intuitive interface and streamlined workflows. Our platform is (i) a system of record to centralize and automate essential business processes, (ii) a system of engagement to enhance business interactions between our customers and their network of industry segment stakeholders, and (iii) a system of performance to leverage data to predict and optimize business workflows.</w:t>
      </w:r>
    </w:p>
    <w:p>
      <w:pPr>
        <w:spacing w:after="0" w:line="47"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color w:val="auto"/>
        </w:rPr>
        <w:t>Our platform is enhanced with AppFolio Realm, a suite of AI-powered tools that assist with leasing, maintenance, accounting, and other business critical tasks. AppFolio Realm includes generative AI to answer questions, perform tasks and automate common workflows. The platform also includes Stack</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our partner ecosystem that allows customers to connect our platform with specialized technology and services offered by third parties. Our platform is frequently updated to provide new innovations and respond to market trends and customer needs. We rely on strategic partners and third-party service providers to deliver certain aspects of our platform, and strive to provide a seamlessly integrated experience for our customers and their industry segment stakeholders.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Core Solutions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platform is offered as a service and made available via three subscription plans:</w:t>
      </w:r>
    </w:p>
    <w:p>
      <w:pPr>
        <w:spacing w:after="0" w:line="74" w:lineRule="exact"/>
        <w:rPr>
          <w:sz w:val="20"/>
          <w:szCs w:val="20"/>
          <w:color w:val="auto"/>
        </w:rPr>
      </w:pPr>
    </w:p>
    <w:p>
      <w:pPr>
        <w:jc w:val="both"/>
        <w:ind w:left="640" w:hanging="216"/>
        <w:spacing w:after="0" w:line="244"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AppFolio Property Manager Core. </w:t>
      </w:r>
      <w:r>
        <w:rPr>
          <w:rFonts w:ascii="Times New Roman" w:cs="Times New Roman" w:eastAsia="Times New Roman" w:hAnsi="Times New Roman"/>
          <w:sz w:val="12"/>
          <w:szCs w:val="12"/>
          <w:color w:val="auto"/>
        </w:rPr>
        <w:t>AppFolio Property Manager Core provides the basic functionality required to operate a property management business. Centered on accounting, AppFolio Property Manager Core serves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 our customers’ system of record. All critical transactions are completed and recorded in the system, giving our customers access to the data they need. It also serves as their system of engagement as they interact with key industry segments, including residents living at their properties, investors owning those properties, and vendors providing products and services to those properties. AppFolio Property Manager Core has access to a limited set of Stack</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Core Integrations, a basic set of third-party integrations, and AppFolio Realm assistant and messages. AppFolio Property Manager Core is generally suited for small property management companies that prefer an all-in-one system that is comprehensive and easy to use.</w:t>
      </w:r>
    </w:p>
    <w:p>
      <w:pPr>
        <w:spacing w:after="0" w:line="55" w:lineRule="exact"/>
        <w:rPr>
          <w:rFonts w:ascii="Times New Roman" w:cs="Times New Roman" w:eastAsia="Times New Roman" w:hAnsi="Times New Roman"/>
          <w:sz w:val="12"/>
          <w:szCs w:val="12"/>
          <w:color w:val="auto"/>
        </w:rPr>
      </w:pPr>
    </w:p>
    <w:p>
      <w:pPr>
        <w:jc w:val="both"/>
        <w:ind w:left="640" w:hanging="216"/>
        <w:spacing w:after="0" w:line="268"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AppFolio Property Manager Plus. </w:t>
      </w:r>
      <w:r>
        <w:rPr>
          <w:rFonts w:ascii="Times New Roman" w:cs="Times New Roman" w:eastAsia="Times New Roman" w:hAnsi="Times New Roman"/>
          <w:sz w:val="12"/>
          <w:szCs w:val="12"/>
          <w:color w:val="auto"/>
        </w:rPr>
        <w:t>AppFolio Property Manager Plus includes the functionality of AppFolio Property Manager Core and adds an expanded set of functionalities designed to meet the needs of more complex,</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growing property management businesses. This includes support for affordable housing management, student housing management, more complex accounting needs, advanced data analysis, increased customization with a small number of user-defined fields, and enhanced customer support. AppFolio Property Manage Plus also has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1"/>
          <w:szCs w:val="11"/>
          <w:color w:val="auto"/>
        </w:rPr>
        <w:t>access to all of our Stack</w:t>
      </w:r>
      <w:r>
        <w:rPr>
          <w:rFonts w:ascii="Times New Roman" w:cs="Times New Roman" w:eastAsia="Times New Roman" w:hAnsi="Times New Roman"/>
          <w:sz w:val="14"/>
          <w:szCs w:val="14"/>
          <w:color w:val="auto"/>
          <w:vertAlign w:val="superscript"/>
        </w:rPr>
        <w:t>TM</w:t>
      </w:r>
      <w:r>
        <w:rPr>
          <w:rFonts w:ascii="Times New Roman" w:cs="Times New Roman" w:eastAsia="Times New Roman" w:hAnsi="Times New Roman"/>
          <w:sz w:val="11"/>
          <w:szCs w:val="11"/>
          <w:color w:val="auto"/>
        </w:rPr>
        <w:t xml:space="preserve"> integrations, AI-powered customizable workflows through AppFolio Realm Flows, database access through a read application programming interface, and dedicated customer support resources.</w:t>
      </w:r>
    </w:p>
    <w:p>
      <w:pPr>
        <w:spacing w:after="0" w:line="55" w:lineRule="exact"/>
        <w:rPr>
          <w:sz w:val="20"/>
          <w:szCs w:val="20"/>
          <w:color w:val="auto"/>
        </w:rPr>
      </w:pPr>
    </w:p>
    <w:p>
      <w:pPr>
        <w:jc w:val="both"/>
        <w:ind w:left="640" w:hanging="216"/>
        <w:spacing w:after="0" w:line="268"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AppFolio Property Manager Max. </w:t>
      </w:r>
      <w:r>
        <w:rPr>
          <w:rFonts w:ascii="Times New Roman" w:cs="Times New Roman" w:eastAsia="Times New Roman" w:hAnsi="Times New Roman"/>
          <w:sz w:val="12"/>
          <w:szCs w:val="12"/>
          <w:color w:val="auto"/>
        </w:rPr>
        <w:t>AppFolio Property Manager Max includes the functionality of AppFolio Property Manager Plus and adds functionality designed to meet the needs of even larger property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businesses. Such functionality includes an end-to-end leasing funnel with built-in customer relationship management tools, increased customization with a large number of user-defined fields, full database access through a read/write application programming interface, and dedicated customer support resources.</w:t>
      </w:r>
    </w:p>
    <w:p>
      <w:pPr>
        <w:spacing w:after="0" w:line="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Value Added Services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AppFolio offers Value Added Services that supplement our core solutions and are designed to enhance, automate, and streamline business-critical processes and workflows. Our Value Added Services generally fall into the categories of electronic payment services, tenant screening, risk mitigation, maintenance, and business optimization. We strive to provide a seamless experience for our customers that increases their efficiency without sacrificing ease of use. Utilization and adoption of our Value Added Services is typically higher for residential properties than community association or commercial properties because of the unique and complex needs of the residential rental lifecycle.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empower our customers and their industry segment stakeholders with a wide variety of Value Added Services, most significantly with:</w:t>
      </w:r>
    </w:p>
    <w:p>
      <w:pPr>
        <w:spacing w:after="0" w:line="74" w:lineRule="exact"/>
        <w:rPr>
          <w:sz w:val="20"/>
          <w:szCs w:val="20"/>
          <w:color w:val="auto"/>
        </w:rPr>
      </w:pPr>
    </w:p>
    <w:p>
      <w:pPr>
        <w:jc w:val="both"/>
        <w:ind w:left="640" w:right="20" w:hanging="216"/>
        <w:spacing w:after="0" w:line="262" w:lineRule="auto"/>
        <w:tabs>
          <w:tab w:leader="none" w:pos="6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Electronic Payment Services. </w:t>
      </w:r>
      <w:r>
        <w:rPr>
          <w:rFonts w:ascii="Times New Roman" w:cs="Times New Roman" w:eastAsia="Times New Roman" w:hAnsi="Times New Roman"/>
          <w:sz w:val="12"/>
          <w:szCs w:val="12"/>
          <w:color w:val="auto"/>
        </w:rPr>
        <w:t>Our electronic payment services allow property managers to streamline their receivables and payables through a variety of online payment options. Property managers can collect funds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through our secure online portal and mobile application, and/or via electronic cash payments from various stakeholders, including applicants, residents, vendors, and property owners. The types of funds that may be collected include tenant charges, such as rental application fees, security deposits, and rent payments; contributions from property owners; and periodic dues from those living in community associations. Our customers can also electronically send funds to various stakeholders, including property investors and vendors.</w:t>
      </w:r>
    </w:p>
    <w:p>
      <w:pPr>
        <w:spacing w:after="0" w:line="45" w:lineRule="exact"/>
        <w:rPr>
          <w:rFonts w:ascii="Times New Roman" w:cs="Times New Roman" w:eastAsia="Times New Roman" w:hAnsi="Times New Roman"/>
          <w:sz w:val="12"/>
          <w:szCs w:val="12"/>
          <w:color w:val="auto"/>
        </w:rPr>
      </w:pPr>
    </w:p>
    <w:p>
      <w:pPr>
        <w:ind w:left="640" w:hanging="216"/>
        <w:spacing w:after="0" w:line="286" w:lineRule="auto"/>
        <w:tabs>
          <w:tab w:leader="none" w:pos="6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Tenant Screening. </w:t>
      </w:r>
      <w:r>
        <w:rPr>
          <w:rFonts w:ascii="Times New Roman" w:cs="Times New Roman" w:eastAsia="Times New Roman" w:hAnsi="Times New Roman"/>
          <w:sz w:val="12"/>
          <w:szCs w:val="12"/>
          <w:color w:val="auto"/>
        </w:rPr>
        <w:t>Our tenant screening services include credit checks, criminal history, landlord-tenant history, income verification, employment verification, and identity verification for use in connection with the rental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application process.</w:t>
      </w:r>
    </w:p>
    <w:p>
      <w:pPr>
        <w:spacing w:after="0" w:line="31" w:lineRule="exact"/>
        <w:rPr>
          <w:rFonts w:ascii="Times New Roman" w:cs="Times New Roman" w:eastAsia="Times New Roman" w:hAnsi="Times New Roman"/>
          <w:sz w:val="12"/>
          <w:szCs w:val="12"/>
          <w:color w:val="auto"/>
        </w:rPr>
      </w:pPr>
    </w:p>
    <w:p>
      <w:pPr>
        <w:jc w:val="both"/>
        <w:ind w:left="640" w:hanging="216"/>
        <w:spacing w:after="0" w:line="268" w:lineRule="auto"/>
        <w:tabs>
          <w:tab w:leader="none" w:pos="6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Risk Mitigation. </w:t>
      </w:r>
      <w:r>
        <w:rPr>
          <w:rFonts w:ascii="Times New Roman" w:cs="Times New Roman" w:eastAsia="Times New Roman" w:hAnsi="Times New Roman"/>
          <w:sz w:val="12"/>
          <w:szCs w:val="12"/>
          <w:color w:val="auto"/>
        </w:rPr>
        <w:t>Through our FolioGuard™ brand, we offer risk mitigation products for property managers and residents. FolioGuard Smart Ensure is a software tool that allows property managers to enforce insurance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coverage requirements within their leases by tracking coverage of their units and adding uncovered units to a qualifying liability to landlord insurance policy via a licensed insurance broker. FolioGuard Renters Insurance, provided by AppFolio Insurance Services, Inc., a wholly-owned subsidiary of AppFolio, protects the personal belongings of renters, as well as the property itself, from certain unexpected damages.</w:t>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See Item 7,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for information regarding the seasonality of our Value Added Services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Business and Growth Strategy</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growth strategy is centered on delivering value to all industry segments in the property management ecosystem, including, but not limited to, property managers, residents, vendors, and investors. Adding value to each of these industry segments improves retention and expansion opportunities for existing customers and creates a differentiated product experience to attract new customers. Our strategy is anchored on the following three strategic pillars that are designed to facilitate the expansion and retention of our customer base.</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Differentiate to Win</w:t>
      </w:r>
    </w:p>
    <w:p>
      <w:pPr>
        <w:spacing w:after="0" w:line="82"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We strive to continually create differentiated product experiences that solve customer needs and create new revenue streams for AppFolio and our customers. Advanced technologies, such as AppFolio Realm and its AI capabilities, are designed to unlock increased productivity and efficiency gains for customers through generative messaging capabilities, customizable workflow automation, and an interactive AI-powered assistant. Our data platform and APIs extend our capabilities and enable third-party integrations through our Stack</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marketplace. Continued innovation in onboarding tools, processes, and workflows are designed to remove barriers for customers to switch to AppFolio, while accelerating use and adoption of our services. Through new, innovative product features, our goal is to provide differentiated product experiences that extend value throughout the property technology ecosystem, for property managers, investors, vendors, and residents.</w:t>
      </w:r>
    </w:p>
    <w:p>
      <w:pPr>
        <w:spacing w:after="0" w:line="6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continue to focus on attracting larger property management customers with complex and diversified property portfolios, who derive value from managing their entire portfolio on a single platform. Ongoing innovation in the investor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resident industry segments are intended to redefine how property managers connect with these critical stakeholders and create additional value for all groups through the use of our platform.</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Deliver Value Efficiently</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our customer base grows, we strive to provide a scalable client service experience that is accessible and easy to use. This includes utilizing AI capabilities, technology systems, and third party partners. The efforts of our customer-facing teams are focused on driving use and adoption of our services and helping customers achieve success on our platform. We expect to continue to gain leverage in our service experience through self-service and automation, as well as through our third-party solution partners that enable us to quickly expand our service offerings. Additionally, we empower our customers and their networks of stakeholders through the continued development and adoption of our Value Added Services</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We believe our customer-centric culture drives a focus on customer satisfaction that leads to long-term retention and, ultimately, to our long-term success.</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strive to operate with high efficiency and are continually evaluating opportunities to gain leverage across all aspects of our business. We plan to continue our efforts to efficiently and effectively scale our capabilities, processes, and systems to adapt and grow with our business, and align the value of our offerings to the size, scale, and complexity of our customers, while upholding a rigorous standard of privacy, protection, compliance, and ethics.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b w:val="1"/>
          <w:bCs w:val="1"/>
          <w:i w:val="1"/>
          <w:iCs w:val="1"/>
          <w:color w:val="auto"/>
        </w:rPr>
        <w:t>Great People and Culture</w:t>
      </w:r>
    </w:p>
    <w:p>
      <w:pPr>
        <w:spacing w:after="0" w:line="82" w:lineRule="exact"/>
        <w:rPr>
          <w:sz w:val="20"/>
          <w:szCs w:val="20"/>
          <w:color w:val="auto"/>
        </w:rPr>
      </w:pPr>
    </w:p>
    <w:p>
      <w:pPr>
        <w:jc w:val="both"/>
        <w:ind w:firstLine="378"/>
        <w:spacing w:after="0" w:line="279" w:lineRule="auto"/>
        <w:rPr>
          <w:sz w:val="20"/>
          <w:szCs w:val="20"/>
          <w:color w:val="auto"/>
        </w:rPr>
      </w:pPr>
      <w:r>
        <w:rPr>
          <w:rFonts w:ascii="Times New Roman" w:cs="Times New Roman" w:eastAsia="Times New Roman" w:hAnsi="Times New Roman"/>
          <w:sz w:val="12"/>
          <w:szCs w:val="12"/>
          <w:color w:val="auto"/>
        </w:rPr>
        <w:t>We believe fostering a connected and inclusive workplace is fundamental to AppFolio’s success. We empower AppFolio employees to deliver exceptional value for our customers and stockholders through continuous innovation, excellence, and meaningful work. We routinely evaluate and, when appropriate, invest in our people processes, programs, and systems to fuel high performance.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Customers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define customers as those paying for a subscription to our core solutions. As of December 31, 2024, we had 20,784 property management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Customer Service</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believe our success is tied to long-term customer relationships, not a one-time sale. Our team is structured to deliver continuous service. This includes live and on-demand training, a library of resources, and personalized account management. We regularly measure our Net Promoter Score, Customer Satisfaction Score, and solicit customer feedback in a variety of ways in an effort to continue to improve and better serve our customers. We utilize a tiered engagement model to align the value we deliver with the value we capture from our customers, including add-on offerings such as tailored training and certification programs, and professional services delivered by our network of solution partners.</w:t>
      </w:r>
    </w:p>
    <w:p>
      <w:pPr>
        <w:spacing w:after="0" w:line="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have dedicated onboarding teams that work to ensure that customers are prepared to run their businesses on our platform, as well as self-service tools that reduce customers' time and rate of effort to achieve success with our products and services. As a result of our assistance with customer data migration matters, we are able to provide valuable insights into data integrity and work with our customers to help resolve issues in their underlying business processes. We also assist our customers with the configuration of our products for particular property types. We dedicate resources to guide our customers through the adoption and utilization of our Value Added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leverage a modern and scalable marketing approach along with marketing automation technology to attract and engage prospects and build brand recognition as an industry leader. We use a variety of inbound and outbound marketing techniques to promote our solutions, and we participate in industry thought leadership and education. We also host our own annual industry conference, FUTURE, where leaders, innovators, and experts come together to explore, teach, and discuss technology, tools, and trends. We encourage our existing and prospective customers to attend FUTURE to learn more about us and how our platform and services can help their businesses.</w:t>
      </w:r>
    </w:p>
    <w:p>
      <w:pPr>
        <w:spacing w:after="0" w:line="47"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Our business development team acts in partnership with our marketing and sales teams to reach potential customers, generate sales opportunities, and accelerate the time from evaluation to close. Our sales representatives assist prospective customers as they evaluate our products. Our interactive sales methodology allows our sales team to quickly build relationships, assess prospective customers' business challenges, and demonstrate the benefits of our platform.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Technology and Operations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products are powered by a highly scalable computing platform and are designed with a focus on data security and availability. We take great care to keep our application framework and the rest of our software stack current to mitigate known vulnerabilities. Our computing platform and cloud infrastructure are primarily powered by third-party service providers. To help ensure that data is not lost and that customer requests can be satisfied, production assets are securely replicated and regularly backed up to multiple geographic regions.</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monitor our production infrastructure to ensure high performance and availability, and our architecture provides us significant flexibility in achieving these goals. In particular, we have control over the specific server and region on which each customer's data resides, and we can move such data between different geographic regions to avoid service disruption or to increase service performance.</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work to ensure that our customers and their communities are confident in our data practices. Sensitive data in our systems is encrypted during transmission and before being written to disk. We regularly evaluate our product and infrastructure security, including through third-party penetration testing. In addition, our products allow our customers to define roles that provide different levels of access to users, allowing them to view and modify specific items depending on their role. Supervisors can distribute work to staff in a secure and controlled environment, while leadership retains visibility across the entire system. Some sensitive customer actions require secondary verification via two-factor authentication, and any customer can enable two-factor authentication for logging into their account.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Product Development</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rely heavily on input from our customers and prospective customers in developing products that meet their needs and in anticipating developments in their businesses. We perform research and market validation efforts to guide our product roadmap. Our platform is frequently updated to provide new innovations and respond to market trends and customer needs. In addition, we believe that it is easier for our customers to adjust to frequent platform updates, which incrementally change and improve their user experience, than to adapt to infrequent, but more drastic, updates.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overall market for business management solutions in the real estate industry is global, highly competitive, and continually evolving to respond to changes in technology, operational requirements, and laws and regulations.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our competitors primarily fall into the following categories:</w:t>
      </w:r>
    </w:p>
    <w:p>
      <w:pPr>
        <w:spacing w:after="0" w:line="67" w:lineRule="exact"/>
        <w:rPr>
          <w:sz w:val="20"/>
          <w:szCs w:val="20"/>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Vertical real estate business management service providers that serve companies of all sizes in our markets; and</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Horizontal business management service providers that offer broad solutions across multiple industries.</w:t>
      </w:r>
    </w:p>
    <w:p>
      <w:pPr>
        <w:spacing w:after="0" w:line="7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also experience competition from numerous technology providers that focus almost exclusively on one or more point solutions in the real estate industry or in other industries. Continued consolidation among cloud-based point solution providers could significantly increase competition.</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believe we are well positioned to compete against both horizontal and vertical competitors because of our innovative platform that can scale and extend through AppFolio Stack™ and our Value Added Services, which can meet the needs of all property management customers across our growing addressable market. However, some of our competitors may have greater financial, technical and other resources, greater name recognition and larger sales and marketing budgets; therefore, we may not always compare favorably with respect to some or all of the foregoing factors. Further, the barrier to entry for competition in one or more areas we serve may be low, which could lead to competition from new entrants who solve similar problems in different ways.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rely on a combination of patents, copyrights, trademarks, trade secrets, confidentiality procedures and contractual restrictions to establish and protect our proprietary rights in our services. We may pursue additional patent protection to the extent we believe it would be beneficial and cost-effective.</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control access to our proprietary technology by entering into confidentiality and invention assignment agreements with our employees and contractors, and confidentiality agreements with third parties. We also limit access to certain confidential information or trade secret information, including our source code, to those who have a need for such access. Despite our precautions, it may be possible for unauthorized third parties to copy our products and use information that we regard as proprietary to create products and services that compete with ours.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73" w:lineRule="exact"/>
        <w:rPr>
          <w:sz w:val="20"/>
          <w:szCs w:val="20"/>
          <w:color w:val="auto"/>
        </w:rPr>
      </w:pPr>
    </w:p>
    <w:p>
      <w:pPr>
        <w:ind w:right="20" w:firstLine="432"/>
        <w:spacing w:after="0" w:line="264" w:lineRule="auto"/>
        <w:rPr>
          <w:sz w:val="20"/>
          <w:szCs w:val="20"/>
          <w:color w:val="auto"/>
        </w:rPr>
      </w:pPr>
      <w:r>
        <w:rPr>
          <w:rFonts w:ascii="Times New Roman" w:cs="Times New Roman" w:eastAsia="Times New Roman" w:hAnsi="Times New Roman"/>
          <w:sz w:val="12"/>
          <w:szCs w:val="12"/>
          <w:color w:val="auto"/>
        </w:rPr>
        <w:t>Our business activities are subject to various federal, state and local laws and regulations. In addition, certain of our services (such as our tenant screening and risk mitigation services) are highly regulated or intended to be used in connection with other highly regulated activities. Some of the federal laws and regulations to which our products and services are subject include, without limitation:</w:t>
      </w:r>
    </w:p>
    <w:p>
      <w:pPr>
        <w:spacing w:after="0" w:line="47" w:lineRule="exact"/>
        <w:rPr>
          <w:sz w:val="20"/>
          <w:szCs w:val="20"/>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Housing Act;</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Credit Reporting Act (the "FCRA");</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Americans with Disabilities Act;</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Electronic Signatures in Global and National Commerce Act; and</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Trade Commission Act.</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State law equivalents of the foregoing, plus various state regulations related to insurance licensing and solicitation and privacy also apply to certain of our services. In addition, our services are subject to changing federal and state laws and regulations, the application or interpretation of which is not clear in some jurisdictions. Moreover, federal and state legislatures and regulatory agencies have indicated they are focused on protecting tenants. This focus may result in the introduction of new laws and regulations that are directly applicable to our business. We have implemented various programs, processes and controls focused on compliance with applicable laws and regulations throughout our business; however, there is no guarantee that we will not be subject to fines, penalties or other regulatory actions in one or more jurisdictions, or be required to adjust our business practices to accommodate future regulatory requirements.</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See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for additional details regarding risks related to government regulations.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believe our people are at the heart of our success. We drive our success by investing in our people, and cultivating an exceptional work destination where they want to be and stay. Our company culture, driven by the following six core values, fuels our purpose and results:</w:t>
      </w:r>
    </w:p>
    <w:p>
      <w:pPr>
        <w:spacing w:after="0" w:line="39" w:lineRule="exact"/>
        <w:rPr>
          <w:sz w:val="20"/>
          <w:szCs w:val="20"/>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Great people make a great company.</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Listening to customers is in our DNA.</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Innovation powers success.</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Simpler is better.</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the right thing; it’s good for business.</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 trust every day.</w:t>
      </w:r>
    </w:p>
    <w:p>
      <w:pPr>
        <w:spacing w:after="0" w:line="7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2024, we had 1,634 employees. We routinely engage temporary employees and consultants. We consider our relationships with our employees and consultants to be strong. To maintain this strong relationship and attract new talent, our human capital management efforts focus on the following initiatives:</w:t>
      </w:r>
    </w:p>
    <w:p>
      <w:pPr>
        <w:spacing w:after="0" w:line="3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An Inclusive Workplace. </w:t>
      </w:r>
      <w:r>
        <w:rPr>
          <w:rFonts w:ascii="Times New Roman" w:cs="Times New Roman" w:eastAsia="Times New Roman" w:hAnsi="Times New Roman"/>
          <w:sz w:val="12"/>
          <w:szCs w:val="12"/>
          <w:color w:val="auto"/>
        </w:rPr>
        <w:t>Our commitment to diversity, equity and inclusion starts at the leadership level and cascades to our talented employees. We believe that reflecting the diversity of our customers and communities is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essential to driving innovation, performance, and long-term success. We foster a culture of belonging through employee-led resource groups, open communication, and regular listening forums, where every voice is valued and helps shape our workplace. At the same time, we are committed to empowering all employees to do their best work, grow their careers, and deliver results. By prioritizing performance, transparency, and engagement, we create a culture where diverse perspectives fuel better innovation and stronger outcomes.</w:t>
      </w:r>
    </w:p>
    <w:p>
      <w:pPr>
        <w:spacing w:after="0" w:line="4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Employee Development. </w:t>
      </w:r>
      <w:r>
        <w:rPr>
          <w:rFonts w:ascii="Times New Roman" w:cs="Times New Roman" w:eastAsia="Times New Roman" w:hAnsi="Times New Roman"/>
          <w:sz w:val="12"/>
          <w:szCs w:val="12"/>
          <w:color w:val="auto"/>
        </w:rPr>
        <w:t>We invest significant resources to develop the talent needed to remain at the forefront of innovation and make us an employer of choice. Our learning and development offerings are aligned with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needs of our business as well as tailored for individual growth. We conduct in person trainings and make available on-demand programming that cover a wide range of topics from professional development to real estate industry acumen. Our quarterly engagement survey provides a platform for employees to provide anonymous feedback directly to their managers and our executives.</w:t>
      </w:r>
    </w:p>
    <w:p>
      <w:pPr>
        <w:spacing w:after="0" w:line="4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Societal Impact. </w:t>
      </w:r>
      <w:r>
        <w:rPr>
          <w:rFonts w:ascii="Times New Roman" w:cs="Times New Roman" w:eastAsia="Times New Roman" w:hAnsi="Times New Roman"/>
          <w:sz w:val="12"/>
          <w:szCs w:val="12"/>
          <w:color w:val="auto"/>
        </w:rPr>
        <w:t>We create a culture of impact by striving to be a force for good for our customers, communities, and each other. We encourage employee volunteerism through our employee-led Give Back Committee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company-wide benefit of eight hours of paid volunteer time off annually. Our corporate philanthropy program “AppFolio Gives Back” supports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housing availability, an ongoing challenge in the real estate industry, through a combination of employee fundraising, team volunteering, and a corporate matching gift program.</w:t>
      </w:r>
    </w:p>
    <w:p>
      <w:pPr>
        <w:spacing w:after="0" w:line="7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Environmental Stewardship. </w:t>
      </w:r>
      <w:r>
        <w:rPr>
          <w:rFonts w:ascii="Times New Roman" w:cs="Times New Roman" w:eastAsia="Times New Roman" w:hAnsi="Times New Roman"/>
          <w:sz w:val="12"/>
          <w:szCs w:val="12"/>
          <w:color w:val="auto"/>
        </w:rPr>
        <w:t>We believe in a culture of environmental stewardship and strive to create environmentally friendly workplaces. We maintain sustainability requirements that all contractors who work in or around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buildings are required to follow. Examples of these requirements include recycling of all demolished or removed materials whenever possible, installation of energy efficient HVAC units, low power LED lighting and fixtures, and native, drought resistant landscaping.</w:t>
      </w:r>
    </w:p>
    <w:p>
      <w:pPr>
        <w:spacing w:after="0" w:line="4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Compensation and Benefits. </w:t>
      </w:r>
      <w:r>
        <w:rPr>
          <w:rFonts w:ascii="Times New Roman" w:cs="Times New Roman" w:eastAsia="Times New Roman" w:hAnsi="Times New Roman"/>
          <w:sz w:val="12"/>
          <w:szCs w:val="12"/>
          <w:color w:val="auto"/>
        </w:rPr>
        <w:t>We build a culture of high performance that recognizes and rewards those who deliver meaningful results, as well as how those results were achieved. Our compensation and benefits programs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support the well-being of our employees and their families so they feel they can live their best lives both at work and at home. Our competitive compensation packages may include base salary, commission or annual performance-based bonuses, and stock-based compensation. We also offer a flexible paid time off policy, paid parental leave, paid sabbaticals, paid leave to care for family members, and access to fertility networks and discounts on fertility care. We review our programs periodically to ensure they remain competitive to retain, motivate, and reward current employees and attract new employees.</w:t>
      </w:r>
    </w:p>
    <w:p>
      <w:pPr>
        <w:spacing w:after="0" w:line="4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Health, Safety, and Wellness. </w:t>
      </w:r>
      <w:r>
        <w:rPr>
          <w:rFonts w:ascii="Times New Roman" w:cs="Times New Roman" w:eastAsia="Times New Roman" w:hAnsi="Times New Roman"/>
          <w:sz w:val="12"/>
          <w:szCs w:val="12"/>
          <w:color w:val="auto"/>
        </w:rPr>
        <w:t>We are committed to providing a safe workplace for our employees and assisting them in maintaining a healthy work-life balance. We regularly solicit feedback to assess the well-being and needs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our employees and offer resources focused on mental health and physical wellness. Our office locations are intentional spaces where we fuel connection, innovation, collaboration, and celebrate successes together</w:t>
      </w:r>
      <w:r>
        <w:rPr>
          <w:rFonts w:ascii="Times New Roman" w:cs="Times New Roman" w:eastAsia="Times New Roman" w:hAnsi="Times New Roman"/>
          <w:sz w:val="12"/>
          <w:szCs w:val="12"/>
          <w:color w:val="008080"/>
        </w:rPr>
        <w:t>.</w:t>
      </w:r>
      <w:r>
        <w:rPr>
          <w:rFonts w:ascii="Times New Roman" w:cs="Times New Roman" w:eastAsia="Times New Roman" w:hAnsi="Times New Roman"/>
          <w:sz w:val="12"/>
          <w:szCs w:val="12"/>
          <w:color w:val="auto"/>
        </w:rPr>
        <w:t xml:space="preserve"> We have embraced a work model, where many of our employees work out of one of our offices several days a week and others work remotely.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are subject to the reporting requirements of the Securities Exchange Act of 1934, as amended (the “Exchange Act”), and file annual, quarterly and current reports, proxy statements and other information with the SEC.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filings are available to the public on the SEC’s website at www.sec.gov.</w:t>
      </w:r>
    </w:p>
    <w:p>
      <w:pPr>
        <w:spacing w:after="0" w:line="6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website address is www.appfolio.com. We make available, free of charge, on or through our website, our annual reports on Form 10-K, quarterly reports on Form 10-Q, current reports on Form 8-K, and amendments to those reports filed or furnished pursuant to Section 13(a) of the Exchange Act as soon as reasonably practicable after we electronically file such material with, or furnish it to, the SEC. The contents of our website are not incorporated by reference in, or otherwise made a part of, this Annual Report.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9" w:name="page10"/>
    <w:bookmarkEnd w:id="9"/>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1A.</w:t>
        <w:tab/>
        <w:t>RISK FACTORS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Investing in our securities involves risks. You should consider carefully the risks described below, together with all of the other information included in this Annual Report, as well as in our other filings with the SEC, in evaluating our business and/or an investment in our Class A common stock. If any of the following risks actually occur, our business, financial condition, operating results, cash flows and prospects could be materially and adversely affected. In that case, the trading price of our Class A common stock may decline and you might lose all or part of your investment. The risks described below are not the only risks we face. Additional risks that we currently do not know about or that we currently believe to be immaterial may also impair our business, financial condition, operating results, cash flows,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Products and Solutions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found to be in violation of the legal requirements applicable to our products and services, our business and operating results may be adversely affected.</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Our business activities are subject to various federal, state and local laws and regulations. In addition, certain of our services, such as our tenant screening and risk mitigation services, are highly regulated or intended to be used in connection with other highly regulated activities. Unfavorable laws, regulations, and administrative or judicial decisions interpreting or applying laws and regulations could subject us to litigation or governmental investigation and increase our cost of doing business, any of which may adversely affect our operating results. Further, the evolution and expansion of our products and services may subject us to additional regulatory risks and requirements. For example, as our electronic payments services business evolves, we may become directly subject to laws governing money transmission and anti-money laundering. Regulatory requirements vary throughout the markets in which we operate, and have increased over time as the scope and complexity of our products and services have expanded. Moreover, federal and state legislatures and regulatory agencies have indicated they are focused on protecting tenants. This focus may result in the introduction of new laws and regulations that are directly applicable to our business. There is no guarantee that we will not be subject to fines, criminal and civil lawsuits or other regulatory enforcement actions in one or more jurisdictions or be required to adjust business practices to accommodate regulatory requirements.</w:t>
      </w:r>
    </w:p>
    <w:p>
      <w:pPr>
        <w:spacing w:after="0" w:line="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New and evolving regulatory requirements may also impact our customers and their ability or willingness to utilize our products and services. For instance, we are monitoring FCRA rulemaking efforts by the Consumer Financial Protection Bureau ("CFPB") and various recently enacted and proposed state regulations applicable to tenant screening. These new regulatory requirements may impact our ability to offer or our customers' ability and willingness to utilize certain of our services, which may impact our operating results.</w:t>
      </w:r>
    </w:p>
    <w:p>
      <w:pPr>
        <w:spacing w:after="0" w:line="4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periodically undergo examinations, audits, and investigations by regulatory authorities related to our services, including those related to the affairs of insurance companies and agencies and electronic payment services providers. Such examining, auditing, and investigating regulatory authorities are generally vested with relatively broad discretion to grant, renew and revoke licenses and approvals, to implement and interpret rules and regulations, levy fines and penalties, and bring enforcement actions. While we have implemented various programs, processes and controls focused on compliance with applicable laws and regulations throughout our business, there is no guarantee that we will not be subject to fines, penalties or other regulatory actions in one or more jurisdictions, or be required to adjust our business practices to accommodate future regulatory requirements. In the event that we are found to be in violation of our legal or regulatory requirements, we may be subject to monetary fines or penalties, cease-and-desist orders, mandatory product changes, or other liabilities that could have an adverse effect on our business (including damage to our reputation) and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in our electronic payment services business that could adversely affect our business and/or results of operations.</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electronic payment services business facilitates the processing of inbound and outbound payments for our customers. These payments are settled through our sponsoring clearing bank, licensed money transmitters, card payment processors and other third-party electronic payment services providers that we contract with from time to time. With respect to these service providers, we have significantly less control over the systems and processes than if we were to maintain and operate those systems and processes ourselves. In some cases, functions necessary to our business are performed on proprietary third-party systems and software to which we have no access. We also generally do not have long-term contracts with these service providers. Moreover, we rely on a limited number of third-party electronic payment services providers and, in some instances, do not have a backup provider in place for a specific service. Accordingly, the failure of these service providers to renew their contracts with us or to fulfill their contractual obligations and perform satisfactorily could result in significant disruptions to our operations and adversely affect our operating results.</w:t>
      </w:r>
    </w:p>
    <w:p>
      <w:pPr>
        <w:spacing w:after="0" w:line="53"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are and will continue to be subject to risks arising from or related to the settlement of payment transactions, including with respect to prefunding and chargeback requests as well as human or processing errors. Users are ultimately responsible for fulfilling their obligations to fund transactions; however, in instances where there are returns or chargebacks, we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8" w:right="299" w:bottom="1440" w:gutter="0" w:footer="0" w:header="0"/>
        </w:sectPr>
      </w:pPr>
    </w:p>
    <w:bookmarkStart w:id="10" w:name="page11"/>
    <w:bookmarkEnd w:id="10"/>
    <w:p>
      <w:pPr>
        <w:jc w:val="both"/>
        <w:spacing w:after="0" w:line="260" w:lineRule="auto"/>
        <w:rPr>
          <w:sz w:val="20"/>
          <w:szCs w:val="20"/>
          <w:color w:val="auto"/>
        </w:rPr>
      </w:pPr>
      <w:r>
        <w:rPr>
          <w:rFonts w:ascii="Times New Roman" w:cs="Times New Roman" w:eastAsia="Times New Roman" w:hAnsi="Times New Roman"/>
          <w:sz w:val="12"/>
          <w:szCs w:val="12"/>
          <w:color w:val="auto"/>
        </w:rPr>
        <w:t>attempt to collect these funds from our customers. If we are unable to collect such amounts from our customers, we bear the risk of loss for the amount of the return or chargeback. While we have not experienced material losses resulting from payment returns or chargebacks in the past, there can be no assurance that we will not experience significant losses in the future. Any increase in returns or chargebacks that we are not able to recover from our customers may adversely affect our financial condition and results of operations. In addition, if transactions or settlement reconciliations are not performed timely or are inaccurate due to human or processing errors, we could experience significant financial loss that could have an adverse effect on our business and operating results.</w:t>
      </w:r>
    </w:p>
    <w:p>
      <w:pPr>
        <w:spacing w:after="0" w:line="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electronic payment services business also exposes us to risk in connection with theft, fraud and other malicious activity by our employees, our third-party service providers’ employees, or third-parties who improperly gain access to our systems or our customers’ systems. In the event of such activity, we may incur liability to compensate our customers, our customers' stakeholders, or third-party electronic payment service providers for losses incurred. While we take reasonable measures to secure our systems and payments infrastructure, it is not possible to entirely eliminate the risk of intentional wrongdoing. In the past, third-party bad actors have gained improper access to our systems and our customers’ systems and we experienced financial loss as a result. If third-party bad actors again gain access to our systems or our customers’ systems, or our employees or third-party service providers’ employees misuse our payment systems for malicious purposes, we could experience material financial loss that may affect our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to payment card networks or bank fees, rules, or practices could harm our business.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do not directly access the payment card networks, such as Visa and MasterCard, that enable our acceptance of credit cards and debit cards, including some types of prepaid cards. Accordingly, we must rely on banks or other card payment processors to process transactions and must pay fees for their services. From time to time, payment card networks have increased, and may increase in the future, the interchange fees and assessments that they charge for each transaction which accesses their networks. Our card payment processors may have the right to pass any increases in interchange fees and assessments on to us and increase their own fees for processing. Any changes in interchange fees and assessments could increase our operating costs and reduce our operating income. In the past, federal regulators have required Visa and MasterCard to reduce interchange fees. Any material change in credit or debit card interchange rates, including changes in interchange fee limitations, could significantly reduce our Value Added Services revenue and have an adverse effect on our business and operating results.</w:t>
      </w:r>
    </w:p>
    <w:p>
      <w:pPr>
        <w:spacing w:after="0" w:line="5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card payment processors require us to comply with payment card network operating rules, including special operating rules for electronic payment service providers to merchants, and we have agreed to reimburse our processors for any fines they are assessed by payment card networks as a result of any rule violations by us or our merchants. The payment card networks set and interpret the card operating rules. From time to time, the networks have alleged that various aspects of our business model violate these operating rules. In the past, all such allegations have been resolved favorably, however, if such allegations are not resolved favorably in the future, they may result in material fines and penalties or require changes in our business practices that may be costly. In addition, the payment card networks could adopt new operating rules or interpret or re-interpret existing rules that we or our processors might find difficult or even impossible to follow, or costly to implement. As a result, we could lose our ability to give customers and their residents the option of using payment cards to fund their payments. If we are unable to accept payment cards or are meaningfully limited in our ability to do so, our business and operating results would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in our tenant screening services business that could adversely affect our business and/or operating results.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tenant screening services business is subject to a number of complex laws that are subject to varying interpretations, including the FCRA, the Fair Housing Act, and related federal and state regulations. The FCRA continues to be the subject of multiple class-based litigation proceedings, as well as numerous regulatory inquiries and enforcement actions. In addition, entities such as the FTC and the CFPB have the authority to promulgate rules and regulations that may impact our customers and our business and have made various public statements that tenant screening is an area of focus for such agencies. Although we attempt to structure our tenant screening services to comply with relevant laws and regulations, we are routinely accused of not complying with such laws and regulations and have been and may again in the future be found to be in violation of them. In addition, we have been and expect in the future to be subject to routine regulatory inquiries, enforcement actions, class-based litigation and/or indemnity demands.</w:t>
      </w:r>
    </w:p>
    <w:p>
      <w:pPr>
        <w:spacing w:after="0" w:line="53"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As previously disclosed, in January 2021, we entered into a settlement agreement with the FTC to resolve allegations that we failed to comply with certain sections of the FCRA. In connection with the settlement, we paid a fine and agreed to ongoing compliance and reporting obligations. Our failure to comply with these obligations could result in material additional penalties or other actions by the FTC or other agencies, including enjoining our ability to provide tenant screening services.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1" w:name="page12"/>
    <w:bookmarkEnd w:id="11"/>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potential liability in any enforcement action, class action lawsuit, or significant single plaintiff action could have a material impact on our business, especially given that certain applicable laws and regulations provide for fines or penalties on a per occurrence basis and we participate in a large number of tenant screening transactions. The existence of any such proceeding, whether meritorious or not, may adversely affect our ability to attract customers, result in the loss of existing customers, harm our reputation and cause us to incur defense costs or other expenses.</w:t>
      </w:r>
    </w:p>
    <w:p>
      <w:pPr>
        <w:spacing w:after="0" w:line="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Errors, defects or other disruptions in our products, or the products of our third-party service providers upon which certain of our products are dependent, could harm our reputation, cause us to lose customers, and result in significant expenditures to correct the problem.</w:t>
      </w:r>
    </w:p>
    <w:p>
      <w:pPr>
        <w:spacing w:after="0" w:line="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customers use our products to manage critical aspects of their businesses. Any errors, defects or other disruptions in our products, or the products of our third-party service providers upon which certain of our products are dependent, may result in loss of or damage to our customers’ data and disruption to our customers’ businesses, which could harm our reputation and subject us to potential liability. Such product problems could be caused by a variety of factors, including infrastructure changes, power or network outages, fire, flood or other natural disasters, human or software errors, viruses, security breaches, fraud or other malicious activity, spikes in customer usage or distributed denial of service attacks. In addition, we provide continuous updates to our products and these updates may contain undetected errors, defects or other disruptions when first introduced. In the past, we have discovered errors, defects, or other disruptions in our updates after they have been released, and similar problems may arise in the future. Real or perceived errors, defects, or other disruptions in our products or the products of our third-party service providers upon which certain of our products are dependent, could result in negative publicity, reputational harm, loss of customers, delay in market acceptance of our products and solutions, loss of competitive position, withholding or delay of payment to us, claims by customers for losses sustained by them and potential litigation or regulatory action. In any such event, we may be required to expend additional resources to help correct the problem or we may choose to expend additional resources to take corrective action even when not required. The costs incurred in correcting any material errors, defects or other disruptions could be substantial. In addition, we may not carry insurance sufficient to offset any losses that may result from claims arising from errors, defects or other disruptions in our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deliver effective customer service, it could harm our relationships with our existing customers and adversely affect our ability to attract new customers and our operating results.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business depends, in part, on our ability to satisfy our customers by providing onboarding services and ongoing customer service. Once our solutions are deployed, our customers depend on our customer service organization to resolve technical issues relating to their use of our solutions. Increased demand for our support services may increase our costs without corresponding revenue, which could adversely affect our operating results. Further, our sales process is highly dependent on the ease of use of our solutions, our reputation and positive recommendations from our existing customers. Any failure to maintain high-quality and responsive customer service, or a market perception that we do not maintain high-quality and responsive customer service, could harm our reputation, cause us to lose customers and adversely impact our ability to sell our solutions to prospective customers.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property management customers stop requiring insurance coverage for their units, our operating results could be harmed.</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Some of our property management customers require their renters to purchase rental insurance policies. Through wholly owned subsidiaries, we make rental insurance policies available to these renters and, if our customers so elect, add uncovered units to a qualifying liability to landlord insurance policy via a licensed insurance broker. If our property management customers stop requiring renters to purchase rental insurance policies because of regulatory or competitive pressures, demand for our insurance-related risk mitigation products may decline and our revenues and operating results could be adversely affected.</w:t>
      </w:r>
    </w:p>
    <w:p>
      <w:pPr>
        <w:spacing w:after="0" w:line="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maintain relationships with third-party service providers that enable certain functionality within our solutions or provide our customers with specialized technology and services, our business and operating results may be harmed.</w:t>
      </w:r>
    </w:p>
    <w:p>
      <w:pPr>
        <w:spacing w:after="0" w:line="3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Certain functionality of our services is provided, supported or enhanced by third-party service providers, including without limitation functions related to customer relationship management, cloud computing, texting, emailing, electronic payments, tenant screening, and insurance related offerings. Our customers are also able to integrate specialized, third-party technology and services through AppFolio Stack. If our third-party service providers cease providing their products or making them available through AppFolio Stack, our solutions and demand for our solutions would be adversely impacted and our business and operating results would be harmed. In addition, our competitors may be more successful than us in building cost-effective relationships with third parties that enhance their products and services, allow them to provide more competitive pricing, or offer other benefits to their customers. Acquisitions of our third-party service providers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maintaining our relationships with third-party service providers, our ability to compete in the marketplace or to grow our customer base and revenue could be impaired, which could negatively impact our operating results.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development and incorporation of AI in our services may result in reputational harm or liability, which could adversely affect our business and operating results.</w:t>
      </w:r>
    </w:p>
    <w:p>
      <w:pPr>
        <w:spacing w:after="0" w:line="8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We employ machine learning and AI technologies, including generative AI, in our product and service offerings. Research into and continued development of such technologies remains ongoing. As AI represents a rapidly evolving field, it inherently carries a spectrum of risks typical to emerging technologies. We anticipate the enactment of new laws and regulations pertaining to AI use, potentially placing us under increased regulatory oversight, escalating litigation risks, and augmenting our existing obligations regarding confidentiality and privacy. Such developments could negatively impact our business operations. Moreover, AI technologies introduce heightened cybersecurity risks and ethical considerations, potentially affecting our reputation and operational performance. Should we introduce solutions that generate content that is misleading, biased, harmful or controversial due to perceived or actual societal impact, we may face potential harm to our brand and reputation, competitive disadvantages, or legal liabilities. AI algorithms and training methodologies may be flawed. ineffective or inadequate. AI development or deployment practices by us or others could result in incidents that impair the acceptance of AI solutions or cause harm to individuals or society. Further, the legal landscape regarding intellectual property rights in AI technologies remains unsettled in the United States, both in legislation and judicial precedent. Consequently, our employment of AI technologies and features might lead to allegations of infringement or misappropriation of third-party intellectual property rights. This risk is intensified by the current trend of entities swiftly seeking patents and other intellectual property protections in AI to gain a competitive edge. Additionally, generative AI has the capacity to yield inaccurate or misleading results, promote discriminatory outcomes, or perpetuate unintended biases, which risks are exacerbated by the speed and scale that AI has the ability to operate at across our customer base. Despite our efforts to implement measures and develop our AI tools in a manner that enhances security and fairness, these issues may arise due to the direct interaction of users with generative AI models and the inherent unpredictability and power of these technologies. Litigation or government regulation related to the use of AI may also adversely impact our ability to develop and offer products that use AI, as well as increase the cost and complexity of doing so. Potential government regulation related to AI use and ethics may also increase the burden and cost in this area. Failure to properly remediate AI usage or ethics issues may cause public confidence in AI to be undermined. Such outcomes could result in reputational damage and adverse effects on our operational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ensure that our solutions keep pace with other technology, our solutions may become less competitive and our operating results may be harmed.</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To remain competitive, we must continue to develop new product offerings, applications, features, and enhancements to our products. Maintaining adequate resources to meet the demands of our customers and the market is essential. If we are unable to develop our products and services, including through the development of emerging technologies, such as AI, we may miss market opportunities and our products may become less attractive to users. Our competitors may have or expend a greater amount of resources on improvement of technology, and our failure to maintain adequate development programs or compete effectively could materially and adversely affect our business.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ensure that our solutions interoperate with other technology, our solutions may become less competitive and our operating results may be harmed.</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depend on the interoperability of our platform with web browsers, and in the case of our mobile applications - operating systems, that we do not control. Any changes in such web browsers or systems that degrade the functionality of our solutions or give preferential treatment to competitive services could adversely affect the adoption and use of our solutions. In addition, to deliver high quality solutions, we will need to continuously enhance and modify our functionality to keep pace with technical, contractual, and other changes in Internet-related hardware, mobile operating systems such as iOS and Android, browsers, communication, network and database technologies. We may not be successful in developing enhancements and modifications that operate effectively with these devices, operating systems, web browsers or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solutions, our solutions may become less competitive, and our operating results could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upon third-party service providers to host our platform and any disruption of such third-party services would impact our operations and our business could be adversely impacted.</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Third-party service providers provide the cloud computing infrastructure we use to host our platform. Any significant disruption of, limitation of our access to or other interference with our use of such third-party services would negatively impact our platform and operations and our business could be harmed. External factors impacting our third-party service providers could affect the availability or speed of our services. If our customers are unable to access our platform or encounter difficulties in doing so, we may lose customers, which could harm our business and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Risks Related to Cybersecurity and Data Privacy</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Security vulnerabilities in our products, human error, or a breach of our security controls could result in the loss, theft, misuse, unauthorized disclosure, or unauthorized access to customer or employee data, or other confidential or sensitive information, which could harm our customer and/or employee relationships, competitiveness and reputation, and expose us to litigation, fines, or penalties.</w:t>
      </w:r>
    </w:p>
    <w:p>
      <w:pPr>
        <w:spacing w:after="0" w:line="3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Our business involves the storage and transmission of sensitive and proprietary data and personal information collected by or on behalf of our customers, the personal information of our employees, customers, and prospective customers and our proprietary financial, operational and strategic information. Cyber attacks, malicious Internet-based activity, online and offline fraud, and other similar activities may threaten the confidentiality, integrity, and availability of our information technology systems, or those of the third parties upon which we rely, along with the proprietary, confidential, and sensitive data stored in or processed by such systems. As our business grows, the number of individuals using our products, as well as the amount of information we collect, store, and process is increasing, and our brands are becoming more widely recognized, which makes us a greater target for malicious activity. We have incurred, and expect to continue to incur, significant expenses in connection with our efforts to keep our systems, products and networks protected and up to date. However, there can be no assurance that the security measures we employ will prevent malicious or unauthorized access to our systems or information. Furthermore, no security program can entirely eliminate the risk of human error, such as an employee or contractor’s failure to follow one or more security protocols, which has previously occurred and we expect will occur again despite our efforts to train our employees and contractors on cybersecurity issues and enforce our security protocols. Additionally, with many of our employees continuing to work remotely, we face an increased risk of attempted security breaches and incidents. Therefore, despite our significant efforts to keep our systems, products and networks protected and up to date, we may be unable to anticipate new modes for cyber attacks, detect security incidents or react to them in a timely manner, or implement adequate preventive measures, any of which may expose us to a risk of loss, harm to our reputation, litigation, fines, penalties, and potential liability.</w:t>
      </w:r>
    </w:p>
    <w:p>
      <w:pPr>
        <w:spacing w:after="0" w:line="5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Computer malware, ransomware, viruses, social engineering (deepfakes, phishing, smishing and vishing attacks), denial of service or other attacks, employee theft or misuse, and increasingly sophisticated network attacks have become more prevalent in our industry, particularly against cloud service providers. The sophistication of these malicious attacks has also increased, and it appears that cyber crimes and cyber criminal networks, some of which may be state-supported, have been provided substantial resources and may target U.S. enterprises or our customers and their use of our products. Furthermore, the risk of state-supported and geopolitical-related cyber attacks may increase in connection with ongoing global geopolitical tensions. In the past, we have had to take corrective action against cyber attackers to protect our cloud environment. If our security measures are, or are believed to have been breached or otherwise to have failed as a result of third-party action, employee error, malfeasance or otherwise, our reputation could be damaged, our business may suffer, and we could incur significant liability.</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some of our third-party service providers also collect, store or process our sensitive information and our customers’ data on our behalf. These service providers have been, and continue to be, subject to similar threats of cyber attacks and other malicious Internet-based activities. Our contracts with these third parties may not provide us with adequate remedies in the event of such an incident which could also expose us to risk of loss, litigation, fines, penalties, and potential liability as well as reputational damage.</w:t>
      </w:r>
    </w:p>
    <w:p>
      <w:pPr>
        <w:spacing w:after="0" w:line="4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If our security measures, or the security measures of our third-party service providers, are breached as a result of wrongdoing or malicious activity on the part of our employees, our third-party service providers' employees, our customers’ employees, or any third party, or as a result of any human error or neglect, product defect or otherwise, and this results in the loss, theft, misuse, unauthorized disclosure, or unauthorized access to personal data or other sensitive information, we could incur liability to our customers, employees, and to individuals or organizations whose information was being stored by us or our customers, as well as due to fines, penalties, or actions from payment processing networks or by governmental bodies. If we experience a widespread security breach, our insurance coverage may not offset liabilities actually incurred and insurance may not continue to be available to us on reasonable terms, or at all. In addition, security breaches could result in reputational damage, adversely affect our ability to attract new customers and cause existing customers to reduce or discontinue the use of our products and solutions. Furthermore, the perception by our current or potential customers that our products could be vulnerable to exploitation or that our security measures are inadequate, even in the absence of a particular problem or threat, could reduce market acceptance of our products and solutions and cause us to lose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Privacy laws and regulations could impose additional costs and reduce demand for our services.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collect, store, process, and transmit personal information relating to our employees, customers, prospective customers, and other individuals. Our customers use our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14" w:name="page15"/>
    <w:bookmarkEnd w:id="14"/>
    <w:p>
      <w:pPr>
        <w:jc w:val="both"/>
        <w:spacing w:after="0" w:line="257" w:lineRule="auto"/>
        <w:rPr>
          <w:sz w:val="20"/>
          <w:szCs w:val="20"/>
          <w:color w:val="auto"/>
        </w:rPr>
      </w:pPr>
      <w:r>
        <w:rPr>
          <w:rFonts w:ascii="Times New Roman" w:cs="Times New Roman" w:eastAsia="Times New Roman" w:hAnsi="Times New Roman"/>
          <w:sz w:val="12"/>
          <w:szCs w:val="12"/>
          <w:color w:val="auto"/>
        </w:rPr>
        <w:t>use, processing, security and transmission of personal information. For example, the California Consumer Privacy Act ("CCPA") requires certain privacy related disclosures and provides California consumers rights with respect to their personal information, including the right to request deletion of their personal information, the right to receive the personal information on record for them, the right to know what categories of personal information generally are maintained about them, as well as the right to opt-out of certain sales of personal information and sharing personal information for certain advertising purposes. The CCPA also granted a new state agency, the California Privacy Protection Agency, powers to adopt and enforce regulations interpreting the CCPA. In addition, the CCPA provides for civil penalties for violations, as well as a private right of action for certain data breaches that result in the loss of personal information. This private right of action may increase the likelihood of, and risks associated with, data breach litigation.</w:t>
      </w:r>
    </w:p>
    <w:p>
      <w:pPr>
        <w:spacing w:after="0" w:line="5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addition to California, we are currently subject to comprehensive privacy laws across multiple states and in 2025 will be subject to new comprehensive privacy laws in Delaware, Iowa, Maryland, Minnesota, Nebraska, New Hampshire, New Jersey, and Tennessee. These laws and regulations have increased, and will likely continue to increase, the complexity of our data collection and processing practices and policies and the cost of compliance to deliver our services. Additionally, we may incur substantial costs and expenses related to an increased exposure to regulatory enforcement and/or litigation. Despite our efforts, we cannot guarantee that we will be able to maintain full compliance with constantly evolving, and sometimes conflicting, data privacy laws in the jurisdictions in which we operate. If our privacy or data security measures fail to comply with current or future laws and regulations, we may be subject to claims, legal proceedings or other actions by individuals or governmental authorities based on privacy or data protection regulations and our privacy commitments to customers or others.</w:t>
      </w:r>
    </w:p>
    <w:p>
      <w:pPr>
        <w:spacing w:after="0" w:line="5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addition to government regulation, privacy advocates and industry groups may propose various self-regulatory standards that may legally or contractually apply to our business. As new laws, regulations and industry standards take effect and we offer new services,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or Value Added Services. Failure to comply with these laws, regulations and industry standards could result in negative publicity, subject us to fines or penalties, expose us to litigation, or result in demands that we modify or cease existing business practices. Furthermore, privacy concerns may cause residents, vendors, employees and other industry participants to resist providing the personal information necessary to allow our customers to use our applications effectively, which could reduce overall demand for our services. Any of these outcomes could adversely affect our business and operating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Attracting and Retaining Talent</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3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success and future growth depend, in part, upon the continued services of our executive officers and other key employees. To execute our growth plan and achieve our strategic objectives, we must continue to retain and hire highly qualified and motivated personnel across our organization. In particular, to continue to enhance our products and solutions, add new and innovative core functionality and/or Value Added Services, as well as develop new products, it will be critical for us to maintain and, over time, grow the current skill set and abilities of our research and product development organization. Further, for us to achieve broader market acceptance of our products and solutions, grow our customer base, and pursue new markets consistent with our strategic plan, we will need to maintain and, over time, grow the current skill set and abilities of our sales, marketing and customer service and support organizations. Competition for personnel is intense within our industry and there continues to be upward pressure on the compensation paid to these professionals. Retaining, identifying, recruiting, and training qualified personnel is difficult and requires a significant investment of time and resources.</w:t>
      </w:r>
    </w:p>
    <w:p>
      <w:pPr>
        <w:spacing w:after="0" w:line="5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Many of the companies with which we compete for experienced personnel have greater name recognition and financial resources than we have. As a result, we may have greater difficulty retaining and hiring skilled personnel than our competitors. In addition, existing and prospective employees often consider the value of the equity awards they receive in connection with their employment. If the perceived value of our equity awards declines, we are unable to offer equity awards in competitive amounts, or if the price of our Class A common stock experiences significant volatility, this may adversely affect our ability to retain and recruit highly skilled employees. If we are unable to retain and attract the personnel necessary to execute our growth plan, we may be unable to achieve our strategic objectives and our operating results may suffer. In addition, from time-to-time there may be changes in our management team that may be disruptive to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corporate culture has contributed to our success and, if we cannot continue to foster this culture, we could lose the passion, creativity, teamwork, focus and innovation fostered by our culture.</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believe that our corporate culture has been and will continue to be a key contributor to our success. If we do not continue to preserve our corporate culture or maintain our core values as we grow and evolve, we may be unable to foster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5" w:name="page16"/>
    <w:bookmarkEnd w:id="15"/>
    <w:p>
      <w:pPr>
        <w:jc w:val="both"/>
        <w:spacing w:after="0" w:line="279" w:lineRule="auto"/>
        <w:rPr>
          <w:sz w:val="20"/>
          <w:szCs w:val="20"/>
          <w:color w:val="auto"/>
        </w:rPr>
      </w:pPr>
      <w:r>
        <w:rPr>
          <w:rFonts w:ascii="Times New Roman" w:cs="Times New Roman" w:eastAsia="Times New Roman" w:hAnsi="Times New Roman"/>
          <w:sz w:val="12"/>
          <w:szCs w:val="12"/>
          <w:color w:val="auto"/>
        </w:rPr>
        <w:t>passion, creativity, teamwork, focus and innovation we believe we need to support our growth. Any failure to preserve our culture could also negatively affect our ability to recruit and retain personnel and to effectively focus on and pursue our strategic objectives. As we grow, we may find it difficult to maintain our corporate culture.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Industry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 of our revenues are presently generated by sales to customers in the real estate industry, and factors that adversely affect that industry, or our customers within it, could also adversely affect us.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expect that our real estate industry customers will continue to account for a significant portion or all of our revenue for the foreseeable future. Demand for our solutions and services could be affected by factors that are unique to and adversely affect the real estate industry and our customers within it. If the real estate industry declines, our customers may decide not to renew their subscriptions or they may cease using our Value Added Services to reduce costs to remain competitive. Higher interest rates may make it difficult or impossible for our customers to obtain financing and increase their cost of capital, which could negatively impact the demand for our solutions and services, increase customer attrition, and impact our operating results. In addition, we could lose real estate customers as a result of acquisitions or consolidations, bankruptcies or other financial difficulties facing our real estate customers, new or enhanced legal or regulatory regimes that negatively impact the real estate industry, and conditions or trends specific to the real estate industry such as the economic factors that impact the rental market.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estimates of market opportunity are subject to significant uncertainty.</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determine the level of our investment in various aspects of our business, in part, based on our market opportunity estimates. Market opportunity estimates are subject to significant uncertainty, especially in a volatile economic environment, and are based on assumptions, including our internal analysis and industry experience. Assessing markets for cloud-based business management solutions in the real estate industry is particularly difficult due to a number of factors, including limited available information and rapid evolution of the industry and markets therein. If we do not accurately estimate our opportunities, we may fail to realize a return on our investment in various aspects of our business, which could lead to a failure to gain market share and negatively impact our long-term growth prospects.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face antitrust challenges, which could harm our business and operating results.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Algorithmic pricing tools in our industry have been subject to antitrust challenges in the form of criminal and civil investigations, regulatory enforcement actions, and private class actions. Although we believe our services are compliant with antitrust laws, including because our services use only publicly available data, we may face similar challenges, which regardless of merit, could cause us to incur significant expenses, distract management, damage our reputation, and result in substantial fines, damages, and/or settlement costs all of which could adversely affected our business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Growing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inability to effectively maintain and enhance our brands could adversely affect our ability to attract new customers and negatively affect our business and operating results.</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Maintaining and enhancing our brands is critical to achieving widespread awareness and acceptance of our solutions as well as maintaining and expanding our customer base, which is a key component of our strategy. We expect the importance of brand recognition will increase, as competition for our products and services increases. If we do not continue to build awareness of our brands, we will be at a competitive disadvantage compared to companies whose brands are, or become, more recognizable than ours. Maintaining and enhancing our brands requires us to make substantial investments, and these investments may not result in commensurate increases in our revenue. In addition, new and existing technologies, industry trends, and laws that restrict online advertising or that affect our ability to customize and target advertising may require us to significantly increase our marketing costs to generate and capture demand and maintain our brand awareness, level of sales, and operating results. Moreover, our efforts to maintain and enhance our brands could be impacted by negative publicity or reputational harm from adverse events, such as lawsuits, customer or third-party-service provider disputes, or cybersecurity incidents. If we fail to successfully maintain and enhance our brands, or if we make investments that are not offset by increased revenue, our operating results could be adversely affected.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manage our growth effectively, our costs and operating expenses may increase without corresponding increases in revenue, which would adversely affect our operating results.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experienced, and anticipate that we will continue to experience, significant growth in the size, complexity, and diversity of our business. This growth has placed, and we expect that it will continue to place, a significant strain on our administrative, operational, and financial resources. Our future success depends, in part, on our ability to manage this growth effectively. For example, to grow our customer base and facilitate the continuous launch and refinement of our products and services we invest significantly in our sales, marketing, and product development organizations as well as software and systems to support the efficient operation of such organizations. There is no guarantee that these or similar investments to support our growth will be successful. If we are unable to manage our growth successfully and efficiently, it could result in increased costs and operating expenses without corresponding increases in revenue, which would adversely affect our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accurately predict and respond promptly to rapidly evolving technological developments and customer needs, the demand for our products and our business and operating results may be harmed.</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Customer demands are constantly changing in response to new technology and other market factors. To compete effectively, we must identify and innovate in the right technologies, accurately predict our customers’ evolving needs, and continually improve our own technology platform. If we fail to execute against any of the foregoing, our business, financial condition and operating results may be harmed. In addition, the widespread adoption of quickly evolving disruptive technology products, such as generative AI, may significantly impact the real estate industry, even if such products are not specifically designed to apply directly to the real estate industry. The adoption of such new technologies could significantly reduce the number or demand of our customers, thereby reducing our revenue, which could materially impact our business, financial condition and operating results.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participate in an intensely competitive market and our business could be harmed if we do not compete effectively.</w:t>
      </w:r>
    </w:p>
    <w:p>
      <w:pPr>
        <w:spacing w:after="0" w:line="8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The market for cloud-based business management solutions has relatively low barriers to entry and is global, highly competitive and continually evolving in response to a number of factors, including changes in technology, operational requirements, and laws and regulations. We compete with both other real estate industry cloud-based solution providers and providers of broad cloud-based solutions across multiple industries. We also face competition from numerous cloud-based solution providers that focus almost exclusively on one or more point solutions. Our competitors include established vendors, as well as newer entrants in the market. Our established competitors may have greater name recognition, longer operating histories, and significantly greater resources, which allows them to respond more quickly and effectively to new or changing opportunities or challenges, technologies, operational requirements and industry standards. Our competitors who are new entrants to the market, and generally smaller, may have more nimble operations due to having fewer products and less overhead and may be willing to take legal and operational risks, which allows them to launch products and meet customer demand more quickly and efficiently. Regardless of size, our current and potential competitors may develop, market and sell new technologies with comparable functionality to our solutions, which could cause us to lose customers, slow the rate of growth of new customers and/or cause us to decrease our prices to remain competitive. If we are unable to differentiate ourselves from our competitors and drive value for our customers or otherwise compete effectively against any of these competitive threats, our business, financial condition and results of operations could be harmed.</w:t>
      </w:r>
    </w:p>
    <w:p>
      <w:pPr>
        <w:spacing w:after="0" w:line="5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we have introduced and expect to continue to introduce variations to our pricing model that are intended to provide broader usage and better align the cost of our services to the value they provide our customers. Although we believe that these pricing changes will increase customer adoption and revenue, it is possible that they will not and may make our services less appealing, which could negatively impact our business, revenue, and operating results.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successfully expand sales of our solutions to new markets, our business, financial condition, and operating results may suffer.</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growth strategy requires expanding sales of our solutions to new markets within the real estate space. These new markets include larger and mixed-use customers. Acceptance of our current and future solutions in new markets will depend on numerous factors, including our ability to provide more sophisticated functionality and features, the pricing of our solutions relative to competitive products, perceptions about the security, privacy and availability of our solutions relative to competitive products, and the time-to-market of updates and enhancements to our solutions. There is no guarantee we will be successful in achieving all or any of the foregoing. Additionally, sales to new markets will involve risks that are not present, or are present to a lesser extent, in sales to the markets we currently serve. Such risks may include new regulatory regimes, longer sale cycles, increased chance of litigation with customers, increased risk and impact of reputational harm, and increased competition. We may not be able to sufficiently mitigate such risks, which would impact our ability to successfully expand our business. If we are unable to successfully expand sales of our solutions to new markets, our revenue may increase at a slower rate than we expect and may even decline, which could adversely affect our business, financial condition and operating results.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depends substantially on existing customers renewing their subscriptions with us and expanding their use of our Value Added Services, and a decline in either could adversely affect our operating results.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For us to maintain or increase our revenue and improve our operating results, it is important that our existing customers continue to use our core solutions, as well as continue to use and increase their adoption and utilization of our Value Added Services. Our customers may not renew their subscriptions with us, continue to expand their adoption and utilization of our Value Added Services, or use our Value Added Services at all for a variety of reasons, including macroeconomic pressures on the real estate market, competitive displacement, and reputational harm. If our existing customers do not renew their subscriptions and increase their adoption and utilization of our existing or newly developed Value Added Services, our revenue may increase at a slower rate than we expect and may even decline, which could adversely affect our financial condition and operating results. A reduction in the number of our existing customers, even if offset by an increase in new customers, could reduce our revenue and operating margins.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manage our business to achieve long-term growth, which may not be consistent with the short-term expectations of some investors.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make product decisions and pursue opportunities that are consistent with our strategic objective to achieve long-term growth. These decisions and opportunities may not be consistent with the short-term expectations of some investors, and may cause significant fluctuations in our results of operations and our stock price from period to period. In addition, notwithstanding our intention to make strategic decisions and pursue opportunities that positively impact long-term value, the decisions we make and opportunities we pursue may not produce the long-term benefits we expect, which could materially affect our business, financial condition and results of operation.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acquisition of other companies may subject us to risks.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acquired, and may in the future acquire, other companies (such as our acquisition of Move EZ, Inc. in 2024) or technologies to complement or expand our products and solutions, optimize our technical capabilities, enhance our ability to compete, or otherwise advance our strategic objectives. We have limited experience and success in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results of operations, or if the costs of acquiring or integrating the acquired business exceed our estimates, our business, results of operations, strategic objectives, and financial condition may suffer.</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a significant portion of the purchase price of companies we acquire may be allocated to acquired goodwill and other intangible assets. We are required to test goodwill and any other intangible assets with an indefinite life for possible impairment on an annual basis, or more frequently, when circumstances indicate that impairment may have occurred. We are also required to evaluate amortizable intangible assets and fixed assets for impairment if there are indicators of a possible impairment. In the future, if our acquisitions do not yield expected returns, we may be required to take charges to our results of operations based on this impairment assessment process, which could adversely affect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 Matters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protect our intellectual property rights could impair our ability to protect our proprietary technology and our brands, which could harm our business.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currently rely on patent, trademark, copyright and trade secret laws, trade secret protection, and confidentiality, invention assignment, license and other agreements with our employees, customers, third-party service</w:t>
      </w:r>
    </w:p>
    <w:p>
      <w:pPr>
        <w:spacing w:after="0" w:line="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providers and others to protect our intellectual property rights which are important to our future success. In addition, we utilize third-party platforms to host our code for version control and collaboration and rely on the security features made available by such platforms to prevent unauthorized access to our code. Our success and ability to compete depend, in part, on our ability to continue to protect our intellectual property, including our code, proprietary technology and brands. If we are unable to protect our intellectual property rights adequately or the security controls made available by our code hosting partners are compromised and our code is improperly accessed, which has previously occurred and could occur again in the future, our competitors could use the intellectual property we have developed to enhance their own products and services, which could harm our business. In addition, third parties may independently develop technologies or products that compete with ours, and we may be unable to prevent such competition. We cannot be certain that our means of protecting our intellectual property rights will be adequate or that our competitors will not independently develop similar technologies or products. To monitor and protect our intellectual property rights, we may be required to expend significant resources. Litigation brought to protect and enforce our intellectual property rights could be costly, time-consuming and distracting to management, and result in the impairment or loss of portions of our intellectual property or require us to pay costly royalties. Our failure to secure, protect and enforce our intellectual property rights could adversely affect our business, financial condition and operating results.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success depends, in part, on us refraining from infringing upon the intellectual property rights of others. Our competitors, as well as a number of other entities and individuals, may legally own or claim to own intellectual property relating to our technology or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distract management, and, if successfully asserted against us, could require that we pay substantial damages, settlement costs or ongoing royalty payments, require that we comply with other unfavorable license and other terms, or prevent us from offering our solutions in their current form, including due to the unavailability of commercially reasonable licensing terms.</w:t>
      </w:r>
    </w:p>
    <w:p>
      <w:pPr>
        <w:spacing w:after="0" w:line="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solutions contain open source and third-party software, which may pose risks to our proprietary source code and/or introduce security vulnerabilities, and could have a material adverse impact on our business and operating results.</w:t>
      </w:r>
    </w:p>
    <w:p>
      <w:pPr>
        <w:spacing w:after="0" w:line="3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We use open source software in our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in a manner that would harm our business or competitive position.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solutions and expect to continue to do so in the future. Third-party commercial software or open source software is developed outside of our direct control and may introduce security vulnerabilities that may be difficult to anticipate or mitigate. Further, there is no guarantee that third-party software developers or open source software providers will continue to maintain and update the third-party software that we use. Should development of in-use third-party software or open source software cease, significant engineering effort may be required to create an in-house solution. These risks could be difficult to eliminate or manage, and could a material adverse impact on our business and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Financial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our business grows, we expect our revenue growth rate to decline over the long term.</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You should not rely on our prior revenue growth as an indication of our future revenue growth. While we have experienced significant revenue growth in prior periods, we expect it to decline over the long term due to increasing competition, a decrease in the growth rate of our overall market or other reasons.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expect to make substantial investments across our organization to grow our business, which may impact profitability.</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To implement our business and growth strategy, we have made and will continue to make substantial investments across our organization and, as a result, our expenses may increase significantly impacting profitability. For example, we intend to continue to make substantial investments in, among other things: our research and product development organization to enhance the ease of use and functionality of our solutions and develop new products; our sales and marketing organization, including expansion of our sales and marketing programs, to increase the size of our customer base and increase adoption and utilization of new and existing Value Added Services by our new and existing customers; and maintaining and expanding our technology infrastructure and operational support to promote the security and availability of our products and solutions. Even if we are successful in growing our customer base and increasing revenue from new and existing customers, we may not be able to generate additional revenue in an amount that is sufficient to keep pace with our expenses.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quarterly results may fluctuate significantly and period-to-period comparisons of our results may not be meaningful.</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quarterly results, including the levels of our revenue, costs, operating expenses, and operating margins, may fluctuate significantly in the future, and period-to-period comparisons of our results may not be meaningful. For example, we typically experience seasonality in our Value Added Services revenue due to seasonally higher leasing activities in the second quarter, which results in a sequential increase in revenue in the first, second, and third quarters and a sequential decline in revenue in the fourth quarter. Accordingly, the results of any one quarter should not be relied upon as an indication of our future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color w:val="auto"/>
        </w:rPr>
        <w:t>performance. See Item 7,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for additional details regarding the seasonality of our revenue.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our net operating loss carryforwards and certain other tax attributes may be limited.</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Under Section 382 of the Internal Revenue Code of 1986, as amended (the "Internal Revenue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ownership changes. There is also a risk that due to legislative changes, such as suspensions on the use of net operating loss carryforwards, or other unforeseen reasons, our existing net operating loss carryforwards could expire or otherwise be unavailable to offset future income tax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market price of our Class A common stock has been, and is likely to continue to be, highly volatile. Fluctuations in the price of our Class A common stock could cause our stockholders to lose all or part of their investments. The market price of our Class A common stock could be subject to fluctuations in response to many of the risk factors discussed in this Annual Report and other factors beyond our control, including without limitation:</w:t>
      </w:r>
    </w:p>
    <w:p>
      <w:pPr>
        <w:spacing w:after="0" w:line="60"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actual or anticipated fluctuations in our financial condition or results of operations;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changes in the estimates of our operating results;</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recommendations by securities analysts or the failure of securities analysts to maintain coverage of us;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announcements of new products, services, technologies, or pricing;</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fluctuations in our valuation or the valuation of similarly situated companies;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changes to our management team;</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trading activity by insiders or the market’s perception that insiders intend to sell their shares;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trading volume of our Class A common stock, including sales upon exercise of outstanding options or vesting of equity awards; and</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overall performance of the equity markets as well as general economic and market conditions.</w:t>
      </w:r>
    </w:p>
    <w:p>
      <w:pPr>
        <w:spacing w:after="0" w:line="6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Times New Roman" w:cs="Times New Roman" w:eastAsia="Times New Roman" w:hAnsi="Times New Roman"/>
          <w:sz w:val="12"/>
          <w:szCs w:val="12"/>
          <w:color w:val="auto"/>
        </w:rPr>
        <w:t>Such factors could cause the market price of our Class A common stock to decline or make it more difficult for you to sell your Class A common stock at a time and price that you deem appropriate.</w:t>
      </w:r>
    </w:p>
    <w:p>
      <w:pPr>
        <w:spacing w:after="0" w:line="7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addition, the stock market for technology companies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dual class structure of our common stock concentrates voting control with a limited number of stockholders, including our directors and principal stockholders, effectively limiting other stockholders' ability to influence corporate matters.</w:t>
      </w:r>
    </w:p>
    <w:p>
      <w:pPr>
        <w:spacing w:after="0" w:line="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Class B common stock has ten votes per share, and our Class A common stock has one vote per share. As of December 31, 2024, the holders of the outstanding shares of our Class B common stock, including our directors and principal stockholders, collectively held approximately 85%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 appointment of management and strategic decisions, as well as matters that are submitted to a vote by our holders of our common stock. The interests of the holders of our Class B common stock may be inconsistent with or adverse to those of the holders of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predict the impact that our capital structure may have on our stock price.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20" w:name="page21"/>
    <w:bookmarkEnd w:id="20"/>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Several shareholder advisory firms are opposed to the use of multiple class structures such as ours.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 In addition, certain institutional investors and investment funds may be prohibited from investing in, or reluctant or unwilling to invest in entities with multiple class structures due to a lack of ability to meaningfully influence corporate affairs and policies through voting. Such prohibitions, reluctance and unwillingness may make our Class A common stock less attractive to investors and, as a result, the market price of our Class A common stock could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expect to pay any dividends in the foreseeable future.</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have never declared, and we do not anticipate declaring or paying, any cash dividends to holders of our Class A common stock in the foreseeable future. Consequently, investors may need to rely on sales of our Class A common stock after price appreciation, which may never occur, as the only way to realize any future gains on their investment.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8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Amended and Restated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Macroeconomic Conditions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Global and regional economic conditions could harm our business.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Adverse global and regional economic conditions, including, but not limited to, recessionary or inflationary pressures, tightening in the credit markets, extreme volatility or distress in the financial markets, supply chain issues, reduced consumer confidence or economic activity, government fiscal and tax policies, geopolitical events, and other negative financial news or macroeconomic developments could have a material adverse impact on the demand for our products and services or cause us to experience increased costs that could negatively affect our operating results.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Government regulations and laws are continuously evolving and unfavorable changes could adversely affect our operating results, subject us to litigation or governmental investigation, or otherwise harm our business.</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In addition to regulations and laws directly applicable to our products and services, we are subject to general business regulations and laws. Unfavorable regulations, laws, and administrative or judicial decisions interpreting or applying laws and regulations applicable to our business could subject us to litigation or governmental investigation and increase our cost of doing business, any of which may adversely affect our operating results. In addition, the application of federal, state and local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Audits and reviews by tax authorities may prove costly and a distraction to management.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1" w:name="page22"/>
    <w:bookmarkEnd w:id="21"/>
    <w:p>
      <w:pPr>
        <w:jc w:val="both"/>
        <w:ind w:right="20" w:firstLine="432"/>
        <w:spacing w:after="0" w:line="257" w:lineRule="auto"/>
        <w:rPr>
          <w:sz w:val="20"/>
          <w:szCs w:val="20"/>
          <w:color w:val="auto"/>
        </w:rPr>
      </w:pPr>
      <w:r>
        <w:rPr>
          <w:rFonts w:ascii="Times New Roman" w:cs="Times New Roman" w:eastAsia="Times New Roman" w:hAnsi="Times New Roman"/>
          <w:sz w:val="12"/>
          <w:szCs w:val="12"/>
          <w:color w:val="auto"/>
        </w:rPr>
        <w:t>Our tax filings are subject to reviews and audits in various jurisdictions and the positions or assumptions we take may be challenged. Although we believe our tax positions are reasonable, it is possible that tax authorities may disagree with certain positions we have taken and an adverse outcome of such a review or audit could have a negative effect on our financial position and operating results. In addition, defending our tax positions or disputing the positions taken by tax authorities may be costly and a distraction to management, which may affect our operating results.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Natural disasters, health epidemics, or other catastrophic events may cause damage or disruption to our operations, commerce and the global economy, and have a negative effect on our business and operations.</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business operations are subject to interruption by natural disasters, flooding, fire, power shortages, health epidemics, terrorism, political unrest, telecommunications failure, vandalism, cyber-attacks, geopolitical instability, war, the effects of climate change (such as drought, wildfires, hurricanes, and increased storm severity) and other events beyond our control. Although we maintain crisis management and disaster response plans, such events could make it difficult or impossible for us to deliver our services to our customers, decrease demand for our services, and cause us to incur substantial expense. Our insurance may not be sufficient to cover losses or additional expenses that we may sustain. The majority of our research and development activities, offices, information technology systems, and other critical business operations are located near major seismic faults in California. Customer data could be lost, significant recovery time could be required to resume operations and our financial condition and operating results could be adversely affected in the event of a major natural disaster or catastrophic event.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and Risk Management Strategy</w:t>
      </w:r>
    </w:p>
    <w:p>
      <w:pPr>
        <w:spacing w:after="0" w:line="8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Our business involves the storage and transmission of a significant amount of confidential and sensitive information. As a result, we take the confidentiality, integrity, and availability of such information seriously and invest significant time, effort, and resources into protecting such information. Our cybersecurity risk management strategy is designed with the foregoing principles in mind and prioritizes detecting and responding to threats and effective management of security risks.</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To implement our cybersecurity risk management strategy, we maintain comprehensive processes and safeguards to secure the data we hold and to assess, identify and manage material risks from cybersecurity threats, including:</w:t>
      </w:r>
    </w:p>
    <w:p>
      <w:pPr>
        <w:spacing w:after="0" w:line="39"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encrypting sensitive data, utilizing a robust 24/7/365 security monitoring system;</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regularly assessing product features for security vulnerabilities;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periodically conducting internal penetration tests;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our customers with multi-factor authentication options to help them effectively protect their information.</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also maintain data and cybersecurity protection and control policies to facilitate a secure environment for sensitive information and to ensure the availability of critical data and systems. We have processes in place to assess, identify and manage vendor cybersecurity risks, which include initial and periodic security program reviews and, in cases where personal information is shared, ongoing cybersecurity and privacy obligations that are documented in data processing agreements. Our cybersecurity policies, standards, and processes are informed by a variety of industry standards and best practices, including the NIST Cybersecurity Framework and ISO 27001.</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engage independent third parties to audit our adherence to our cybersecurity policies and conduct infrastructure and application security assessments and penetration testing. These third parties help us assess our internal preparedness, adherence to best practices and industry standards, and compliance with applicable laws and regulations as well as help us to identify areas for continued focus and improvement. We conduct annual information security awareness training for employees involved in the systems or processes connected to confidential and sensitive information. We also carry insurance that provides certain, limited protection against potential losses arising from a cybersecurity incident.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Governance</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Risk and Compliance Oversight Committee of our Board of Directors (the "RCOC") is responsible for overseeing and reviewing AppFolio's cybersecurity program and cybersecurity risk exposure and the steps taken to monitor and mitigate such exposure. The RCOC updates the full Board of Directors on cybersecurity matters as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2" w:name="page23"/>
    <w:bookmarkEnd w:id="22"/>
    <w:p>
      <w:pPr>
        <w:jc w:val="both"/>
        <w:ind w:left="60" w:firstLine="432"/>
        <w:spacing w:after="0" w:line="265" w:lineRule="auto"/>
        <w:rPr>
          <w:sz w:val="20"/>
          <w:szCs w:val="20"/>
          <w:color w:val="auto"/>
        </w:rPr>
      </w:pPr>
      <w:r>
        <w:rPr>
          <w:rFonts w:ascii="Times New Roman" w:cs="Times New Roman" w:eastAsia="Times New Roman" w:hAnsi="Times New Roman"/>
          <w:sz w:val="12"/>
          <w:szCs w:val="12"/>
          <w:color w:val="auto"/>
        </w:rPr>
        <w:t>Our information security team is led by our Chief Information Security Officer ("CISO"), who has served in the role since 2015 and has experience in application security, intrusion detection, penetration testing, complex threat modeling, and unconventional cyber-attack vectors. The CISO oversees a team of information security professionals who are devoted full time to assessing, identifying and managing cybersecurity threats on a day-to-day basis. The CISO attends each quarterly meeting of the RCOC to brief members on information security matters and discuss cybersecurity risks generally.</w:t>
      </w:r>
    </w:p>
    <w:p>
      <w:pPr>
        <w:spacing w:after="0" w:line="47" w:lineRule="exact"/>
        <w:rPr>
          <w:sz w:val="20"/>
          <w:szCs w:val="20"/>
          <w:color w:val="auto"/>
        </w:rPr>
      </w:pPr>
    </w:p>
    <w:p>
      <w:pPr>
        <w:jc w:val="both"/>
        <w:ind w:left="60" w:firstLine="432"/>
        <w:spacing w:after="0" w:line="260" w:lineRule="auto"/>
        <w:rPr>
          <w:sz w:val="20"/>
          <w:szCs w:val="20"/>
          <w:color w:val="auto"/>
        </w:rPr>
      </w:pPr>
      <w:r>
        <w:rPr>
          <w:rFonts w:ascii="Times New Roman" w:cs="Times New Roman" w:eastAsia="Times New Roman" w:hAnsi="Times New Roman"/>
          <w:sz w:val="12"/>
          <w:szCs w:val="12"/>
          <w:color w:val="auto"/>
        </w:rPr>
        <w:t>In addition, our management team has established an Enterprise Risk Management Program (the "ERM Program"), which includes processes designed to assess, identify, manage, categorize, and monitor key current and evolving risks facing AppFolio, including cybersecurity risks. Management is made aware of current and evolving cybersecurity risks through ERM Program reporting and periodic updates at weekly executive leadership team meetings. In the event of a material or potentially material cybersecurity incident, senior members of management are promptly informed of such incident and oversee response and disclosure efforts pursuant to the terms of a documented incident response plan.</w:t>
      </w:r>
    </w:p>
    <w:p>
      <w:pPr>
        <w:spacing w:after="0" w:line="50" w:lineRule="exact"/>
        <w:rPr>
          <w:sz w:val="20"/>
          <w:szCs w:val="20"/>
          <w:color w:val="auto"/>
        </w:rPr>
      </w:pPr>
    </w:p>
    <w:p>
      <w:pPr>
        <w:jc w:val="both"/>
        <w:ind w:left="60" w:firstLine="432"/>
        <w:spacing w:after="0" w:line="265" w:lineRule="auto"/>
        <w:rPr>
          <w:sz w:val="20"/>
          <w:szCs w:val="20"/>
          <w:color w:val="auto"/>
        </w:rPr>
      </w:pPr>
      <w:r>
        <w:rPr>
          <w:rFonts w:ascii="Times New Roman" w:cs="Times New Roman" w:eastAsia="Times New Roman" w:hAnsi="Times New Roman"/>
          <w:sz w:val="12"/>
          <w:szCs w:val="12"/>
          <w:color w:val="auto"/>
        </w:rPr>
        <w:t>Notwithstanding the foregoing efforts, there can be no assurance that our cybersecurity risk management program will entirely eliminate all risks from cybersecurity threats or incidents. Like many other businesses, we have experienced, and expect to continually be subject to, cyber-attacks. While these past cyber-attacks have not materially affected and, in our belief, are not reasonably likely to materially affect us, future cybersecurity incidents and threats may materially affect us, including by affecting our business strategy, results of operations, or financial condition. See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for additional details regarding cybersecurity risks.</w:t>
      </w:r>
    </w:p>
    <w:p>
      <w:pPr>
        <w:spacing w:after="0" w:line="88"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Our corporate headquarters is located in Santa Barbara, California, where we lease approximately 87,000 square feet of space. We also lease office space in several other U.S. cities. We do not own any real estate.</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We believe our current facilities are adequate for our current needs and that, should it be needed, suitable additional or alternative space will be available to us to accommodate any such expansion of our operations.</w:t>
      </w:r>
    </w:p>
    <w:p>
      <w:pPr>
        <w:spacing w:after="0" w:line="119"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21" w:lineRule="exact"/>
        <w:rPr>
          <w:sz w:val="20"/>
          <w:szCs w:val="20"/>
          <w:color w:val="auto"/>
        </w:rPr>
      </w:pPr>
    </w:p>
    <w:p>
      <w:pPr>
        <w:jc w:val="both"/>
        <w:ind w:left="60" w:firstLine="432"/>
        <w:spacing w:after="0" w:line="253" w:lineRule="auto"/>
        <w:rPr>
          <w:sz w:val="20"/>
          <w:szCs w:val="20"/>
          <w:color w:val="auto"/>
        </w:rPr>
      </w:pPr>
      <w:r>
        <w:rPr>
          <w:rFonts w:ascii="Times New Roman" w:cs="Times New Roman" w:eastAsia="Times New Roman" w:hAnsi="Times New Roman"/>
          <w:sz w:val="12"/>
          <w:szCs w:val="12"/>
          <w:color w:val="auto"/>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pending investigative inquires, legal proceedings and other disputes, if determined adversely to us, would, individually or taken together, have a material adverse effect on our business, operating results, financial condition or cash flows.</w:t>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 xml:space="preserve">For additional information regarding legal proceedings, refer to Note 12,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xml:space="preserve"> of our Consolidated Financial Statements.</w:t>
      </w:r>
    </w:p>
    <w:p>
      <w:pPr>
        <w:spacing w:after="0" w:line="193"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222" w:lineRule="exact"/>
        <w:rPr>
          <w:sz w:val="20"/>
          <w:szCs w:val="20"/>
          <w:color w:val="auto"/>
        </w:rPr>
      </w:pPr>
    </w:p>
    <w:p>
      <w:pPr>
        <w:ind w:left="480" w:right="2740" w:hanging="485"/>
        <w:spacing w:after="0" w:line="379" w:lineRule="auto"/>
        <w:tabs>
          <w:tab w:leader="none" w:pos="460" w:val="left"/>
        </w:tabs>
        <w:rPr>
          <w:sz w:val="20"/>
          <w:szCs w:val="20"/>
          <w:color w:val="auto"/>
        </w:rPr>
      </w:pPr>
      <w:r>
        <w:rPr>
          <w:rFonts w:ascii="Times New Roman" w:cs="Times New Roman" w:eastAsia="Times New Roman" w:hAnsi="Times New Roman"/>
          <w:sz w:val="12"/>
          <w:szCs w:val="12"/>
          <w:b w:val="1"/>
          <w:bCs w:val="1"/>
          <w:color w:val="auto"/>
        </w:rPr>
        <w:t>ITEM 5.</w:t>
        <w:tab/>
        <w:t xml:space="preserve">MARKET FOR REGISTRANT'S COMMON EQUITY, RELATED STOCKHOLDER MATTERS AND ISSUER PURCHASES OF EQUITY SECURITIES </w:t>
      </w:r>
      <w:r>
        <w:rPr>
          <w:rFonts w:ascii="Times New Roman" w:cs="Times New Roman" w:eastAsia="Times New Roman" w:hAnsi="Times New Roman"/>
          <w:sz w:val="12"/>
          <w:szCs w:val="12"/>
          <w:b w:val="1"/>
          <w:bCs w:val="1"/>
          <w:i w:val="1"/>
          <w:iCs w:val="1"/>
          <w:color w:val="auto"/>
        </w:rPr>
        <w:t>Market for our Common Stock</w:t>
      </w:r>
    </w:p>
    <w:p>
      <w:pPr>
        <w:ind w:left="480"/>
        <w:spacing w:after="0"/>
        <w:rPr>
          <w:sz w:val="20"/>
          <w:szCs w:val="20"/>
          <w:color w:val="auto"/>
        </w:rPr>
      </w:pPr>
      <w:r>
        <w:rPr>
          <w:rFonts w:ascii="Times New Roman" w:cs="Times New Roman" w:eastAsia="Times New Roman" w:hAnsi="Times New Roman"/>
          <w:sz w:val="12"/>
          <w:szCs w:val="12"/>
          <w:color w:val="auto"/>
        </w:rPr>
        <w:t>Our Class A common stock is listed on the NASDAQ Global Market under the symbol "APPF".</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Our Class B common stock is not listed or traded on any stock exchange.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Holders of Record</w:t>
      </w:r>
    </w:p>
    <w:p>
      <w:pPr>
        <w:spacing w:after="0" w:line="82" w:lineRule="exact"/>
        <w:rPr>
          <w:sz w:val="20"/>
          <w:szCs w:val="20"/>
          <w:color w:val="auto"/>
        </w:rPr>
      </w:pPr>
    </w:p>
    <w:p>
      <w:pPr>
        <w:ind w:left="60" w:right="20" w:firstLine="432"/>
        <w:spacing w:after="0" w:line="279" w:lineRule="auto"/>
        <w:rPr>
          <w:sz w:val="20"/>
          <w:szCs w:val="20"/>
          <w:color w:val="auto"/>
        </w:rPr>
      </w:pPr>
      <w:r>
        <w:rPr>
          <w:rFonts w:ascii="Times New Roman" w:cs="Times New Roman" w:eastAsia="Times New Roman" w:hAnsi="Times New Roman"/>
          <w:sz w:val="12"/>
          <w:szCs w:val="12"/>
          <w:color w:val="auto"/>
        </w:rPr>
        <w:t>At January 30, 2025, there were 30 holders of record of our Class A common stock and 55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Dividend Policy</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240" w:top="858" w:right="299" w:bottom="1440" w:gutter="0" w:footer="0" w:header="0"/>
        </w:sectPr>
      </w:pPr>
    </w:p>
    <w:bookmarkStart w:id="23" w:name="page24"/>
    <w:bookmarkEnd w:id="23"/>
    <w:p>
      <w:pPr>
        <w:ind w:firstLine="432"/>
        <w:spacing w:after="0" w:line="279" w:lineRule="auto"/>
        <w:rPr>
          <w:sz w:val="20"/>
          <w:szCs w:val="20"/>
          <w:color w:val="auto"/>
        </w:rPr>
      </w:pPr>
      <w:r>
        <w:rPr>
          <w:rFonts w:ascii="Times New Roman" w:cs="Times New Roman" w:eastAsia="Times New Roman" w:hAnsi="Times New Roman"/>
          <w:sz w:val="12"/>
          <w:szCs w:val="12"/>
          <w:color w:val="auto"/>
        </w:rPr>
        <w:t>We have never declared or paid any cash dividends on our capital stock. We do not anticipate declaring or paying any cash dividends to holders of our capital stock in the foreseeable future and intend to retain all future earnings for use in the growth of our business.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Stock Performance Graph</w:t>
      </w:r>
    </w:p>
    <w:p>
      <w:pPr>
        <w:spacing w:after="0" w:line="8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following performance graph compares the cumulative total return on our Class A common stock with that of the S&amp;P 500 Index and the NASDAQ Computer Index. This graph assumes that, at the close of market on December 31, 2019, $100 was invested in our Class A common stock, the S&amp;P 500 Index and the NASDAQ Computer Index, and assumes the reinvestment of any dividends.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56515</wp:posOffset>
            </wp:positionV>
            <wp:extent cx="3503295" cy="268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03295"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This performance graph shall not be deemed “filed” for purposes of Section 18 of the Exchange Act or incorporated by reference into any of our other filings under the Securities Act or the Exchange Act, except as shall be expressly set forth by specific reference in such filing.</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Unregistered Sales of Equity Securities and Purchases of Equity Securities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6.</w:t>
        <w:tab/>
        <w:t>[RESERVED]</w:t>
      </w:r>
    </w:p>
    <w:p>
      <w:pPr>
        <w:spacing w:after="0" w:line="200" w:lineRule="exact"/>
        <w:rPr>
          <w:sz w:val="20"/>
          <w:szCs w:val="20"/>
          <w:color w:val="auto"/>
        </w:rPr>
      </w:pP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results of operations and liquidity should be read together with our Consolidated Financial Statements and the related notes included elsewhere in this Annual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Report.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4" w:name="page25"/>
    <w:bookmarkEnd w:id="24"/>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includes 2024 and 2023 items and year-over-year comparisons between 2024 and 2023. For discussion of 2022 items and year-over-year comparisons between 2023 and 2022, refer to Part II. Item 7. “Management's Discussion and Analysis of Financial Condition and Results of Operations” of our Annual Report on Form 10-K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are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Business Metric</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monitor the key business metric set forth below to help us evaluate our business, identify trends affecting our business, formulate business plans, and make strategic decisions.</w:t>
      </w:r>
    </w:p>
    <w:p>
      <w:pPr>
        <w:spacing w:after="0" w:line="7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Property management units under management. </w:t>
      </w:r>
      <w:r>
        <w:rPr>
          <w:rFonts w:ascii="Times New Roman" w:cs="Times New Roman" w:eastAsia="Times New Roman" w:hAnsi="Times New Roman"/>
          <w:sz w:val="12"/>
          <w:szCs w:val="12"/>
          <w:color w:val="auto"/>
        </w:rPr>
        <w:t>We believe that our ability to increase the number of property management units under management is an indicator of our market penetration, growth, and potential future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business opportunities. We define property management units under management as active or committed units under management at the period end date. We had 8.7 million and 8.2 million property management units under management, as of December 31, 2024 and 2023,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historically experienced seasonality in our Value Added Services revenue due to seasonally higher leasing activities in the second quarter. Specifically, higher tenant applications in the second quarter typically result in increased use by our property management customers of our tenant screening services and, in the third quarter once resident move-ins have occurred, higher demand for our risk mitigation services. Because of the seasonality in our Value Added Services, we typically experience a sequential increase in revenue in the first, second, and third quarters and a sequential decline in revenue in the fourth quarter. Moreover, if macroeconomic factors in a given fiscal year impact tenant behavior, our product portfolio mix, or the adoption rate of our other less seasonally impacted Value Added Services, the effect that seasonal factors have on our revenue may be exacerbated. Although these seasonal factors are common in the real estate industry, historical patterns should not be considered a reliable indicator of our future sales activity or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Components of Results of Operations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core solutions and certain of our Value Added Services are offered on a subscription basis. The subscription fees for our core solutions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a subscription period.</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 usage-based services on a monthly basis or collect the fee at the time of service. A significant majority of our Value Added Services revenue comes from the use of our electronic payment services, tenant screening services, and risk mitigation services.</w:t>
      </w:r>
    </w:p>
    <w:p>
      <w:pPr>
        <w:spacing w:after="0" w:line="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we charge our customers for assistance onboarding onto our core solutions and for certain other non-recurring services. We generally invoice for these other services in advance of the services being completed and recognize revenue in the period the service is rendered. We also generate revenue from the legacy customers of businesses we acquire that provide standalone services outside of our platform. Revenue derived from these services is recorded in Other revenue. As of December 31, 2024 and 2023, we had 20,784 and 19,737 property management customers,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Costs and Operating Expenses</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Cost of Revenue (Exclusive of Depreciation and Amortization). </w:t>
      </w:r>
      <w:r>
        <w:rPr>
          <w:rFonts w:ascii="Times New Roman" w:cs="Times New Roman" w:eastAsia="Times New Roman" w:hAnsi="Times New Roman"/>
          <w:sz w:val="12"/>
          <w:szCs w:val="12"/>
          <w:color w:val="auto"/>
        </w:rPr>
        <w:t>Many of our Value Added Services are facilitated by third-party service providers. Cost of revenue paid to these third-party service providers includes, without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5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Sales and marketing expense consists of personnel-related costs for our employees focused on sales and marketing (including salaries, sales commissions, cash bonuses, benefits, and stock-based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spacing w:after="0" w:line="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Research and Product Development. </w:t>
      </w:r>
      <w:r>
        <w:rPr>
          <w:rFonts w:ascii="Times New Roman" w:cs="Times New Roman" w:eastAsia="Times New Roman" w:hAnsi="Times New Roman"/>
          <w:sz w:val="12"/>
          <w:szCs w:val="12"/>
          <w:color w:val="auto"/>
        </w:rPr>
        <w:t>Research and product development expense consists of personnel-related costs for our employees focused on research and product development (including salaries, cash bonuses, benefits,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spacing w:after="0" w:line="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General and Administrative. </w:t>
      </w:r>
      <w:r>
        <w:rPr>
          <w:rFonts w:ascii="Times New Roman" w:cs="Times New Roman" w:eastAsia="Times New Roman" w:hAnsi="Times New Roman"/>
          <w:sz w:val="12"/>
          <w:szCs w:val="12"/>
          <w:color w:val="auto"/>
        </w:rPr>
        <w:t>General and administrative expense consists of personnel-related costs for employees in our executive, finance, information technology, human resources, legal, compliance, and administrative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spacing w:after="0" w:line="4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Depreciation and Amortization. </w:t>
      </w:r>
      <w:r>
        <w:rPr>
          <w:rFonts w:ascii="Times New Roman" w:cs="Times New Roman" w:eastAsia="Times New Roman" w:hAnsi="Times New Roman"/>
          <w:sz w:val="12"/>
          <w:szCs w:val="12"/>
          <w:color w:val="auto"/>
        </w:rPr>
        <w:t>Depreciation and amortization expense includes depreciation of property and equipment, amortization of capitalized software development costs, and amortization of intangible assets. We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depreciate or amortize property and equipment, software development costs, and intangible assets over their expected useful lives on a straight-line basis, which approximates the pattern in which the economic benefits of the assets are consumed.</w:t>
      </w:r>
    </w:p>
    <w:p>
      <w:pPr>
        <w:spacing w:after="0" w:line="45"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Interest Income, Net. </w:t>
      </w:r>
      <w:r>
        <w:rPr>
          <w:rFonts w:ascii="Times New Roman" w:cs="Times New Roman" w:eastAsia="Times New Roman" w:hAnsi="Times New Roman"/>
          <w:sz w:val="12"/>
          <w:szCs w:val="12"/>
          <w:color w:val="auto"/>
        </w:rPr>
        <w:t>Interest income, net includes interest earned on investment securities, amortization and accretion of the premium and discounts paid from the purchase of investment securities, and interest earned on cash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deposited in our bank accounts.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(Benefit from) provision for income taxes. </w:t>
      </w:r>
      <w:r>
        <w:rPr>
          <w:rFonts w:ascii="Times New Roman" w:cs="Times New Roman" w:eastAsia="Times New Roman" w:hAnsi="Times New Roman"/>
          <w:sz w:val="12"/>
          <w:szCs w:val="12"/>
          <w:color w:val="auto"/>
        </w:rPr>
        <w:t>(Benefit from) provision for income taxes consists of federal and state income taxes in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0" w:type="dxa"/>
            <w:vAlign w:val="bottom"/>
            <w:tcBorders>
              <w:bottom w:val="single" w:sz="8" w:color="auto"/>
            </w:tcBorders>
          </w:tcPr>
          <w:p>
            <w:pPr>
              <w:spacing w:after="0"/>
              <w:rPr>
                <w:sz w:val="11"/>
                <w:szCs w:val="11"/>
                <w:color w:val="auto"/>
              </w:rPr>
            </w:pPr>
          </w:p>
        </w:tc>
      </w:tr>
      <w:tr>
        <w:trPr>
          <w:trHeight w:val="128"/>
        </w:trPr>
        <w:tc>
          <w:tcPr>
            <w:tcW w:w="56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2023</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gridSpan w:val="3"/>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5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Core solutions</w:t>
            </w:r>
          </w:p>
        </w:tc>
        <w:tc>
          <w:tcPr>
            <w:tcW w:w="7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180,605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156,692</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23,913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15 %</w:t>
            </w:r>
          </w:p>
        </w:tc>
      </w:tr>
      <w:tr>
        <w:trPr>
          <w:trHeight w:val="153"/>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Value Added Services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605,011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454,098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150,913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33</w:t>
            </w: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7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9,655</w:t>
            </w: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w:t>
            </w:r>
          </w:p>
        </w:tc>
      </w:tr>
      <w:tr>
        <w:trPr>
          <w:trHeight w:val="142"/>
        </w:trPr>
        <w:tc>
          <w:tcPr>
            <w:tcW w:w="56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revenue</w:t>
            </w:r>
          </w:p>
        </w:tc>
        <w:tc>
          <w:tcPr>
            <w:tcW w:w="7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794,202</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620,445</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173,757</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2"/>
                <w:szCs w:val="12"/>
                <w:color w:val="auto"/>
              </w:rPr>
              <w:t>28 %</w:t>
            </w:r>
          </w:p>
        </w:tc>
      </w:tr>
      <w:tr>
        <w:trPr>
          <w:trHeight w:val="20"/>
        </w:trPr>
        <w:tc>
          <w:tcPr>
            <w:tcW w:w="5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increase in revenue for the year ended December 31, 2024, compared to the prior year, was primarily attributable to an increase in the usage of our electronic payment, tenant screening, and risk mitigation services. During the year ended December 31, 2024, we experienced growth of 6% in the number of property management units under management compared to the prior year, which drove growth in both the number users and usage of our subscription and usage-based services.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26" w:name="page27"/>
    <w:bookmarkEnd w:id="26"/>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electronic payment services experienced increased usage during the comparative periods as residents, property managers, and owners transacted more business online. In addition, we stopped waiving eCheck (ACH) transaction fees beginning in the third quarter of 2023. Our tenant screening and risk mitigation services usage also increased during the comparative periods, driven by higher adoption and growth in units under management, respectively.</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expect total revenue for the year ending December 31, 2025 to increase compared to the year ended December 31, 2024 as we continue to add new customers and property management units under management, along with increased adoption and usage of our Value Added Services.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(Exclusive of Depreciation and Amortization)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1206"/>
              <w:spacing w:after="0"/>
              <w:rPr>
                <w:sz w:val="20"/>
                <w:szCs w:val="20"/>
                <w:color w:val="auto"/>
              </w:rPr>
            </w:pPr>
            <w:r>
              <w:rPr>
                <w:rFonts w:ascii="Times New Roman" w:cs="Times New Roman" w:eastAsia="Times New Roman" w:hAnsi="Times New Roman"/>
                <w:sz w:val="10"/>
                <w:szCs w:val="10"/>
                <w:b w:val="1"/>
                <w:bCs w:val="1"/>
                <w:color w:val="auto"/>
                <w:w w:val="85"/>
              </w:rPr>
              <w:t>Change</w:t>
            </w:r>
          </w:p>
        </w:tc>
      </w:tr>
      <w:tr>
        <w:trPr>
          <w:trHeight w:val="160"/>
        </w:trPr>
        <w:tc>
          <w:tcPr>
            <w:tcW w:w="54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56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8"/>
        </w:trPr>
        <w:tc>
          <w:tcPr>
            <w:tcW w:w="5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5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 (exclusive of depreciation and amortization)</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282,067</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238,076</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43,991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18 %</w:t>
            </w:r>
          </w:p>
        </w:tc>
      </w:tr>
      <w:tr>
        <w:trPr>
          <w:trHeight w:val="153"/>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35.5 %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38.4 %</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4,522</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3,703</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22 %</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0.6 %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0.6 %</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spacing w:after="0" w:line="11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Cost of revenue (exclusive of depreciation and amortization) for the year ended December 31, 2024, increased primarily due to increases in expenditures to third-party service providers related to the delivery of our Value Added Services of $40.7 million compared to the prior year. This increase was directly associated with the increased adoption and utilization of our Value Added Services. Allocated shared and other costs increased by $3.5 million for the year ended December 31, 2024, compared to the prior year, primarily related to investment in platform infrastructure in support of our overall growth.</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cost of revenue (exclusive of depreciation and amortization) for the year ending December 31, 2025, to stay relatively flat as a percentage of revenue compared to the year ended December 31, 2024.</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110,597</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107,602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2,995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r>
      <w:tr>
        <w:trPr>
          <w:trHeight w:val="153"/>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13.9 %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8,030</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5,983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2,047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34 %</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Sales and marketing expense for the year ended December 31, 2024 increased compared to the prior year, primarily due to a $2.4 million increase in advertising and promotion expense and a $3.4 million increase related to our FUTURE conference. These increases were partially offset by a $1.5 million reduction in personnel-related costs, including cash bonuses and stock-based compensation. The reduction in personnel-related costs included $3.8 million of severance and related personnel expenses from a workforce reduction in the third quarter of 2023. For additional information, see Note 17, </w:t>
      </w:r>
      <w:r>
        <w:rPr>
          <w:rFonts w:ascii="Times New Roman" w:cs="Times New Roman" w:eastAsia="Times New Roman" w:hAnsi="Times New Roman"/>
          <w:sz w:val="12"/>
          <w:szCs w:val="12"/>
          <w:i w:val="1"/>
          <w:iCs w:val="1"/>
          <w:color w:val="auto"/>
        </w:rPr>
        <w:t>Workforce Reduction</w:t>
      </w:r>
      <w:r>
        <w:rPr>
          <w:rFonts w:ascii="Times New Roman" w:cs="Times New Roman" w:eastAsia="Times New Roman" w:hAnsi="Times New Roman"/>
          <w:sz w:val="12"/>
          <w:szCs w:val="12"/>
          <w:color w:val="auto"/>
        </w:rPr>
        <w:t>, of the Notes to Consolidated Financial Statements included in Part II, Item 8 of this Annual Report.</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the year ended December 31, 2024, stock-based compensation increased due to additional grants to current and new employees with higher grant date fair value.</w:t>
      </w:r>
    </w:p>
    <w:p>
      <w:pPr>
        <w:spacing w:after="0" w:line="78"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We expect sales and marketing expense for the year ending December 31, 2025 to slightly increase as a percentage of revenue compared to the year ended December 31, 2024 as we increase awareness and presence through targeted go-to-market investment.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Research and Product Development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5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1206"/>
              <w:spacing w:after="0"/>
              <w:rPr>
                <w:sz w:val="20"/>
                <w:szCs w:val="20"/>
                <w:color w:val="auto"/>
              </w:rPr>
            </w:pPr>
            <w:r>
              <w:rPr>
                <w:rFonts w:ascii="Times New Roman" w:cs="Times New Roman" w:eastAsia="Times New Roman" w:hAnsi="Times New Roman"/>
                <w:sz w:val="10"/>
                <w:szCs w:val="10"/>
                <w:b w:val="1"/>
                <w:bCs w:val="1"/>
                <w:color w:val="auto"/>
                <w:w w:val="85"/>
              </w:rPr>
              <w:t>Change</w:t>
            </w:r>
          </w:p>
        </w:tc>
      </w:tr>
      <w:tr>
        <w:trPr>
          <w:trHeight w:val="128"/>
        </w:trPr>
        <w:tc>
          <w:tcPr>
            <w:tcW w:w="55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56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8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5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product development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2"/>
                <w:szCs w:val="12"/>
                <w:color w:val="auto"/>
              </w:rPr>
              <w:t>160,375</w:t>
            </w:r>
          </w:p>
        </w:tc>
        <w:tc>
          <w:tcPr>
            <w:tcW w:w="5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151,364</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20.2 %</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24.4 %</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2"/>
                <w:szCs w:val="12"/>
                <w:color w:val="auto"/>
              </w:rPr>
              <w:t>25,414</w:t>
            </w:r>
          </w:p>
        </w:tc>
        <w:tc>
          <w:tcPr>
            <w:tcW w:w="5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20,974</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r>
      <w:tr>
        <w:trPr>
          <w:trHeight w:val="155"/>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3.2 %</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3.4 %</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Research and product development expense for the year ended December 31, 2024 increased compared to the prior year. The increase was mainly due to a $4.8 million rise in personnel-related costs, including cash bonuses and stock-based compensation. These costs, net of capitalized software development costs, were driven by headcount growth and higher salaries as we continued to invest in innovation. Additionally, there was a $4.2 million increase in allocated shared and other costs, largely due to higher technology expense. The increase in personnel costs was partially offset by $3.4 million in severance and related expenses from a workforce reduction in the third quarter of 2023. For additional information, see Note 17, </w:t>
      </w:r>
      <w:r>
        <w:rPr>
          <w:rFonts w:ascii="Times New Roman" w:cs="Times New Roman" w:eastAsia="Times New Roman" w:hAnsi="Times New Roman"/>
          <w:sz w:val="12"/>
          <w:szCs w:val="12"/>
          <w:i w:val="1"/>
          <w:iCs w:val="1"/>
          <w:color w:val="auto"/>
        </w:rPr>
        <w:t>Workforce Reduction,</w:t>
      </w:r>
      <w:r>
        <w:rPr>
          <w:rFonts w:ascii="Times New Roman" w:cs="Times New Roman" w:eastAsia="Times New Roman" w:hAnsi="Times New Roman"/>
          <w:sz w:val="12"/>
          <w:szCs w:val="12"/>
          <w:color w:val="auto"/>
        </w:rPr>
        <w:t xml:space="preserve"> of the Notes to Consolidated Financial Statements included in Part II, Item 8 of this Annual Report.</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the year ended December 31, 2024, stock-based compensation increased due to additional grants to current and new employees with higher grant date fair value.</w:t>
      </w:r>
    </w:p>
    <w:p>
      <w:pPr>
        <w:spacing w:after="0" w:line="7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expect research and product development expenses for the year ending December 31, 2025 to decrease as a percentage of revenue compared to the year ended December 31, 2024, as we continue to leverage headcount efficiencies.</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85,974</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93,452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2"/>
                <w:szCs w:val="12"/>
                <w:color w:val="auto"/>
              </w:rPr>
              <w:t>(7,478)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3"/>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10.8 %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22,361</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21,704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657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2.8 %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1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2"/>
          <w:szCs w:val="12"/>
          <w:color w:val="auto"/>
        </w:rPr>
        <w:t xml:space="preserve">General and administrative expense for the year ended December 31, 2024 decreased compared to the prior year, primarily due to a $15.4 million decrease in personnel-related costs, including cash bonuses and stock-based compensation, which was partially offset by a $7.8 million increase in allocated shared and other costs. The decrease in personnel-related costs was primarily due to the $14.9 million separation costs incurred in the first quarter of 2023 in connection with our former Chief Executive Officer's separation and the $2.5 million severance related expenses from a workforce reduction in the third quarter of 2023. For additional information, see Note 9, </w:t>
      </w:r>
      <w:r>
        <w:rPr>
          <w:rFonts w:ascii="Times New Roman" w:cs="Times New Roman" w:eastAsia="Times New Roman" w:hAnsi="Times New Roman"/>
          <w:sz w:val="12"/>
          <w:szCs w:val="12"/>
          <w:i w:val="1"/>
          <w:iCs w:val="1"/>
          <w:color w:val="auto"/>
        </w:rPr>
        <w:t>Accrued Employee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Expenses</w:t>
      </w:r>
      <w:r>
        <w:rPr>
          <w:rFonts w:ascii="Times New Roman" w:cs="Times New Roman" w:eastAsia="Times New Roman" w:hAnsi="Times New Roman"/>
          <w:sz w:val="12"/>
          <w:szCs w:val="12"/>
          <w:color w:val="auto"/>
        </w:rPr>
        <w:t>, and Note 17,</w:t>
      </w:r>
      <w:r>
        <w:rPr>
          <w:rFonts w:ascii="Times New Roman" w:cs="Times New Roman" w:eastAsia="Times New Roman" w:hAnsi="Times New Roman"/>
          <w:sz w:val="12"/>
          <w:szCs w:val="12"/>
          <w:i w:val="1"/>
          <w:iCs w:val="1"/>
          <w:color w:val="auto"/>
        </w:rPr>
        <w:t xml:space="preserve"> Workforce Reduction</w:t>
      </w:r>
      <w:r>
        <w:rPr>
          <w:rFonts w:ascii="Times New Roman" w:cs="Times New Roman" w:eastAsia="Times New Roman" w:hAnsi="Times New Roman"/>
          <w:sz w:val="12"/>
          <w:szCs w:val="12"/>
          <w:color w:val="auto"/>
        </w:rPr>
        <w:t>, of the Notes to Consolidated Financial Statements included in Part II, Item 8 of this Annual Report. The increase in allocated shared and other costs was primarily due to a $4.3 million lease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modifications gain recognized in 2023 and a $3.5 million increase in technology and professional services expenses to support our growth in 2024.</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general and administrative expenses for the year ending December 31, 2025 to decrease as a percentage of revenue compared to the year ended December 31, 2024, as we continue to leverage headcount efficiencies.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5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0" w:type="dxa"/>
            <w:vAlign w:val="bottom"/>
            <w:tcBorders>
              <w:bottom w:val="single" w:sz="8" w:color="auto"/>
            </w:tcBorders>
          </w:tcPr>
          <w:p>
            <w:pPr>
              <w:spacing w:after="0"/>
              <w:rPr>
                <w:sz w:val="11"/>
                <w:szCs w:val="11"/>
                <w:color w:val="auto"/>
              </w:rPr>
            </w:pPr>
          </w:p>
        </w:tc>
      </w:tr>
      <w:tr>
        <w:trPr>
          <w:trHeight w:val="128"/>
        </w:trPr>
        <w:tc>
          <w:tcPr>
            <w:tcW w:w="55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5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19,545</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28,988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2"/>
                <w:szCs w:val="12"/>
                <w:color w:val="auto"/>
              </w:rPr>
              <w:t>(9,443)</w:t>
            </w:r>
          </w:p>
        </w:tc>
        <w:tc>
          <w:tcPr>
            <w:tcW w:w="100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2"/>
                <w:szCs w:val="12"/>
                <w:color w:val="auto"/>
              </w:rPr>
              <w:t>(33)%</w:t>
            </w:r>
          </w:p>
        </w:tc>
      </w:tr>
      <w:tr>
        <w:trPr>
          <w:trHeight w:val="155"/>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2.5 %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113"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for the year ended December 31, 2024 decreased, compared to the prior year, primarily due to decreased amortization expense associated with capitalized software development and intangible balances.</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We expect depreciation and amortization expenses for the year ending December 31, 2025 to increase as a percentage of revenue compared to the year ended December 31, 2024 due to amortization of the intangible assets recognized from the acquisition of Move EZ, Inc. in the fourth quarter of 2024. For additional information, see Note 7, </w:t>
      </w:r>
      <w:r>
        <w:rPr>
          <w:rFonts w:ascii="Times New Roman" w:cs="Times New Roman" w:eastAsia="Times New Roman" w:hAnsi="Times New Roman"/>
          <w:sz w:val="12"/>
          <w:szCs w:val="12"/>
          <w:i w:val="1"/>
          <w:iCs w:val="1"/>
          <w:color w:val="auto"/>
        </w:rPr>
        <w:t>Business Combination, and Note</w:t>
      </w:r>
      <w:r>
        <w:rPr>
          <w:rFonts w:ascii="Times New Roman" w:cs="Times New Roman" w:eastAsia="Times New Roman" w:hAnsi="Times New Roman"/>
          <w:sz w:val="12"/>
          <w:szCs w:val="12"/>
          <w:color w:val="auto"/>
        </w:rPr>
        <w:t xml:space="preserve"> 8, </w:t>
      </w:r>
      <w:r>
        <w:rPr>
          <w:rFonts w:ascii="Times New Roman" w:cs="Times New Roman" w:eastAsia="Times New Roman" w:hAnsi="Times New Roman"/>
          <w:sz w:val="12"/>
          <w:szCs w:val="12"/>
          <w:i w:val="1"/>
          <w:iCs w:val="1"/>
          <w:color w:val="auto"/>
        </w:rPr>
        <w:t>Goodwill and Intangible Assets, Net</w:t>
      </w:r>
      <w:r>
        <w:rPr>
          <w:rFonts w:ascii="Times New Roman" w:cs="Times New Roman" w:eastAsia="Times New Roman" w:hAnsi="Times New Roman"/>
          <w:sz w:val="12"/>
          <w:szCs w:val="12"/>
          <w:color w:val="auto"/>
        </w:rPr>
        <w:t>, of the Notes to Consolidated Financial Statements included in Part II, Item 8 of this Annual Report.</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Interest Income, Net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5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5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9"/>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net</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13,981</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7,031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2"/>
                <w:szCs w:val="12"/>
                <w:color w:val="auto"/>
              </w:rPr>
              <w:t>6,950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99 %</w:t>
            </w:r>
          </w:p>
        </w:tc>
      </w:tr>
      <w:tr>
        <w:trPr>
          <w:trHeight w:val="155"/>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Interest income for the year ended December 31, 2024 increased, compared to the prior year, primarily due to higher interest rates and purchases of available-for-sale investment securities.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(Benefit from) provision for income taxes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5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(loss) before provision for income taxes</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rPr>
              <w:t>150,322</w:t>
            </w:r>
          </w:p>
        </w:tc>
        <w:tc>
          <w:tcPr>
            <w:tcW w:w="5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color w:val="auto"/>
              </w:rPr>
              <w:t>7,997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142,325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1780 %</w:t>
            </w:r>
          </w:p>
        </w:tc>
      </w:tr>
      <w:tr>
        <w:trPr>
          <w:trHeight w:val="153"/>
        </w:trPr>
        <w:tc>
          <w:tcPr>
            <w:tcW w:w="5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(Benefit from) provision for income taxes</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25"/>
              <w:spacing w:after="0"/>
              <w:rPr>
                <w:sz w:val="20"/>
                <w:szCs w:val="20"/>
                <w:color w:val="auto"/>
              </w:rPr>
            </w:pPr>
            <w:r>
              <w:rPr>
                <w:rFonts w:ascii="Times New Roman" w:cs="Times New Roman" w:eastAsia="Times New Roman" w:hAnsi="Times New Roman"/>
                <w:sz w:val="12"/>
                <w:szCs w:val="12"/>
                <w:color w:val="auto"/>
              </w:rPr>
              <w:t>(53,746)</w:t>
            </w:r>
          </w:p>
        </w:tc>
        <w:tc>
          <w:tcPr>
            <w:tcW w:w="5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2"/>
                <w:szCs w:val="12"/>
                <w:color w:val="auto"/>
              </w:rPr>
              <w:t>5,295</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(59,041)</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w:t>
            </w:r>
          </w:p>
        </w:tc>
      </w:tr>
      <w:tr>
        <w:trPr>
          <w:trHeight w:val="1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Effective tax rate</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(35.8)%</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66.2 %</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bl>
    <w:p>
      <w:pPr>
        <w:spacing w:after="0" w:line="11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decrease in our effective tax rate for the year ended December 31, 2024, as compared to the prior year, is primarily due to the valuation allowance release against our federal and state deferred tax assets, which was partially offset by higher tax expense due to a significant increase in our pre-tax income.</w:t>
      </w:r>
    </w:p>
    <w:p>
      <w:pPr>
        <w:spacing w:after="0" w:line="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As of December 31, 2024, we recorded an income tax benefit of $53.7 million, primarily due to the release of our valuation allowance of certain U.S. federal and state deferred tax assets. In evaluating the need for a valuation allowance at each reporting period, we consider the weighting of all available positive and negative evidence, which includes, among other things, the nature, frequency and severity of current and cumulative taxable income or losses,</w:t>
      </w:r>
    </w:p>
    <w:p>
      <w:pPr>
        <w:spacing w:after="0"/>
        <w:rPr>
          <w:sz w:val="20"/>
          <w:szCs w:val="20"/>
          <w:color w:val="auto"/>
        </w:rPr>
      </w:pPr>
      <w:r>
        <w:rPr>
          <w:rFonts w:ascii="Times New Roman" w:cs="Times New Roman" w:eastAsia="Times New Roman" w:hAnsi="Times New Roman"/>
          <w:sz w:val="12"/>
          <w:szCs w:val="12"/>
          <w:color w:val="auto"/>
        </w:rPr>
        <w:t>future projections of profitability, timing of the future reversal of existing temporary differences, and the duration of statutory carryforward periods. In assessing all available evidence, we determined that there was sufficient positive</w:t>
      </w:r>
    </w:p>
    <w:p>
      <w:pPr>
        <w:spacing w:after="0" w:line="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principal sources of liquidity continue to be cash, cash equivalents, and investment securities, as well as cash flows generated from our operations. As of December 31, 2024, our cash and cash equivalents and investment securities had an aggregate balance of $278.2 million.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Capital Requirements</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Our future capital requirements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2024, our non-cancelable purchase commitments for business operations totaled $57.5 million, which are due primarily over the next three years. Operating lease obligations total $50.4 million as of December 31, 2024 associated with leased facilities and have varying maturities with $32.9 million due over the next five years.</w:t>
      </w:r>
    </w:p>
    <w:p>
      <w:pPr>
        <w:spacing w:after="0" w:line="3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Our Board of Directors has authorized the repurchase of up to $100.0 million of shares of our Class A common stock from time to time. To date, we have repurchased $4.2 million of our Class A common stock under the Share Repurchase Program. For additional information regarding our Share Repurchase Program, see Note 13, </w:t>
      </w:r>
      <w:r>
        <w:rPr>
          <w:rFonts w:ascii="Times New Roman" w:cs="Times New Roman" w:eastAsia="Times New Roman" w:hAnsi="Times New Roman"/>
          <w:sz w:val="12"/>
          <w:szCs w:val="12"/>
          <w:i w:val="1"/>
          <w:iCs w:val="1"/>
          <w:color w:val="auto"/>
        </w:rPr>
        <w:t>Stockholders' Equity,</w:t>
      </w:r>
      <w:r>
        <w:rPr>
          <w:rFonts w:ascii="Times New Roman" w:cs="Times New Roman" w:eastAsia="Times New Roman" w:hAnsi="Times New Roman"/>
          <w:sz w:val="12"/>
          <w:szCs w:val="12"/>
          <w:color w:val="auto"/>
        </w:rPr>
        <w:t xml:space="preserve"> of the Notes to Consolidated Financial Statement included in Part II, Item 8 of this Annual Report.</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our cash flows for the periods indicated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5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800" w:type="dxa"/>
            <w:vAlign w:val="bottom"/>
            <w:tcBorders>
              <w:bottom w:val="single" w:sz="8" w:color="auto"/>
            </w:tcBorders>
          </w:tcPr>
          <w:p>
            <w:pPr>
              <w:spacing w:after="0"/>
              <w:rPr>
                <w:sz w:val="11"/>
                <w:szCs w:val="11"/>
                <w:color w:val="auto"/>
              </w:rPr>
            </w:pPr>
          </w:p>
        </w:tc>
      </w:tr>
      <w:tr>
        <w:trPr>
          <w:trHeight w:val="128"/>
        </w:trPr>
        <w:tc>
          <w:tcPr>
            <w:tcW w:w="85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8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188,159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2"/>
                <w:szCs w:val="12"/>
                <w:color w:val="auto"/>
                <w:w w:val="96"/>
              </w:rPr>
              <w:t>60,283</w:t>
            </w:r>
          </w:p>
        </w:tc>
      </w:tr>
      <w:tr>
        <w:trPr>
          <w:trHeight w:val="153"/>
        </w:trPr>
        <w:tc>
          <w:tcPr>
            <w:tcW w:w="856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(151,761)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center"/>
              <w:ind w:left="282"/>
              <w:spacing w:after="0"/>
              <w:rPr>
                <w:sz w:val="20"/>
                <w:szCs w:val="20"/>
                <w:color w:val="auto"/>
              </w:rPr>
            </w:pPr>
            <w:r>
              <w:rPr>
                <w:rFonts w:ascii="Times New Roman" w:cs="Times New Roman" w:eastAsia="Times New Roman" w:hAnsi="Times New Roman"/>
                <w:sz w:val="12"/>
                <w:szCs w:val="12"/>
                <w:color w:val="auto"/>
              </w:rPr>
              <w:t>(55,582)</w:t>
            </w:r>
          </w:p>
        </w:tc>
      </w:tr>
      <w:tr>
        <w:trPr>
          <w:trHeight w:val="15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(43,403)</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ind w:left="282"/>
              <w:spacing w:after="0"/>
              <w:rPr>
                <w:sz w:val="20"/>
                <w:szCs w:val="20"/>
                <w:color w:val="auto"/>
              </w:rPr>
            </w:pPr>
            <w:r>
              <w:rPr>
                <w:rFonts w:ascii="Times New Roman" w:cs="Times New Roman" w:eastAsia="Times New Roman" w:hAnsi="Times New Roman"/>
                <w:sz w:val="12"/>
                <w:szCs w:val="12"/>
                <w:color w:val="auto"/>
              </w:rPr>
              <w:t>(25,961)</w:t>
            </w:r>
          </w:p>
        </w:tc>
      </w:tr>
      <w:tr>
        <w:trPr>
          <w:trHeight w:val="142"/>
        </w:trPr>
        <w:tc>
          <w:tcPr>
            <w:tcW w:w="85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(decrease) in cash and cash equivalents</w:t>
            </w:r>
          </w:p>
        </w:tc>
        <w:tc>
          <w:tcPr>
            <w:tcW w:w="80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(7,005)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2"/>
                <w:szCs w:val="12"/>
                <w:color w:val="auto"/>
              </w:rPr>
              <w:t>(21,260)</w:t>
            </w:r>
          </w:p>
        </w:tc>
      </w:tr>
      <w:tr>
        <w:trPr>
          <w:trHeight w:val="20"/>
        </w:trPr>
        <w:tc>
          <w:tcPr>
            <w:tcW w:w="8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Provided by Operating Activities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net increase in cash provided by operating activities for the year ended December 31, 2024, compared to the prior year, was primarily due to a higher increase in cash collections from customers relative to the increase in operating expenditures during the year ended December 31, 2024.</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Used in Investing Activities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Cash used in investing activities is generally composed of the cash paid in business acquisition, net of cash acquired, purchases of investment securities, maturities and sales of investment securities, purchases of property and equipment, and additions to capitalized software development.</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net increase in cash used in investing activities for the year ended December 31, 2024, compared to the prior year, was primarily due to higher purchases of available-for-sale investment securities and the cash paid in business acquisition, net of cash acquired. For additional information regarding the business combination, see Note 7 Business Combination, of the Notes to Consolidated Financial Statements included in Part II, Item 8 of this Annual Report.</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Used in Financing Activities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Cash used in financing activities is generally composed of net share settlements for employee tax withholdings associated with the vesting of equity awards offset by proceeds from the exercise of stock options.</w:t>
      </w:r>
    </w:p>
    <w:p>
      <w:pPr>
        <w:spacing w:after="0" w:line="7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net increase in cash used in financing activities for the year ended December 31, 2024, compared to the prior year, was primarily due to an increase in net share settlements for employee tax withholdings associated with the vesting of equity awards.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Arrangements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December 31, 2024, we did not have any off-balance sheet arrangements.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Consolidated Financial Statements and the related notes included elsewhere in this Annual Report are prepared in accordance with accounting principles generally accepted in the United States of America. The preparation of our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Statements. For additional information, see Note 2,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of the Notes to Consolidated Financial Statements in Part II, Item 8 of this Annual Report.</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core solutions, implementation services, and customer support. Access and use of our core solutions and implementation services are considered distinct.</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our Consolidated Statements of Operations in the period that includes the enactment date. A valuation allowance is recorded when it is more likely than not that some of the deferred tax assets will not be realized. In evaluating the need for a valuation allowance at each reporting period, we consider the weighting of all available positive and negative evidence, which includes, among other things, the nature, frequency and severity of current and cumulative taxable income or losses, future projections of profitability, timing of the future reversal of existing temporary differences, and the duration of statutory carryforward periods. In assessing all available evidence, we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Judgment is required to measure the amount of tax benefits that can be recognized in connection with uncertain tax positions. We recognize the tax benefit from an uncertain tax position only if it is more likely than not that the tax position will be sustained on examination by the taxing authorities, based on the technical merits of the position. We recognize interest and penalties accrued with respect to uncertain tax positions, if any, in our provision for income taxes in our Consolidated Statements of Operations.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results of a business acquired in a business combination are included in our Consolidated Financial Statements from the date of acquisition. We allocate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Determining the fair value of assets acquired and liabilities assumed requires management to make significant judgments and estimates, including the selection of valuation methodologies and assumptions. Critical estimates used in valuing certain intangible assets include, but are not limited to, development costs, the time required to recreate the assets and profit margin a market participant would receive, and rate of return. These estimates are based on information obtained from the management of the acquired companies, our assessment of the information, and historical experience. Our estimates of fair value are based upon assumptions believed to be reasonable, but which are inherently uncertain and unpredictable and, as a result, actual results may differ from estimates. During the measurement period of up to one year from the acquisition date, we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color w:val="auto"/>
        </w:rPr>
        <w:t>may record adjustments to the preliminary fair value of the assets acquired and liabilities assumed with a corresponding offset to goodwill for these business combinations.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Acquisition-related transaction costs are not included as a component of consideration transferred, but are accounted for as an operating expense in the period in which the costs are incurred.</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allocation of the purchase price in a business combination requires management to make significant estimates in determining the fair value of acquired assets and assumed liabilities, especially with respect to intangible assets. The excess of the purchase price in a business combination over the fair value of these tangible and intangible assets acquired and liabilities assumed is recorded as goodwill. Critical estimates in valuing certain intangible assets include, but are not limited to, future expected cash flows, discount rates, revenue growth rates, the time and expense to recreate the assets and profit margin a market participant would receive. These estimates are inherently uncertain and unpredictable and, as a result, actual results may differ from estimates. We evaluate these estimates and assumptions as new information is obtained and may record adjustments to the fair value of the tangible and intangible assets acquired and liabilities assumed but not later than one year from the acquisition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For information regarding recent accounting pronouncements, refer to Note 2,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of our Consolidated Financial Statements included elsewhere in this Annual Report.</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Investment Securities</w:t>
      </w:r>
    </w:p>
    <w:p>
      <w:pPr>
        <w:spacing w:after="0" w:line="8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2024, we had $235.7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investment securities are exposed to market risk due to interest rate fluctuations. While all of our investment securities have fixed interest rates, changes in interest rates may impact the fair value of the investment securities and our interest income over time as funds from maturing positions are reinvested. Since our investment securities are held as available for sale, all changes in fair value impact our other comprehensive (loss) income unless an investment security is considered impaired in which case changes in fair value are reported in other expense.</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2024, a hypothetical 100 basis point decrease in interest rates would have resulted in an increase in the fair value of our investment securities of approximately $0.9 million, and a hypothetical 100 basis point increase in interest rates would have resulted in a decrease in the fair value of our investment securities of approximately $0.9 million. This estimate is based on a sensitivity model which measured an instant change in interest rates by 100 basis points as of December 31,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9"/>
        </w:trPr>
        <w:tc>
          <w:tcPr>
            <w:tcW w:w="396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tc>
        <w:tc>
          <w:tcPr>
            <w:tcW w:w="5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52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32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115"/>
        </w:trPr>
        <w:tc>
          <w:tcPr>
            <w:tcW w:w="20" w:type="dxa"/>
            <w:vAlign w:val="bottom"/>
          </w:tcPr>
          <w:p>
            <w:pPr>
              <w:spacing w:after="0"/>
              <w:rPr>
                <w:sz w:val="10"/>
                <w:szCs w:val="10"/>
                <w:color w:val="auto"/>
              </w:rPr>
            </w:pPr>
          </w:p>
        </w:tc>
        <w:tc>
          <w:tcPr>
            <w:tcW w:w="3940" w:type="dxa"/>
            <w:vAlign w:val="bottom"/>
            <w:gridSpan w:val="8"/>
          </w:tcPr>
          <w:p>
            <w:pPr>
              <w:spacing w:after="0" w:line="115" w:lineRule="exact"/>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w:t>
            </w:r>
            <w:r>
              <w:rPr>
                <w:rFonts w:ascii="Times New Roman" w:cs="Times New Roman" w:eastAsia="Times New Roman" w:hAnsi="Times New Roman"/>
                <w:sz w:val="12"/>
                <w:szCs w:val="12"/>
                <w:color w:val="000000"/>
              </w:rPr>
              <w:t>(PCAOB ID 238)</w:t>
            </w:r>
          </w:p>
        </w:tc>
        <w:tc>
          <w:tcPr>
            <w:tcW w:w="5840" w:type="dxa"/>
            <w:vAlign w:val="bottom"/>
          </w:tcPr>
          <w:p>
            <w:pPr>
              <w:spacing w:after="0"/>
              <w:rPr>
                <w:sz w:val="10"/>
                <w:szCs w:val="10"/>
                <w:color w:val="auto"/>
              </w:rPr>
            </w:pPr>
          </w:p>
        </w:tc>
        <w:tc>
          <w:tcPr>
            <w:tcW w:w="148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2"/>
                <w:szCs w:val="12"/>
                <w:color w:val="0000FF"/>
                <w:w w:val="99"/>
              </w:rPr>
              <w:t>32</w:t>
            </w:r>
          </w:p>
        </w:tc>
      </w:tr>
      <w:tr>
        <w:trPr>
          <w:trHeight w:val="133"/>
        </w:trPr>
        <w:tc>
          <w:tcPr>
            <w:tcW w:w="20" w:type="dxa"/>
            <w:vAlign w:val="bottom"/>
          </w:tcPr>
          <w:p>
            <w:pPr>
              <w:spacing w:after="0"/>
              <w:rPr>
                <w:sz w:val="11"/>
                <w:szCs w:val="11"/>
                <w:color w:val="auto"/>
              </w:rPr>
            </w:pPr>
          </w:p>
        </w:tc>
        <w:tc>
          <w:tcPr>
            <w:tcW w:w="140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Balance Sheets</w:t>
            </w:r>
          </w:p>
        </w:tc>
        <w:tc>
          <w:tcPr>
            <w:tcW w:w="1440" w:type="dxa"/>
            <w:vAlign w:val="bottom"/>
            <w:tcBorders>
              <w:top w:val="single" w:sz="8" w:color="0000FF"/>
            </w:tcBorders>
            <w:gridSpan w:val="6"/>
          </w:tcPr>
          <w:p>
            <w:pPr>
              <w:spacing w:after="0"/>
              <w:rPr>
                <w:sz w:val="11"/>
                <w:szCs w:val="11"/>
                <w:color w:val="auto"/>
              </w:rPr>
            </w:pPr>
          </w:p>
        </w:tc>
        <w:tc>
          <w:tcPr>
            <w:tcW w:w="1100" w:type="dxa"/>
            <w:vAlign w:val="bottom"/>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top w:val="single" w:sz="8" w:color="0000FF"/>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35</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88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Statements of Operations</w:t>
            </w:r>
          </w:p>
        </w:tc>
        <w:tc>
          <w:tcPr>
            <w:tcW w:w="2060" w:type="dxa"/>
            <w:vAlign w:val="bottom"/>
            <w:gridSpan w:val="6"/>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36</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2840" w:type="dxa"/>
            <w:vAlign w:val="bottom"/>
            <w:tcBorders>
              <w:bottom w:val="single" w:sz="8" w:color="0000FF"/>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Statements of Comprehensive (Loss) Income</w:t>
            </w:r>
          </w:p>
        </w:tc>
        <w:tc>
          <w:tcPr>
            <w:tcW w:w="1100" w:type="dxa"/>
            <w:vAlign w:val="bottom"/>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37</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94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FF"/>
              </w:rPr>
              <w:t>Consolidated Statements of Stockholders' Equity</w:t>
            </w:r>
          </w:p>
        </w:tc>
        <w:tc>
          <w:tcPr>
            <w:tcW w:w="7320" w:type="dxa"/>
            <w:vAlign w:val="bottom"/>
            <w:gridSpan w:val="4"/>
          </w:tcPr>
          <w:p>
            <w:pPr>
              <w:jc w:val="center"/>
              <w:ind w:left="5780"/>
              <w:spacing w:after="0" w:line="133" w:lineRule="exact"/>
              <w:rPr>
                <w:sz w:val="20"/>
                <w:szCs w:val="20"/>
                <w:color w:val="auto"/>
              </w:rPr>
            </w:pPr>
            <w:r>
              <w:rPr>
                <w:rFonts w:ascii="Times New Roman" w:cs="Times New Roman" w:eastAsia="Times New Roman" w:hAnsi="Times New Roman"/>
                <w:sz w:val="12"/>
                <w:szCs w:val="12"/>
                <w:color w:val="0000FF"/>
                <w:w w:val="99"/>
              </w:rPr>
              <w:t>38</w:t>
            </w:r>
          </w:p>
        </w:tc>
      </w:tr>
      <w:tr>
        <w:trPr>
          <w:trHeight w:val="133"/>
        </w:trPr>
        <w:tc>
          <w:tcPr>
            <w:tcW w:w="2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Statements of Cash Flows</w:t>
            </w:r>
          </w:p>
        </w:tc>
        <w:tc>
          <w:tcPr>
            <w:tcW w:w="420" w:type="dxa"/>
            <w:vAlign w:val="bottom"/>
            <w:tcBorders>
              <w:top w:val="single" w:sz="8" w:color="0000FF"/>
            </w:tcBorders>
            <w:gridSpan w:val="2"/>
          </w:tcPr>
          <w:p>
            <w:pPr>
              <w:spacing w:after="0"/>
              <w:rPr>
                <w:sz w:val="11"/>
                <w:szCs w:val="11"/>
                <w:color w:val="auto"/>
              </w:rPr>
            </w:pPr>
          </w:p>
        </w:tc>
        <w:tc>
          <w:tcPr>
            <w:tcW w:w="1600" w:type="dxa"/>
            <w:vAlign w:val="bottom"/>
            <w:gridSpan w:val="3"/>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top w:val="single" w:sz="8" w:color="0000FF"/>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39</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94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FF"/>
              </w:rPr>
              <w:t>Notes to Consolidated Financial Statements</w:t>
            </w:r>
          </w:p>
        </w:tc>
        <w:tc>
          <w:tcPr>
            <w:tcW w:w="7320" w:type="dxa"/>
            <w:vAlign w:val="bottom"/>
            <w:gridSpan w:val="4"/>
          </w:tcPr>
          <w:p>
            <w:pPr>
              <w:jc w:val="center"/>
              <w:ind w:left="5780"/>
              <w:spacing w:after="0" w:line="133" w:lineRule="exact"/>
              <w:rPr>
                <w:sz w:val="20"/>
                <w:szCs w:val="20"/>
                <w:color w:val="auto"/>
              </w:rPr>
            </w:pPr>
            <w:r>
              <w:rPr>
                <w:rFonts w:ascii="Times New Roman" w:cs="Times New Roman" w:eastAsia="Times New Roman" w:hAnsi="Times New Roman"/>
                <w:sz w:val="12"/>
                <w:szCs w:val="12"/>
                <w:color w:val="0000FF"/>
                <w:w w:val="99"/>
              </w:rPr>
              <w:t>40</w:t>
            </w: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98"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Stockholders of AppFolio,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AppFolio, Inc. and its subsidiaries (the “Company”) as of December 31, 2024 and 2023, and the related consolidated statements of operations, of comprehensive income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34" w:name="page35"/>
    <w:bookmarkEnd w:id="34"/>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critical audit matters communicated below are matters arising from the current period audit of the consolidated financial statements that were communicated or required to be communicated to the audit committee and that</w:t>
      </w:r>
    </w:p>
    <w:p>
      <w:pPr>
        <w:spacing w:after="0" w:line="17" w:lineRule="exact"/>
        <w:rPr>
          <w:sz w:val="20"/>
          <w:szCs w:val="20"/>
          <w:color w:val="auto"/>
        </w:rPr>
      </w:pPr>
    </w:p>
    <w:p>
      <w:pPr>
        <w:jc w:val="both"/>
        <w:ind w:left="8" w:hanging="8"/>
        <w:spacing w:after="0" w:line="255" w:lineRule="auto"/>
        <w:tabs>
          <w:tab w:leader="none" w:pos="155"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Acquisition of Move EZ, Inc.– Valuation of Customer Relationships and Developed Technology</w:t>
      </w:r>
    </w:p>
    <w:p>
      <w:pPr>
        <w:spacing w:after="0" w:line="15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As described in Notes 2 and 7 to the consolidated financial statements, on October 22,2024, the Company completed the acquisition of Move EZ, Inc. (Move EZ) for total cash purchase consideration of $78.5 million. Of the acquired intangible assets, $39.0 million of customer relationships and $9.8 million of developed technology were recorded. Management determined the fair value of customer relationships and developed technology utilizing a replacement cost approach. Determining the fair value of these intangible assets requires management to make significant judgments and estimates, including the selection of valuation methodologies and assumptions. The significant assumptions used to value customer relationships and developed technology include the profit margin and rate of return.</w:t>
      </w:r>
    </w:p>
    <w:p>
      <w:pPr>
        <w:spacing w:after="0" w:line="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The principal considerations for our determination that performing procedures relating to the valuation of customer relationships and developed technology acquired in the acquisition of Move EZ is a critical audit matter are (i) the significant judgment by management when developing the fair value estimate of the customer relationships and developed technology acquired; (ii) a high degree of auditor judgment and effort in performing procedures and evaluating management’s significant assumptions related to the profit margin and rate of return; and (iii) the use of professionals with specialized skill and knowledge.</w:t>
      </w:r>
    </w:p>
    <w:p>
      <w:pPr>
        <w:spacing w:after="0" w:line="47"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developed technology acquired. These procedures also included, among others (i) reading the purchase agreement; (ii) testing management’s process for developing the fair value estimate of the customer relationships and developed technology acquired; (iii) evaluating the appropriateness of the replacement cost approach used by management; (iv) testing the completeness and accuracy of underlying data used in the replacement cost approach; and (v) evaluating the reasonableness of the significant assumptions used by management related to the profit margin and rate of return. Evaluating management’s assumptions related to profit margin and rate of return for customer relationships and developed technology involved considering (i) the current and past performance of the Move EZ, Inc business; (ii) the consistency with external market and industry data; and (iii) whether the assumptions were consistent with evidence obtained in other areas of the audit. Professionals with specialized skill and knowledge were used to assist in evaluating the (i) appropriateness of the replacement cost approach and (ii) the reasonableness of the profit margin and rate of return assumptions used by management.</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Revenue Recognition</w:t>
      </w:r>
    </w:p>
    <w:p>
      <w:pPr>
        <w:spacing w:after="0" w:line="152"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As described in Notes 2 and 16 to the consolidated financial statements, the Company’s total revenue was $794.2 million for the year ended December 31, 2024. The Company generates revenue from customers primarily for subscriptions to access the core solutions and Value Added Services. Revenue is recognized upon transfer of control of promised services in an amount that reflects the consideration the Company expects to receive in exchange for those services. The Company enters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The Company recognizes revenue in proportion to the amount they have the right to invoice for certain core solutions and Value Added Services revenue, as that amount corresponds directly with the performance completed to date.</w:t>
      </w:r>
    </w:p>
    <w:p>
      <w:pPr>
        <w:spacing w:after="0" w:line="53"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 principal consideration for our determination that performing procedures relating to revenue recognition is a critical audit matter is a high degree of auditor effort in performing procedures related to the Company’s revenue recognition.</w:t>
      </w:r>
    </w:p>
    <w:p>
      <w:pPr>
        <w:spacing w:after="0" w:line="3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58" w:right="299" w:bottom="1440" w:gutter="0" w:footer="0" w:header="0"/>
        </w:sectPr>
      </w:pPr>
    </w:p>
    <w:bookmarkStart w:id="35" w:name="page36"/>
    <w:bookmarkEnd w:id="35"/>
    <w:p>
      <w:pPr>
        <w:jc w:val="both"/>
        <w:spacing w:after="0" w:line="260" w:lineRule="auto"/>
        <w:rPr>
          <w:sz w:val="20"/>
          <w:szCs w:val="20"/>
          <w:color w:val="auto"/>
        </w:rPr>
      </w:pPr>
      <w:r>
        <w:rPr>
          <w:rFonts w:ascii="Times New Roman" w:cs="Times New Roman" w:eastAsia="Times New Roman" w:hAnsi="Times New Roman"/>
          <w:sz w:val="12"/>
          <w:szCs w:val="12"/>
          <w:color w:val="auto"/>
        </w:rPr>
        <w:t>to the revenue recognition process. These procedures also included, among others (i) evaluating revenue transactions by either (a) testing the issuance and settlement of invoices and credit memos, tracing transactions not settled to a detailed listing of accounts receivable, and testing the completeness and accuracy of data provided by management or (b) testing, on a sample basis, revenue transactions by obtaining and inspecting source documents, such as executed contracts, invoices, and cash receipts and (ii) confirming, on a sample basis, outstanding customer invoice balances as of year-end and, and for confirmations not returned, obtaining and inspecting source documents, such as executed contracts, invoices, and subsequent cash receipts.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 Angeles,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6,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par values)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9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9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25"/>
        </w:trPr>
        <w:tc>
          <w:tcPr>
            <w:tcW w:w="79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Assets</w:t>
            </w: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42,504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49,509</w:t>
            </w:r>
          </w:p>
        </w:tc>
        <w:tc>
          <w:tcPr>
            <w:tcW w:w="0" w:type="dxa"/>
            <w:vAlign w:val="bottom"/>
          </w:tcPr>
          <w:p>
            <w:pPr>
              <w:spacing w:after="0"/>
              <w:rPr>
                <w:sz w:val="1"/>
                <w:szCs w:val="1"/>
                <w:color w:val="auto"/>
              </w:rPr>
            </w:pPr>
          </w:p>
        </w:tc>
      </w:tr>
      <w:tr>
        <w:trPr>
          <w:trHeight w:val="142"/>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securities—current</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235,745</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162,196</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24,346</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20,709</w:t>
            </w:r>
          </w:p>
        </w:tc>
        <w:tc>
          <w:tcPr>
            <w:tcW w:w="0" w:type="dxa"/>
            <w:vAlign w:val="bottom"/>
          </w:tcPr>
          <w:p>
            <w:pPr>
              <w:spacing w:after="0"/>
              <w:rPr>
                <w:sz w:val="1"/>
                <w:szCs w:val="1"/>
                <w:color w:val="auto"/>
              </w:rPr>
            </w:pPr>
          </w:p>
        </w:tc>
      </w:tr>
      <w:tr>
        <w:trPr>
          <w:trHeight w:val="142"/>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32,807</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39,943</w:t>
            </w:r>
          </w:p>
        </w:tc>
        <w:tc>
          <w:tcPr>
            <w:tcW w:w="0" w:type="dxa"/>
            <w:vAlign w:val="bottom"/>
          </w:tcPr>
          <w:p>
            <w:pPr>
              <w:spacing w:after="0"/>
              <w:rPr>
                <w:sz w:val="1"/>
                <w:szCs w:val="1"/>
                <w:color w:val="auto"/>
              </w:rPr>
            </w:pPr>
          </w:p>
        </w:tc>
      </w:tr>
      <w:tr>
        <w:trPr>
          <w:trHeight w:val="135"/>
        </w:trPr>
        <w:tc>
          <w:tcPr>
            <w:tcW w:w="7980" w:type="dxa"/>
            <w:vAlign w:val="bottom"/>
            <w:shd w:val="clear" w:color="auto" w:fill="CCEEFF"/>
          </w:tcPr>
          <w:p>
            <w:pPr>
              <w:ind w:left="440"/>
              <w:spacing w:after="0" w:line="122" w:lineRule="exact"/>
              <w:rPr>
                <w:sz w:val="20"/>
                <w:szCs w:val="20"/>
                <w:color w:val="auto"/>
              </w:rPr>
            </w:pPr>
            <w:r>
              <w:rPr>
                <w:rFonts w:ascii="Times New Roman" w:cs="Times New Roman" w:eastAsia="Times New Roman" w:hAnsi="Times New Roman"/>
                <w:sz w:val="11"/>
                <w:szCs w:val="11"/>
                <w:color w:val="auto"/>
              </w:rPr>
              <w:t>Total current assets</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335,402</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272,357</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24,483</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28,362</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17,472</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19,285</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Capitalized software development costs, net</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15,429</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21,562</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96,410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56,060</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Intangible assets, net</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49,057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76,910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long-term assets</w:t>
            </w: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11,515</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8,906</w:t>
            </w:r>
          </w:p>
        </w:tc>
        <w:tc>
          <w:tcPr>
            <w:tcW w:w="0" w:type="dxa"/>
            <w:vAlign w:val="bottom"/>
          </w:tcPr>
          <w:p>
            <w:pPr>
              <w:spacing w:after="0"/>
              <w:rPr>
                <w:sz w:val="1"/>
                <w:szCs w:val="1"/>
                <w:color w:val="auto"/>
              </w:rPr>
            </w:pPr>
          </w:p>
        </w:tc>
      </w:tr>
      <w:tr>
        <w:trPr>
          <w:trHeight w:val="153"/>
        </w:trPr>
        <w:tc>
          <w:tcPr>
            <w:tcW w:w="7980" w:type="dxa"/>
            <w:vAlign w:val="bottom"/>
            <w:tcBorders>
              <w:bottom w:val="single" w:sz="8" w:color="CCEEFF"/>
            </w:tcBorders>
            <w:shd w:val="clear" w:color="auto" w:fill="CCEEFF"/>
          </w:tcPr>
          <w:p>
            <w:pPr>
              <w:ind w:left="440"/>
              <w:spacing w:after="0" w:line="122" w:lineRule="exact"/>
              <w:rPr>
                <w:sz w:val="20"/>
                <w:szCs w:val="20"/>
                <w:color w:val="auto"/>
              </w:rPr>
            </w:pPr>
            <w:r>
              <w:rPr>
                <w:rFonts w:ascii="Times New Roman" w:cs="Times New Roman" w:eastAsia="Times New Roman" w:hAnsi="Times New Roman"/>
                <w:sz w:val="11"/>
                <w:szCs w:val="11"/>
                <w:color w:val="auto"/>
              </w:rPr>
              <w:t>Total assets</w:t>
            </w:r>
          </w:p>
        </w:tc>
        <w:tc>
          <w:tcPr>
            <w:tcW w:w="104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626,678</w:t>
            </w: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408,889</w:t>
            </w:r>
          </w:p>
        </w:tc>
        <w:tc>
          <w:tcPr>
            <w:tcW w:w="0" w:type="dxa"/>
            <w:vAlign w:val="bottom"/>
          </w:tcPr>
          <w:p>
            <w:pPr>
              <w:spacing w:after="0"/>
              <w:rPr>
                <w:sz w:val="1"/>
                <w:szCs w:val="1"/>
                <w:color w:val="auto"/>
              </w:rPr>
            </w:pPr>
          </w:p>
        </w:tc>
      </w:tr>
      <w:tr>
        <w:trPr>
          <w:trHeight w:val="123"/>
        </w:trPr>
        <w:tc>
          <w:tcPr>
            <w:tcW w:w="79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2,378</w:t>
            </w:r>
          </w:p>
        </w:tc>
        <w:tc>
          <w:tcPr>
            <w:tcW w:w="120" w:type="dxa"/>
            <w:vAlign w:val="bottom"/>
          </w:tcPr>
          <w:p>
            <w:pPr>
              <w:spacing w:after="0"/>
              <w:rPr>
                <w:sz w:val="12"/>
                <w:szCs w:val="12"/>
                <w:color w:val="auto"/>
              </w:rPr>
            </w:pPr>
          </w:p>
        </w:tc>
        <w:tc>
          <w:tcPr>
            <w:tcW w:w="4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Accrued employee expenses</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30,157</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35,567</w:t>
            </w:r>
          </w:p>
        </w:tc>
        <w:tc>
          <w:tcPr>
            <w:tcW w:w="0" w:type="dxa"/>
            <w:vAlign w:val="bottom"/>
          </w:tcPr>
          <w:p>
            <w:pPr>
              <w:spacing w:after="0"/>
              <w:rPr>
                <w:sz w:val="1"/>
                <w:szCs w:val="1"/>
                <w:color w:val="auto"/>
              </w:rPr>
            </w:pPr>
          </w:p>
        </w:tc>
      </w:tr>
      <w:tr>
        <w:trPr>
          <w:trHeight w:val="142"/>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Accrued expenses</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21,723</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0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16,087</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11,335</w:t>
            </w:r>
          </w:p>
        </w:tc>
        <w:tc>
          <w:tcPr>
            <w:tcW w:w="0" w:type="dxa"/>
            <w:vAlign w:val="bottom"/>
          </w:tcPr>
          <w:p>
            <w:pPr>
              <w:spacing w:after="0"/>
              <w:rPr>
                <w:sz w:val="1"/>
                <w:szCs w:val="1"/>
                <w:color w:val="auto"/>
              </w:rPr>
            </w:pPr>
          </w:p>
        </w:tc>
      </w:tr>
      <w:tr>
        <w:trPr>
          <w:trHeight w:val="131"/>
        </w:trPr>
        <w:tc>
          <w:tcPr>
            <w:tcW w:w="7980" w:type="dxa"/>
            <w:vAlign w:val="bottom"/>
          </w:tcPr>
          <w:p>
            <w:pPr>
              <w:ind w:left="440"/>
              <w:spacing w:after="0" w:line="121" w:lineRule="exact"/>
              <w:rPr>
                <w:sz w:val="20"/>
                <w:szCs w:val="20"/>
                <w:color w:val="auto"/>
              </w:rPr>
            </w:pPr>
            <w:r>
              <w:rPr>
                <w:rFonts w:ascii="Times New Roman" w:cs="Times New Roman" w:eastAsia="Times New Roman" w:hAnsi="Times New Roman"/>
                <w:sz w:val="11"/>
                <w:szCs w:val="11"/>
                <w:color w:val="auto"/>
              </w:rPr>
              <w:t>Total current liabilities</w:t>
            </w:r>
          </w:p>
        </w:tc>
        <w:tc>
          <w:tcPr>
            <w:tcW w:w="10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63,280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69,766</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37,476</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41,114</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liabilities</w:t>
            </w:r>
          </w:p>
        </w:tc>
        <w:tc>
          <w:tcPr>
            <w:tcW w:w="10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0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6,632</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7980" w:type="dxa"/>
            <w:vAlign w:val="bottom"/>
            <w:tcBorders>
              <w:bottom w:val="single" w:sz="8" w:color="CCEEFF"/>
            </w:tcBorders>
          </w:tcPr>
          <w:p>
            <w:pPr>
              <w:ind w:left="440"/>
              <w:spacing w:after="0" w:line="121" w:lineRule="exact"/>
              <w:rPr>
                <w:sz w:val="20"/>
                <w:szCs w:val="20"/>
                <w:color w:val="auto"/>
              </w:rPr>
            </w:pPr>
            <w:r>
              <w:rPr>
                <w:rFonts w:ascii="Times New Roman" w:cs="Times New Roman" w:eastAsia="Times New Roman" w:hAnsi="Times New Roman"/>
                <w:sz w:val="11"/>
                <w:szCs w:val="11"/>
                <w:color w:val="auto"/>
              </w:rPr>
              <w:t>Total liabilities</w:t>
            </w:r>
          </w:p>
        </w:tc>
        <w:tc>
          <w:tcPr>
            <w:tcW w:w="10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107,388</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111,577</w:t>
            </w:r>
          </w:p>
        </w:tc>
        <w:tc>
          <w:tcPr>
            <w:tcW w:w="0" w:type="dxa"/>
            <w:vAlign w:val="bottom"/>
          </w:tcPr>
          <w:p>
            <w:pPr>
              <w:spacing w:after="0"/>
              <w:rPr>
                <w:sz w:val="1"/>
                <w:szCs w:val="1"/>
                <w:color w:val="auto"/>
              </w:rPr>
            </w:pPr>
          </w:p>
        </w:tc>
      </w:tr>
      <w:tr>
        <w:trPr>
          <w:trHeight w:val="126"/>
        </w:trPr>
        <w:tc>
          <w:tcPr>
            <w:tcW w:w="79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Commitments and contingencies (Note 12)</w:t>
            </w: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Preferred stock, $0.0001 par value, 25,000 shares authorized and no shares issued and outstanding as of December 31, 2024 and December 31, 2023</w:t>
            </w:r>
          </w:p>
        </w:tc>
        <w:tc>
          <w:tcPr>
            <w:tcW w:w="10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79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Class A common stock, $0.0001 par value, 250,000 shares authorized as of December 31, 2024 and December 31, 2023; 23,660 and 22,168 shares issued as of December 31, 2024</w:t>
            </w:r>
          </w:p>
        </w:tc>
        <w:tc>
          <w:tcPr>
            <w:tcW w:w="10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and December 31, 2023, respectively; 23,241 and 21,749 shares outstanding as of December 31, 2024 and December 31, 2023, respectively</w:t>
            </w:r>
          </w:p>
        </w:tc>
        <w:tc>
          <w:tcPr>
            <w:tcW w:w="10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9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Class B common stock, $0.0001 par value, 50,000 shares authorized as of December 31, 2024 and December 31, 2023; 13,163 and 14,116 shares issued and outstanding as of</w:t>
            </w:r>
          </w:p>
        </w:tc>
        <w:tc>
          <w:tcPr>
            <w:tcW w:w="10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4"/>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31, 2024 and December 31, 2023, respectively</w:t>
            </w:r>
          </w:p>
        </w:tc>
        <w:tc>
          <w:tcPr>
            <w:tcW w:w="10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254,821</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236,985</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Treasury stock, at cost, 419 shares of Class A common stock as of December 31, 2024 and December 31, 2023</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(25,756)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(25,756)</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Retained earnings</w:t>
            </w:r>
          </w:p>
        </w:tc>
        <w:tc>
          <w:tcPr>
            <w:tcW w:w="10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290,048</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85,980</w:t>
            </w:r>
          </w:p>
        </w:tc>
        <w:tc>
          <w:tcPr>
            <w:tcW w:w="0" w:type="dxa"/>
            <w:vAlign w:val="bottom"/>
          </w:tcPr>
          <w:p>
            <w:pPr>
              <w:spacing w:after="0"/>
              <w:rPr>
                <w:sz w:val="1"/>
                <w:szCs w:val="1"/>
                <w:color w:val="auto"/>
              </w:rPr>
            </w:pPr>
          </w:p>
        </w:tc>
      </w:tr>
      <w:tr>
        <w:trPr>
          <w:trHeight w:val="131"/>
        </w:trPr>
        <w:tc>
          <w:tcPr>
            <w:tcW w:w="7980" w:type="dxa"/>
            <w:vAlign w:val="bottom"/>
            <w:tcBorders>
              <w:bottom w:val="single" w:sz="8" w:color="CCEEFF"/>
            </w:tcBorders>
          </w:tcPr>
          <w:p>
            <w:pPr>
              <w:ind w:left="440"/>
              <w:spacing w:after="0" w:line="121" w:lineRule="exact"/>
              <w:rPr>
                <w:sz w:val="20"/>
                <w:szCs w:val="20"/>
                <w:color w:val="auto"/>
              </w:rPr>
            </w:pPr>
            <w:r>
              <w:rPr>
                <w:rFonts w:ascii="Times New Roman" w:cs="Times New Roman" w:eastAsia="Times New Roman" w:hAnsi="Times New Roman"/>
                <w:sz w:val="11"/>
                <w:szCs w:val="11"/>
                <w:color w:val="auto"/>
              </w:rPr>
              <w:t>Total stockholders’ equity</w:t>
            </w:r>
          </w:p>
        </w:tc>
        <w:tc>
          <w:tcPr>
            <w:tcW w:w="10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519,290</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297,312</w:t>
            </w:r>
          </w:p>
        </w:tc>
        <w:tc>
          <w:tcPr>
            <w:tcW w:w="0" w:type="dxa"/>
            <w:vAlign w:val="bottom"/>
          </w:tcPr>
          <w:p>
            <w:pPr>
              <w:spacing w:after="0"/>
              <w:rPr>
                <w:sz w:val="1"/>
                <w:szCs w:val="1"/>
                <w:color w:val="auto"/>
              </w:rPr>
            </w:pPr>
          </w:p>
        </w:tc>
      </w:tr>
      <w:tr>
        <w:trPr>
          <w:trHeight w:val="151"/>
        </w:trPr>
        <w:tc>
          <w:tcPr>
            <w:tcW w:w="7980" w:type="dxa"/>
            <w:vAlign w:val="bottom"/>
            <w:tcBorders>
              <w:bottom w:val="single" w:sz="8" w:color="CCEEFF"/>
            </w:tcBorders>
            <w:shd w:val="clear" w:color="auto" w:fill="CCEEFF"/>
          </w:tcPr>
          <w:p>
            <w:pPr>
              <w:ind w:left="440"/>
              <w:spacing w:after="0" w:line="122" w:lineRule="exact"/>
              <w:rPr>
                <w:sz w:val="20"/>
                <w:szCs w:val="20"/>
                <w:color w:val="auto"/>
              </w:rPr>
            </w:pPr>
            <w:r>
              <w:rPr>
                <w:rFonts w:ascii="Times New Roman" w:cs="Times New Roman" w:eastAsia="Times New Roman" w:hAnsi="Times New Roman"/>
                <w:sz w:val="11"/>
                <w:szCs w:val="11"/>
                <w:color w:val="auto"/>
              </w:rPr>
              <w:t>Total liabilities and stockholders’ equity</w:t>
            </w:r>
          </w:p>
        </w:tc>
        <w:tc>
          <w:tcPr>
            <w:tcW w:w="104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626,678</w:t>
            </w: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408,889</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37" w:name="page38"/>
    <w:bookmarkEnd w:id="37"/>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128"/>
        </w:trPr>
        <w:tc>
          <w:tcPr>
            <w:tcW w:w="68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auto"/>
            </w:tcBorders>
          </w:tcPr>
          <w:p>
            <w:pPr>
              <w:spacing w:after="0"/>
              <w:rPr>
                <w:sz w:val="11"/>
                <w:szCs w:val="11"/>
                <w:color w:val="auto"/>
              </w:rPr>
            </w:pPr>
          </w:p>
        </w:tc>
      </w:tr>
      <w:tr>
        <w:trPr>
          <w:trHeight w:val="14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794,202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620,445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471,883</w:t>
            </w:r>
          </w:p>
        </w:tc>
      </w:tr>
      <w:tr>
        <w:trPr>
          <w:trHeight w:val="153"/>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Costs and operating expenses:</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2"/>
                <w:szCs w:val="12"/>
                <w:color w:val="auto"/>
              </w:rPr>
              <w:t>Cost of revenue (exclusive of depreciation and amortization)</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282,067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238,076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191,826</w:t>
            </w:r>
          </w:p>
        </w:tc>
      </w:tr>
      <w:tr>
        <w:trPr>
          <w:trHeight w:val="153"/>
        </w:trPr>
        <w:tc>
          <w:tcPr>
            <w:tcW w:w="6880" w:type="dxa"/>
            <w:vAlign w:val="bottom"/>
          </w:tcPr>
          <w:p>
            <w:pPr>
              <w:ind w:left="220"/>
              <w:spacing w:after="0" w:line="153" w:lineRule="exact"/>
              <w:rPr>
                <w:sz w:val="20"/>
                <w:szCs w:val="20"/>
                <w:color w:val="auto"/>
              </w:rPr>
            </w:pPr>
            <w:r>
              <w:rPr>
                <w:rFonts w:ascii="Times New Roman" w:cs="Times New Roman" w:eastAsia="Times New Roman" w:hAnsi="Times New Roman"/>
                <w:sz w:val="12"/>
                <w:szCs w:val="12"/>
                <w:color w:val="auto"/>
              </w:rPr>
              <w:t>Sales and marketing</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110,597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107,602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107,398</w:t>
            </w:r>
          </w:p>
        </w:tc>
      </w:tr>
      <w:tr>
        <w:trPr>
          <w:trHeight w:val="153"/>
        </w:trPr>
        <w:tc>
          <w:tcPr>
            <w:tcW w:w="688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2"/>
                <w:szCs w:val="12"/>
                <w:color w:val="auto"/>
              </w:rPr>
              <w:t>Research and product development</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160,375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151,364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111,118</w:t>
            </w:r>
          </w:p>
        </w:tc>
      </w:tr>
      <w:tr>
        <w:trPr>
          <w:trHeight w:val="153"/>
        </w:trPr>
        <w:tc>
          <w:tcPr>
            <w:tcW w:w="6880" w:type="dxa"/>
            <w:vAlign w:val="bottom"/>
          </w:tcPr>
          <w:p>
            <w:pPr>
              <w:ind w:left="220"/>
              <w:spacing w:after="0" w:line="153" w:lineRule="exact"/>
              <w:rPr>
                <w:sz w:val="20"/>
                <w:szCs w:val="20"/>
                <w:color w:val="auto"/>
              </w:rPr>
            </w:pPr>
            <w:r>
              <w:rPr>
                <w:rFonts w:ascii="Times New Roman" w:cs="Times New Roman" w:eastAsia="Times New Roman" w:hAnsi="Times New Roman"/>
                <w:sz w:val="12"/>
                <w:szCs w:val="12"/>
                <w:color w:val="auto"/>
              </w:rPr>
              <w:t>General and administrative</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85,974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93,452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100,792</w:t>
            </w:r>
          </w:p>
        </w:tc>
      </w:tr>
      <w:tr>
        <w:trPr>
          <w:trHeight w:val="153"/>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19,545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28,988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33,119</w:t>
            </w:r>
          </w:p>
        </w:tc>
      </w:tr>
      <w:tr>
        <w:trPr>
          <w:trHeight w:val="142"/>
        </w:trPr>
        <w:tc>
          <w:tcPr>
            <w:tcW w:w="6880" w:type="dxa"/>
            <w:vAlign w:val="bottom"/>
            <w:tcBorders>
              <w:bottom w:val="single" w:sz="8" w:color="CCEEFF"/>
            </w:tcBorders>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costs and operating expenses</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658,558</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619,482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544,253</w:t>
            </w:r>
          </w:p>
        </w:tc>
      </w:tr>
      <w:tr>
        <w:trPr>
          <w:trHeight w:val="142"/>
        </w:trPr>
        <w:tc>
          <w:tcPr>
            <w:tcW w:w="68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(loss) from operations</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135,644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(72,370)</w:t>
            </w:r>
          </w:p>
        </w:tc>
      </w:tr>
      <w:tr>
        <w:trPr>
          <w:trHeight w:val="153"/>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(loss), net</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4,469</w:t>
            </w:r>
          </w:p>
        </w:tc>
      </w:tr>
      <w:tr>
        <w:trPr>
          <w:trHeight w:val="15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net</w:t>
            </w: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13,981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7,031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1,184</w:t>
            </w:r>
          </w:p>
        </w:tc>
      </w:tr>
      <w:tr>
        <w:trPr>
          <w:trHeight w:val="142"/>
        </w:trPr>
        <w:tc>
          <w:tcPr>
            <w:tcW w:w="6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Income (loss) before provision for income taxes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150,322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(66,717)</w:t>
            </w:r>
          </w:p>
        </w:tc>
      </w:tr>
      <w:tr>
        <w:trPr>
          <w:trHeight w:val="15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from) provision for income taxes</w:t>
            </w: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(53,746)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1,402</w:t>
            </w:r>
          </w:p>
        </w:tc>
      </w:tr>
      <w:tr>
        <w:trPr>
          <w:trHeight w:val="158"/>
        </w:trPr>
        <w:tc>
          <w:tcPr>
            <w:tcW w:w="68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income (loss)</w:t>
            </w: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204,068</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2,702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(68,119)</w:t>
            </w:r>
          </w:p>
        </w:tc>
      </w:tr>
      <w:tr>
        <w:trPr>
          <w:trHeight w:val="135"/>
        </w:trPr>
        <w:tc>
          <w:tcPr>
            <w:tcW w:w="68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(loss) per common share:</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880" w:type="dxa"/>
            <w:vAlign w:val="bottom"/>
            <w:gridSpan w:val="2"/>
          </w:tcPr>
          <w:p>
            <w:pPr>
              <w:jc w:val="right"/>
              <w:ind w:right="70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5.63</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0.08</w:t>
            </w:r>
          </w:p>
        </w:tc>
        <w:tc>
          <w:tcPr>
            <w:tcW w:w="380" w:type="dxa"/>
            <w:vAlign w:val="bottom"/>
            <w:gridSpan w:val="3"/>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(1.95)</w:t>
            </w: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88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5.55</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0.07</w:t>
            </w:r>
          </w:p>
        </w:tc>
        <w:tc>
          <w:tcPr>
            <w:tcW w:w="38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(1.95)</w:t>
            </w:r>
          </w:p>
        </w:tc>
      </w:tr>
      <w:tr>
        <w:trPr>
          <w:trHeight w:val="153"/>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36,252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35,629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35,010</w:t>
            </w:r>
          </w:p>
        </w:tc>
      </w:tr>
      <w:tr>
        <w:trPr>
          <w:trHeight w:val="155"/>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36,782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36,417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35,010</w:t>
            </w:r>
          </w:p>
        </w:tc>
      </w:tr>
      <w:tr>
        <w:trPr>
          <w:trHeight w:val="313"/>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Includes stock-based compensation expense as follows:</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3"/>
        </w:trPr>
        <w:tc>
          <w:tcPr>
            <w:tcW w:w="68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68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r>
      <w:tr>
        <w:trPr>
          <w:trHeight w:val="138"/>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 included in costs and operating expenses: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(exclusive of depreciation and amortization)</w:t>
            </w:r>
          </w:p>
        </w:tc>
        <w:tc>
          <w:tcPr>
            <w:tcW w:w="880" w:type="dxa"/>
            <w:vAlign w:val="bottom"/>
            <w:gridSpan w:val="2"/>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4,522</w:t>
            </w:r>
          </w:p>
        </w:tc>
        <w:tc>
          <w:tcPr>
            <w:tcW w:w="60" w:type="dxa"/>
            <w:vAlign w:val="bottom"/>
          </w:tcPr>
          <w:p>
            <w:pPr>
              <w:spacing w:after="0"/>
              <w:rPr>
                <w:sz w:val="13"/>
                <w:szCs w:val="13"/>
                <w:color w:val="auto"/>
              </w:rPr>
            </w:pPr>
          </w:p>
        </w:tc>
        <w:tc>
          <w:tcPr>
            <w:tcW w:w="180" w:type="dxa"/>
            <w:vAlign w:val="bottom"/>
            <w:gridSpan w:val="3"/>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3,703</w:t>
            </w:r>
          </w:p>
        </w:tc>
        <w:tc>
          <w:tcPr>
            <w:tcW w:w="40" w:type="dxa"/>
            <w:vAlign w:val="bottom"/>
          </w:tcPr>
          <w:p>
            <w:pPr>
              <w:spacing w:after="0"/>
              <w:rPr>
                <w:sz w:val="13"/>
                <w:szCs w:val="13"/>
                <w:color w:val="auto"/>
              </w:rPr>
            </w:pPr>
          </w:p>
        </w:tc>
        <w:tc>
          <w:tcPr>
            <w:tcW w:w="380" w:type="dxa"/>
            <w:vAlign w:val="bottom"/>
            <w:gridSpan w:val="3"/>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w:t>
            </w: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5,983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8,681</w:t>
            </w:r>
          </w:p>
        </w:tc>
        <w:tc>
          <w:tcPr>
            <w:tcW w:w="80" w:type="dxa"/>
            <w:vAlign w:val="bottom"/>
          </w:tcPr>
          <w:p>
            <w:pPr>
              <w:spacing w:after="0"/>
              <w:rPr>
                <w:sz w:val="13"/>
                <w:szCs w:val="13"/>
                <w:color w:val="auto"/>
              </w:rPr>
            </w:pPr>
          </w:p>
        </w:tc>
      </w:tr>
      <w:tr>
        <w:trPr>
          <w:trHeight w:val="153"/>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Research and product development</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25,414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20,974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16,030</w:t>
            </w: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22,361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21,704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13,584</w:t>
            </w:r>
          </w:p>
        </w:tc>
        <w:tc>
          <w:tcPr>
            <w:tcW w:w="80" w:type="dxa"/>
            <w:vAlign w:val="bottom"/>
          </w:tcPr>
          <w:p>
            <w:pPr>
              <w:spacing w:after="0"/>
              <w:rPr>
                <w:sz w:val="13"/>
                <w:szCs w:val="13"/>
                <w:color w:val="auto"/>
              </w:rPr>
            </w:pPr>
          </w:p>
        </w:tc>
      </w:tr>
      <w:tr>
        <w:trPr>
          <w:trHeight w:val="142"/>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88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60,327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52,364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gridSpan w:val="2"/>
          </w:tcPr>
          <w:p>
            <w:pPr>
              <w:jc w:val="right"/>
              <w:ind w:right="226"/>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40,935</w:t>
            </w:r>
          </w:p>
        </w:tc>
        <w:tc>
          <w:tcPr>
            <w:tcW w:w="80" w:type="dxa"/>
            <w:vAlign w:val="bottom"/>
          </w:tcPr>
          <w:p>
            <w:pPr>
              <w:spacing w:after="0"/>
              <w:rPr>
                <w:sz w:val="12"/>
                <w:szCs w:val="12"/>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854" w:right="5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 (LOSS)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9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28"/>
        </w:trPr>
        <w:tc>
          <w:tcPr>
            <w:tcW w:w="69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82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2,702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(68,119)</w:t>
            </w:r>
          </w:p>
        </w:tc>
      </w:tr>
      <w:tr>
        <w:trPr>
          <w:trHeight w:val="153"/>
        </w:trPr>
        <w:tc>
          <w:tcPr>
            <w:tcW w:w="6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Changes in unrealized gains (losses) on investment securities, net of tax</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1,783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(1,490)</w:t>
            </w:r>
          </w:p>
        </w:tc>
      </w:tr>
      <w:tr>
        <w:trPr>
          <w:trHeight w:val="142"/>
        </w:trPr>
        <w:tc>
          <w:tcPr>
            <w:tcW w:w="6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 (loss)</w:t>
            </w:r>
          </w:p>
        </w:tc>
        <w:tc>
          <w:tcPr>
            <w:tcW w:w="82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204,142</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color w:val="auto"/>
              </w:rPr>
              <w:t>4,485</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(69,609)</w:t>
            </w: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400" w:top="1052" w:right="41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STOCKHOLDERS' EQUITY</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ectPr>
          <w:pgSz w:w="11900" w:h="16838" w:orient="portrait"/>
          <w:cols w:equalWidth="0" w:num="1">
            <w:col w:w="11260"/>
          </w:cols>
          <w:pgMar w:left="320" w:top="854" w:right="319" w:bottom="1440" w:gutter="0" w:footer="0" w:header="0"/>
        </w:sect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720" w:type="dxa"/>
            <w:vAlign w:val="bottom"/>
          </w:tcPr>
          <w:p>
            <w:pPr>
              <w:spacing w:after="0"/>
              <w:rPr>
                <w:sz w:val="10"/>
                <w:szCs w:val="10"/>
                <w:color w:val="auto"/>
              </w:rPr>
            </w:pP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0"/>
                <w:szCs w:val="10"/>
                <w:color w:val="auto"/>
              </w:rPr>
            </w:pPr>
          </w:p>
        </w:tc>
      </w:tr>
      <w:tr>
        <w:trPr>
          <w:trHeight w:val="143"/>
        </w:trPr>
        <w:tc>
          <w:tcPr>
            <w:tcW w:w="272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3"/>
        </w:trPr>
        <w:tc>
          <w:tcPr>
            <w:tcW w:w="2720" w:type="dxa"/>
            <w:vAlign w:val="bottom"/>
          </w:tcPr>
          <w:p>
            <w:pPr>
              <w:spacing w:after="0"/>
              <w:rPr>
                <w:sz w:val="10"/>
                <w:szCs w:val="1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0"/>
                <w:szCs w:val="10"/>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0"/>
                <w:szCs w:val="10"/>
                <w:color w:val="auto"/>
              </w:rPr>
            </w:pPr>
          </w:p>
        </w:tc>
      </w:tr>
      <w:tr>
        <w:trPr>
          <w:trHeight w:val="122"/>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19,417</w:t>
            </w: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15,408</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0"/>
                <w:szCs w:val="10"/>
                <w:color w:val="auto"/>
              </w:rPr>
            </w:pPr>
          </w:p>
        </w:tc>
      </w:tr>
      <w:tr>
        <w:trPr>
          <w:trHeight w:val="13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Vesting of restricted stock units, net of shares withheld for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Class B common stock to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Issuance of restricted stock awards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41"/>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r>
      <w:tr>
        <w:trPr>
          <w:trHeight w:val="123"/>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20,569</w:t>
            </w: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14,746</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0"/>
                <w:szCs w:val="10"/>
                <w:color w:val="auto"/>
              </w:rPr>
            </w:pPr>
          </w:p>
        </w:tc>
      </w:tr>
      <w:tr>
        <w:trPr>
          <w:trHeight w:val="13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Vesting of restricted stock units, net of shares withheld for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Class B common stock to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Issuance of restricted stock awards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41"/>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r>
      <w:tr>
        <w:trPr>
          <w:trHeight w:val="123"/>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31,2023</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21,749</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14,116</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Vesting of restricted stock units, net of shares withheld for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Class B common stock to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41"/>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23,241</w:t>
            </w: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13,163</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20"/>
        </w:trPr>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-1925320</wp:posOffset>
            </wp:positionV>
            <wp:extent cx="7149465"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-1753870</wp:posOffset>
            </wp:positionV>
            <wp:extent cx="7149465"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-1582420</wp:posOffset>
            </wp:positionV>
            <wp:extent cx="7149465"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-1233805</wp:posOffset>
            </wp:positionV>
            <wp:extent cx="7149465"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-1062355</wp:posOffset>
            </wp:positionV>
            <wp:extent cx="7149465"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-890905</wp:posOffset>
            </wp:positionV>
            <wp:extent cx="7149465"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-542290</wp:posOffset>
            </wp:positionV>
            <wp:extent cx="7149465"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7149465"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-199390</wp:posOffset>
            </wp:positionV>
            <wp:extent cx="7149465"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-719455</wp:posOffset>
            </wp:positionV>
            <wp:extent cx="7149465" cy="91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-1410970</wp:posOffset>
            </wp:positionV>
            <wp:extent cx="7149465" cy="91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-2102485</wp:posOffset>
            </wp:positionV>
            <wp:extent cx="7149465" cy="91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w w:val="92"/>
              </w:rPr>
              <w:t>Additional</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4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20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(Loss) Income</w:t>
            </w:r>
          </w:p>
        </w:tc>
        <w:tc>
          <w:tcPr>
            <w:tcW w:w="14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200" w:type="dxa"/>
            <w:vAlign w:val="bottom"/>
          </w:tcPr>
          <w:p>
            <w:pPr>
              <w:spacing w:after="0"/>
              <w:rPr>
                <w:sz w:val="12"/>
                <w:szCs w:val="12"/>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20" w:type="dxa"/>
            <w:vAlign w:val="bottom"/>
          </w:tcPr>
          <w:p>
            <w:pPr>
              <w:spacing w:after="0"/>
              <w:rPr>
                <w:sz w:val="12"/>
                <w:szCs w:val="12"/>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171,930</w:t>
            </w: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(25,756)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151,397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297,381</w:t>
            </w:r>
          </w:p>
        </w:tc>
        <w:tc>
          <w:tcPr>
            <w:tcW w:w="0" w:type="dxa"/>
            <w:vAlign w:val="bottom"/>
          </w:tcPr>
          <w:p>
            <w:pPr>
              <w:spacing w:after="0"/>
              <w:rPr>
                <w:sz w:val="1"/>
                <w:szCs w:val="1"/>
                <w:color w:val="auto"/>
              </w:rPr>
            </w:pPr>
          </w:p>
        </w:tc>
      </w:tr>
      <w:tr>
        <w:trPr>
          <w:trHeight w:val="130"/>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4,474</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4,474</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43,937</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43,937</w:t>
            </w:r>
          </w:p>
        </w:tc>
        <w:tc>
          <w:tcPr>
            <w:tcW w:w="0" w:type="dxa"/>
            <w:vAlign w:val="bottom"/>
          </w:tcPr>
          <w:p>
            <w:pPr>
              <w:spacing w:after="0"/>
              <w:rPr>
                <w:sz w:val="1"/>
                <w:szCs w:val="1"/>
                <w:color w:val="auto"/>
              </w:rPr>
            </w:pPr>
          </w:p>
        </w:tc>
      </w:tr>
      <w:tr>
        <w:trPr>
          <w:trHeight w:val="135"/>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(10,637)</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(10,637)</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(1,490)</w:t>
            </w:r>
          </w:p>
        </w:tc>
        <w:tc>
          <w:tcPr>
            <w:tcW w:w="0" w:type="dxa"/>
            <w:vAlign w:val="bottom"/>
          </w:tcPr>
          <w:p>
            <w:pPr>
              <w:spacing w:after="0"/>
              <w:rPr>
                <w:sz w:val="1"/>
                <w:szCs w:val="1"/>
                <w:color w:val="auto"/>
              </w:rPr>
            </w:pPr>
          </w:p>
        </w:tc>
      </w:tr>
      <w:tr>
        <w:trPr>
          <w:trHeight w:val="141"/>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(68,119)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(68,119)</w:t>
            </w:r>
          </w:p>
        </w:tc>
        <w:tc>
          <w:tcPr>
            <w:tcW w:w="0" w:type="dxa"/>
            <w:vAlign w:val="bottom"/>
          </w:tcPr>
          <w:p>
            <w:pPr>
              <w:spacing w:after="0"/>
              <w:rPr>
                <w:sz w:val="1"/>
                <w:szCs w:val="1"/>
                <w:color w:val="auto"/>
              </w:rPr>
            </w:pPr>
          </w:p>
        </w:tc>
      </w:tr>
      <w:tr>
        <w:trPr>
          <w:trHeight w:val="123"/>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209,704</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(1,684)</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(25,756)</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83,278</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265,546</w:t>
            </w:r>
          </w:p>
        </w:tc>
        <w:tc>
          <w:tcPr>
            <w:tcW w:w="0" w:type="dxa"/>
            <w:vAlign w:val="bottom"/>
          </w:tcPr>
          <w:p>
            <w:pPr>
              <w:spacing w:after="0"/>
              <w:rPr>
                <w:sz w:val="1"/>
                <w:szCs w:val="1"/>
                <w:color w:val="auto"/>
              </w:rPr>
            </w:pPr>
          </w:p>
        </w:tc>
      </w:tr>
      <w:tr>
        <w:trPr>
          <w:trHeight w:val="130"/>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2,595</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2,595</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53,240</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53,240</w:t>
            </w:r>
          </w:p>
        </w:tc>
        <w:tc>
          <w:tcPr>
            <w:tcW w:w="0" w:type="dxa"/>
            <w:vAlign w:val="bottom"/>
          </w:tcPr>
          <w:p>
            <w:pPr>
              <w:spacing w:after="0"/>
              <w:rPr>
                <w:sz w:val="1"/>
                <w:szCs w:val="1"/>
                <w:color w:val="auto"/>
              </w:rPr>
            </w:pPr>
          </w:p>
        </w:tc>
      </w:tr>
      <w:tr>
        <w:trPr>
          <w:trHeight w:val="135"/>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(28,554)</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(28,554)</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1,783</w:t>
            </w:r>
          </w:p>
        </w:tc>
        <w:tc>
          <w:tcPr>
            <w:tcW w:w="0" w:type="dxa"/>
            <w:vAlign w:val="bottom"/>
          </w:tcPr>
          <w:p>
            <w:pPr>
              <w:spacing w:after="0"/>
              <w:rPr>
                <w:sz w:val="1"/>
                <w:szCs w:val="1"/>
                <w:color w:val="auto"/>
              </w:rPr>
            </w:pPr>
          </w:p>
        </w:tc>
      </w:tr>
      <w:tr>
        <w:trPr>
          <w:trHeight w:val="141"/>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2,702</w:t>
            </w:r>
          </w:p>
        </w:tc>
        <w:tc>
          <w:tcPr>
            <w:tcW w:w="0" w:type="dxa"/>
            <w:vAlign w:val="bottom"/>
          </w:tcPr>
          <w:p>
            <w:pPr>
              <w:spacing w:after="0"/>
              <w:rPr>
                <w:sz w:val="1"/>
                <w:szCs w:val="1"/>
                <w:color w:val="auto"/>
              </w:rPr>
            </w:pPr>
          </w:p>
        </w:tc>
      </w:tr>
      <w:tr>
        <w:trPr>
          <w:trHeight w:val="123"/>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236,985</w:t>
            </w:r>
          </w:p>
        </w:tc>
        <w:tc>
          <w:tcPr>
            <w:tcW w:w="1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(25,756)</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85,980</w:t>
            </w:r>
          </w:p>
        </w:tc>
        <w:tc>
          <w:tcPr>
            <w:tcW w:w="80" w:type="dxa"/>
            <w:vAlign w:val="bottom"/>
          </w:tcPr>
          <w:p>
            <w:pPr>
              <w:spacing w:after="0"/>
              <w:rPr>
                <w:sz w:val="10"/>
                <w:szCs w:val="10"/>
                <w:color w:val="auto"/>
              </w:rPr>
            </w:pPr>
          </w:p>
        </w:tc>
        <w:tc>
          <w:tcPr>
            <w:tcW w:w="2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297,312</w:t>
            </w:r>
          </w:p>
        </w:tc>
        <w:tc>
          <w:tcPr>
            <w:tcW w:w="0" w:type="dxa"/>
            <w:vAlign w:val="bottom"/>
          </w:tcPr>
          <w:p>
            <w:pPr>
              <w:spacing w:after="0"/>
              <w:rPr>
                <w:sz w:val="1"/>
                <w:szCs w:val="1"/>
                <w:color w:val="auto"/>
              </w:rPr>
            </w:pPr>
          </w:p>
        </w:tc>
      </w:tr>
      <w:tr>
        <w:trPr>
          <w:trHeight w:val="130"/>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3,924</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3,924</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61,239</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61,239</w:t>
            </w:r>
          </w:p>
        </w:tc>
        <w:tc>
          <w:tcPr>
            <w:tcW w:w="0" w:type="dxa"/>
            <w:vAlign w:val="bottom"/>
          </w:tcPr>
          <w:p>
            <w:pPr>
              <w:spacing w:after="0"/>
              <w:rPr>
                <w:sz w:val="1"/>
                <w:szCs w:val="1"/>
                <w:color w:val="auto"/>
              </w:rPr>
            </w:pPr>
          </w:p>
        </w:tc>
      </w:tr>
      <w:tr>
        <w:trPr>
          <w:trHeight w:val="135"/>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(47,327)</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(47,327)</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0" w:type="dxa"/>
            <w:vAlign w:val="bottom"/>
          </w:tcPr>
          <w:p>
            <w:pPr>
              <w:spacing w:after="0"/>
              <w:rPr>
                <w:sz w:val="1"/>
                <w:szCs w:val="1"/>
                <w:color w:val="auto"/>
              </w:rPr>
            </w:pPr>
          </w:p>
        </w:tc>
      </w:tr>
      <w:tr>
        <w:trPr>
          <w:trHeight w:val="141"/>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204,068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204,068</w:t>
            </w:r>
          </w:p>
        </w:tc>
        <w:tc>
          <w:tcPr>
            <w:tcW w:w="0" w:type="dxa"/>
            <w:vAlign w:val="bottom"/>
          </w:tcPr>
          <w:p>
            <w:pPr>
              <w:spacing w:after="0"/>
              <w:rPr>
                <w:sz w:val="1"/>
                <w:szCs w:val="1"/>
                <w:color w:val="auto"/>
              </w:rPr>
            </w:pPr>
          </w:p>
        </w:tc>
      </w:tr>
      <w:tr>
        <w:trPr>
          <w:trHeight w:val="129"/>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254,821</w:t>
            </w: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(25,756)</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290,048</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519,290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-22225</wp:posOffset>
            </wp:positionV>
            <wp:extent cx="5772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-5080</wp:posOffset>
            </wp:positionV>
            <wp:extent cx="5772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-113665</wp:posOffset>
            </wp:positionV>
            <wp:extent cx="5772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-2193925</wp:posOffset>
            </wp:positionV>
            <wp:extent cx="5772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7215" cy="571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940" w:space="180"/>
            <w:col w:w="5140"/>
          </w:cols>
          <w:pgMar w:left="320" w:top="85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854" w:right="319" w:bottom="1440" w:gutter="0" w:footer="0" w:header="0"/>
          <w:type w:val="continuous"/>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APPFOLIO, INC.</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2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34"/>
        </w:trPr>
        <w:tc>
          <w:tcPr>
            <w:tcW w:w="72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25"/>
        </w:trPr>
        <w:tc>
          <w:tcPr>
            <w:tcW w:w="7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from operating activities</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204,068</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2,702</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(68,119)</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17,790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30,820</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operating lease right-of-use assets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3,187</w:t>
            </w: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Impairment, net</w:t>
            </w:r>
          </w:p>
        </w:tc>
        <w:tc>
          <w:tcPr>
            <w:tcW w:w="8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22,022</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Gain on lease modification</w:t>
            </w:r>
          </w:p>
        </w:tc>
        <w:tc>
          <w:tcPr>
            <w:tcW w:w="8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Deferred income taxes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Stock-based compensation, including as amortized</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62,081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54,852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43,234</w:t>
            </w: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Gain on sale of business</w:t>
            </w:r>
          </w:p>
        </w:tc>
        <w:tc>
          <w:tcPr>
            <w:tcW w:w="8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(4,156)</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(8,220)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Accounts receivable</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(4,198)</w:t>
            </w:r>
          </w:p>
        </w:tc>
      </w:tr>
      <w:tr>
        <w:trPr>
          <w:trHeight w:val="142"/>
        </w:trPr>
        <w:tc>
          <w:tcPr>
            <w:tcW w:w="720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(13,493)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(7,281)</w:t>
            </w:r>
          </w:p>
        </w:tc>
      </w:tr>
      <w:tr>
        <w:trPr>
          <w:trHeight w:val="14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Accounts payable</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w:t>
            </w:r>
          </w:p>
        </w:tc>
      </w:tr>
      <w:tr>
        <w:trPr>
          <w:trHeight w:val="142"/>
        </w:trPr>
        <w:tc>
          <w:tcPr>
            <w:tcW w:w="720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(2,524)</w:t>
            </w:r>
          </w:p>
        </w:tc>
      </w:tr>
      <w:tr>
        <w:trPr>
          <w:trHeight w:val="14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8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(11,812)</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3,744</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12,062</w:t>
            </w:r>
          </w:p>
        </w:tc>
      </w:tr>
      <w:tr>
        <w:trPr>
          <w:trHeight w:val="131"/>
        </w:trPr>
        <w:tc>
          <w:tcPr>
            <w:tcW w:w="7200" w:type="dxa"/>
            <w:vAlign w:val="bottom"/>
          </w:tcPr>
          <w:p>
            <w:pPr>
              <w:ind w:left="74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188,159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60,283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25,365</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from investing activities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Purchases of available-for-sale investments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(317,173)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(195,740)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(79,279)</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sales of available-for-sale investments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9,984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maturities of available-for-sale investments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240,035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152,382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87,883</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(6,540)</w:t>
            </w: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Capitalization of software development costs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(14,688)</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sale of business, net of cash divested</w:t>
            </w:r>
          </w:p>
        </w:tc>
        <w:tc>
          <w:tcPr>
            <w:tcW w:w="8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5,124</w:t>
            </w: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equity-method investment</w:t>
            </w:r>
          </w:p>
        </w:tc>
        <w:tc>
          <w:tcPr>
            <w:tcW w:w="8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in business acquisition, net of cash acquired</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(77,421)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7200" w:type="dxa"/>
            <w:vAlign w:val="bottom"/>
            <w:tcBorders>
              <w:bottom w:val="single" w:sz="8" w:color="CCEEFF"/>
            </w:tcBorders>
          </w:tcPr>
          <w:p>
            <w:pPr>
              <w:ind w:left="740"/>
              <w:spacing w:after="0" w:line="121"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(151,761)</w:t>
            </w: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(55,582)</w:t>
            </w: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(6,466)</w:t>
            </w:r>
          </w:p>
        </w:tc>
      </w:tr>
      <w:tr>
        <w:trPr>
          <w:trHeight w:val="126"/>
        </w:trPr>
        <w:tc>
          <w:tcPr>
            <w:tcW w:w="7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Cash from financing activities</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stock option exercises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4,474</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withholding for net share settlement</w:t>
            </w:r>
          </w:p>
        </w:tc>
        <w:tc>
          <w:tcPr>
            <w:tcW w:w="8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(28,556)</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(10,637)</w:t>
            </w:r>
          </w:p>
        </w:tc>
      </w:tr>
      <w:tr>
        <w:trPr>
          <w:trHeight w:val="131"/>
        </w:trPr>
        <w:tc>
          <w:tcPr>
            <w:tcW w:w="7200" w:type="dxa"/>
            <w:vAlign w:val="bottom"/>
            <w:tcBorders>
              <w:bottom w:val="single" w:sz="8" w:color="CCEEFF"/>
            </w:tcBorders>
          </w:tcPr>
          <w:p>
            <w:pPr>
              <w:ind w:left="74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(43,403)</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(25,961)</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(6,163)</w:t>
            </w:r>
          </w:p>
        </w:tc>
      </w:tr>
      <w:tr>
        <w:trPr>
          <w:trHeight w:val="135"/>
        </w:trPr>
        <w:tc>
          <w:tcPr>
            <w:tcW w:w="7200" w:type="dxa"/>
            <w:vAlign w:val="bottom"/>
            <w:shd w:val="clear" w:color="auto" w:fill="CCEEFF"/>
          </w:tcPr>
          <w:p>
            <w:pPr>
              <w:ind w:left="740"/>
              <w:spacing w:after="0" w:line="122" w:lineRule="exact"/>
              <w:rPr>
                <w:sz w:val="20"/>
                <w:szCs w:val="20"/>
                <w:color w:val="auto"/>
              </w:rPr>
            </w:pPr>
            <w:r>
              <w:rPr>
                <w:rFonts w:ascii="Times New Roman" w:cs="Times New Roman" w:eastAsia="Times New Roman" w:hAnsi="Times New Roman"/>
                <w:sz w:val="11"/>
                <w:szCs w:val="11"/>
                <w:color w:val="auto"/>
              </w:rPr>
              <w:t>Net (decrease) increase in cash, cash equivalents and restricted cash</w:t>
            </w: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(21,260)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12,736</w:t>
            </w:r>
          </w:p>
        </w:tc>
      </w:tr>
      <w:tr>
        <w:trPr>
          <w:trHeight w:val="143"/>
        </w:trPr>
        <w:tc>
          <w:tcPr>
            <w:tcW w:w="7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5"/>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Beginning of period</w:t>
            </w:r>
          </w:p>
        </w:tc>
        <w:tc>
          <w:tcPr>
            <w:tcW w:w="8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49,759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71,019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58,283</w:t>
            </w:r>
          </w:p>
        </w:tc>
      </w:tr>
      <w:tr>
        <w:trPr>
          <w:trHeight w:val="131"/>
        </w:trPr>
        <w:tc>
          <w:tcPr>
            <w:tcW w:w="72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End of period</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42,754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49,759</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71,019</w:t>
            </w:r>
          </w:p>
        </w:tc>
      </w:tr>
      <w:tr>
        <w:trPr>
          <w:trHeight w:val="126"/>
        </w:trPr>
        <w:tc>
          <w:tcPr>
            <w:tcW w:w="7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at end of period:</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42,504</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49,509</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70,769</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cash included in prepaid expenses and other current assets</w:t>
            </w:r>
          </w:p>
        </w:tc>
        <w:tc>
          <w:tcPr>
            <w:tcW w:w="8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r>
      <w:tr>
        <w:trPr>
          <w:trHeight w:val="131"/>
        </w:trPr>
        <w:tc>
          <w:tcPr>
            <w:tcW w:w="72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Total cash, cash equivalents and restricted cash shown in the consolidated statements of cash flows</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42,754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49,759</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71,019</w:t>
            </w:r>
          </w:p>
        </w:tc>
      </w:tr>
      <w:tr>
        <w:trPr>
          <w:trHeight w:val="126"/>
        </w:trPr>
        <w:tc>
          <w:tcPr>
            <w:tcW w:w="7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14,022</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8,086</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3,338</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for amounts included in the measurement of lease liabilities included in operating cash flows</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3,933</w:t>
            </w:r>
          </w:p>
        </w:tc>
      </w:tr>
    </w:tbl>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2" w:right="2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AUDITED FINANCIAL STATEMENTS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 Nature of Business</w:t>
      </w:r>
    </w:p>
    <w:p>
      <w:pPr>
        <w:spacing w:after="0" w:line="8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AppFolio, Inc. ("we," "us" or "our") is a technology leader powering the future of the real estate industry.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pacing w:after="0" w:line="107" w:lineRule="exact"/>
        <w:rPr>
          <w:sz w:val="20"/>
          <w:szCs w:val="20"/>
          <w:color w:val="auto"/>
        </w:rPr>
      </w:pPr>
    </w:p>
    <w:p>
      <w:pPr>
        <w:ind w:left="420" w:right="8900" w:hanging="398"/>
        <w:spacing w:after="0" w:line="379" w:lineRule="auto"/>
        <w:tabs>
          <w:tab w:leader="none" w:pos="138"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Summary of Significant Accounting Policies </w:t>
      </w:r>
      <w:r>
        <w:rPr>
          <w:rFonts w:ascii="Times New Roman" w:cs="Times New Roman" w:eastAsia="Times New Roman" w:hAnsi="Times New Roman"/>
          <w:sz w:val="12"/>
          <w:szCs w:val="12"/>
          <w:b w:val="1"/>
          <w:bCs w:val="1"/>
          <w:i w:val="1"/>
          <w:iCs w:val="1"/>
          <w:color w:val="auto"/>
        </w:rPr>
        <w:t>Basis of Presentation</w:t>
      </w:r>
    </w:p>
    <w:p>
      <w:pPr>
        <w:ind w:left="4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accompanying Consolidated Financial Statements were prepared in accordance with accounting principles generally accepted in the United States of America (“GAAP”).</w:t>
      </w:r>
    </w:p>
    <w:p>
      <w:pPr>
        <w:spacing w:after="0" w:line="74" w:lineRule="exact"/>
        <w:rPr>
          <w:rFonts w:ascii="Times New Roman" w:cs="Times New Roman" w:eastAsia="Times New Roman" w:hAnsi="Times New Roman"/>
          <w:sz w:val="12"/>
          <w:szCs w:val="12"/>
          <w:b w:val="1"/>
          <w:bCs w:val="1"/>
          <w:color w:val="auto"/>
        </w:rPr>
      </w:pPr>
    </w:p>
    <w:p>
      <w:pPr>
        <w:ind w:left="4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Reclassification</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reclassified certain amounts in our Consolidated Balance Sheet and Consolidated Statements of Cash Flows within the cash flows from operating activities section in the prior year. We made those changes to conform to the current year's presentation.</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accompanying Consolidated Financial Statements include the operations of AppFolio, Inc. and its wholly owned subsidiaries. All intercompany balances and transactions have been eliminated in consolidation.</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the fair value of financial instruments, useful lives of property and equipment and intangible assets, capitalized software development costs, incremental borrowing rate applied in lease accounting, impairment of goodwill and long-lived assets, the period of benefit associated with deferred costs, stock-based compensation, income taxes, and contingencies. Actual results could differ from those estimates and any such differences may have a material impact on our Consolidated Financial Statements.</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years ended December 31, 2024, 2023, and 2022, refer to our Consolidated Statements of Operations. Stock-based compensation expense is also recognized as a significant segment expense. Details regarding this expense for the years ended December 31, 2024, 2023, and 2022 was included in the parenthetical note to the respective Consolidated Statements of Operations.</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Concentrations of Credit Risk</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Financial instruments that potentially subject us to credit risk consist principally of cash, cash equivalents, restricted cash, accounts receivable, and investment securities. We maintain cash balances at financial institutions in excess of amounts insured by United States government agencies or payable by the United States government directly. We place our cash with high credit, quality financial institutions. We invest in investment securities with a minimum rating of A by Standard &amp; Poor's or A-1 by Moody's and regularly monitor our investment security portfolio for changes in credit ratings.</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Concentrations of credit risk with respect to accounts receivable and revenue are limited due to a large, diverse customer base. As of December 31, 2024, (i) no individual customer exceeded 10% of our total revenues in any of the periods presented, and (ii) 25% of our accounts receivable balance was attributable to amounts due from a risk mitigation provider. For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color w:val="auto"/>
        </w:rPr>
        <w:t>purposes of assessing concentration of credit risk and significant customers, a group of residents that are receiving services from a third party that controls and transfers the specified services are regarded as one single customer.</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results of a business acquired in a business combination are included in our Consolidated Financial Statements from the date of acquisition. We allocate the purchase price to the identifiable assets and liabilities of the acquired business at their acquisition date fair values. The excess of the purchase price over the amount allocated to the identifiable assets and liabilities, if any, is recorded as goodwill.</w:t>
      </w:r>
    </w:p>
    <w:p>
      <w:pPr>
        <w:spacing w:after="0" w:line="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Determining the fair value of assets acquired and liabilities assumed requires management to make significant judgments and estimates, including the selection of valuation methodologies and assumptions. Critical estimates used in valuing certain intangible assets include, but are not limited to, development costs, the time required to recreate the assets and profit margin a market participant would receive, and rate of return. These estimates are based on information obtained from the management of the acquired companies, our assessment of the information, and historical experience. Our estimates of fair value are based upon assumptions believed to be reasonable, but which are inherently uncertain and unpredictable and, as a result, actual results may differ from estimates. During the measurement period of up to one year from the acquisition date, we may record adjustments to the preliminary fair value of the assets acquired and liabilities assumed with a corresponding offset to goodwill for these business combinations.</w:t>
      </w:r>
    </w:p>
    <w:p>
      <w:pPr>
        <w:spacing w:after="0" w:line="53" w:lineRule="exact"/>
        <w:rPr>
          <w:sz w:val="20"/>
          <w:szCs w:val="20"/>
          <w:color w:val="auto"/>
        </w:rPr>
      </w:pPr>
    </w:p>
    <w:p>
      <w:pPr>
        <w:ind w:left="420" w:right="1780"/>
        <w:spacing w:after="0" w:line="375" w:lineRule="auto"/>
        <w:rPr>
          <w:sz w:val="20"/>
          <w:szCs w:val="20"/>
          <w:color w:val="auto"/>
        </w:rPr>
      </w:pPr>
      <w:r>
        <w:rPr>
          <w:rFonts w:ascii="Times New Roman" w:cs="Times New Roman" w:eastAsia="Times New Roman" w:hAnsi="Times New Roman"/>
          <w:sz w:val="12"/>
          <w:szCs w:val="12"/>
          <w:color w:val="auto"/>
        </w:rPr>
        <w:t xml:space="preserve">Acquisition-related transaction costs are not included as a component of consideration transferred, but are accounted for as an operating expense in the period in which the costs are incurred. </w:t>
      </w:r>
      <w:r>
        <w:rPr>
          <w:rFonts w:ascii="Times New Roman" w:cs="Times New Roman" w:eastAsia="Times New Roman" w:hAnsi="Times New Roman"/>
          <w:sz w:val="12"/>
          <w:szCs w:val="12"/>
          <w:b w:val="1"/>
          <w:bCs w:val="1"/>
          <w:i w:val="1"/>
          <w:iCs w:val="1"/>
          <w:color w:val="auto"/>
        </w:rPr>
        <w:t>Fair Value Measurements</w:t>
      </w:r>
    </w:p>
    <w:p>
      <w:pPr>
        <w:spacing w:after="0" w:line="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We use a fair value hierarchy based on three levels of inputs, of which the first two are considered observable and the last unobservable, that may be used to measure fair value, which are the following:</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 xml:space="preserve">Level 1 </w:t>
      </w:r>
      <w:r>
        <w:rPr>
          <w:rFonts w:ascii="Times New Roman" w:cs="Times New Roman" w:eastAsia="Times New Roman" w:hAnsi="Times New Roman"/>
          <w:sz w:val="12"/>
          <w:szCs w:val="12"/>
          <w:color w:val="auto"/>
        </w:rPr>
        <w:t>- Quoted prices in active markets for identical assets or liabilities.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 xml:space="preserve">Level 2 </w:t>
      </w:r>
      <w:r>
        <w:rPr>
          <w:rFonts w:ascii="Times New Roman" w:cs="Times New Roman" w:eastAsia="Times New Roman" w:hAnsi="Times New Roman"/>
          <w:sz w:val="12"/>
          <w:szCs w:val="12"/>
          <w:color w:val="auto"/>
        </w:rPr>
        <w:t>- Inputs other than Level 1 that are observable, either directly or indirectly, in the marketplace.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 xml:space="preserve">Level 3 </w:t>
      </w:r>
      <w:r>
        <w:rPr>
          <w:rFonts w:ascii="Times New Roman" w:cs="Times New Roman" w:eastAsia="Times New Roman" w:hAnsi="Times New Roman"/>
          <w:sz w:val="12"/>
          <w:szCs w:val="12"/>
          <w:color w:val="auto"/>
        </w:rPr>
        <w:t>- Unobservable inputs that are supported by little or no market activity.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Cash Equivalents and Restricted Cash</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consider all highly liquid investments, readily convertible to cash, and which have a remaining maturity date of three months or less at the date of purchase, to be cash equivalents. Cash and cash equivalents are recorded at fair value and consist primarily of bank deposits, and money market funds.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Investment Securities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investment securities currently consist of United States government and agency securities. We classify investment securities as available-for-sale at the time of purchase and reevaluate such classification at each balance sheet date. All investments are recorded at estimated fair value and investments with original maturities of less than one year at the time of purchase are classified as short-term. Unrealized gains and losses for available-for-sale investment securities are included in accumulated other comprehensive income, a component of stockholders' equity.</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December 31, 2024 and 2023.</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Accounts Receivable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Accounts receivable are recorded at the invoiced amount, net of an allowance for credit losses. The allowance for credit losses is based on historical loss experience, the number of days that receivables are past due, and an evaluation of the potential risk of loss associated with delinquent accounts. Accounts receivable considered uncollectible are charged against the allowance for credit losses when identified. We do not have any off-balance sheet credit exposure related to our customers. As of December 31, 2024 and 2023, our allowance for credit losses was not material.</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43" w:name="page44"/>
    <w:bookmarkEnd w:id="43"/>
    <w:p>
      <w:pPr>
        <w:ind w:left="420"/>
        <w:spacing w:after="0"/>
        <w:rPr>
          <w:sz w:val="20"/>
          <w:szCs w:val="20"/>
          <w:color w:val="auto"/>
        </w:rPr>
      </w:pPr>
      <w:r>
        <w:rPr>
          <w:rFonts w:ascii="Times New Roman" w:cs="Times New Roman" w:eastAsia="Times New Roman" w:hAnsi="Times New Roman"/>
          <w:sz w:val="12"/>
          <w:szCs w:val="12"/>
          <w:color w:val="auto"/>
        </w:rPr>
        <w:t>Property and equipment is stated at cost net of accumulated depreciation. Depreciation is calculated using the straight-line method over the estimated useful lives of assets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20" w:type="dxa"/>
            <w:vAlign w:val="bottom"/>
            <w:gridSpan w:val="2"/>
          </w:tcPr>
          <w:p>
            <w:pPr>
              <w:ind w:left="2460"/>
              <w:spacing w:after="0"/>
              <w:rPr>
                <w:sz w:val="20"/>
                <w:szCs w:val="20"/>
                <w:color w:val="auto"/>
              </w:rPr>
            </w:pPr>
            <w:r>
              <w:rPr>
                <w:rFonts w:ascii="Times New Roman" w:cs="Times New Roman" w:eastAsia="Times New Roman" w:hAnsi="Times New Roman"/>
                <w:sz w:val="12"/>
                <w:szCs w:val="12"/>
                <w:b w:val="1"/>
                <w:bCs w:val="1"/>
                <w:color w:val="auto"/>
              </w:rPr>
              <w:t>Asset Type</w:t>
            </w: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Depreciation Period</w:t>
            </w:r>
          </w:p>
        </w:tc>
      </w:tr>
      <w:tr>
        <w:trPr>
          <w:trHeight w:val="142"/>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340" w:type="dxa"/>
            <w:vAlign w:val="bottom"/>
            <w:tcBorders>
              <w:top w:val="single" w:sz="8" w:color="CCEEFF"/>
            </w:tcBorders>
            <w:shd w:val="clear" w:color="auto" w:fill="CCEEFF"/>
          </w:tcPr>
          <w:p>
            <w:pPr>
              <w:spacing w:after="0"/>
              <w:rPr>
                <w:sz w:val="12"/>
                <w:szCs w:val="12"/>
                <w:color w:val="auto"/>
              </w:rPr>
            </w:pPr>
          </w:p>
        </w:tc>
        <w:tc>
          <w:tcPr>
            <w:tcW w:w="5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r>
        <w:trPr>
          <w:trHeight w:val="153"/>
        </w:trPr>
        <w:tc>
          <w:tcPr>
            <w:tcW w:w="5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 years</w:t>
            </w:r>
          </w:p>
        </w:tc>
      </w:tr>
      <w:tr>
        <w:trPr>
          <w:trHeight w:val="153"/>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equipment</w:t>
            </w:r>
          </w:p>
        </w:tc>
        <w:tc>
          <w:tcPr>
            <w:tcW w:w="5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 to 5 years</w:t>
            </w:r>
          </w:p>
        </w:tc>
      </w:tr>
      <w:tr>
        <w:trPr>
          <w:trHeight w:val="155"/>
        </w:trPr>
        <w:tc>
          <w:tcPr>
            <w:tcW w:w="5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Shorter of remaining life of lease or asset life</w:t>
            </w:r>
          </w:p>
        </w:tc>
      </w:tr>
    </w:tbl>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determine if an arrangement is a lease at inception. Operating lease right-of-use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to the lessor before or at the lease commencement date and excludes lease incentives received and initial direct costs incurred. Our lease terms may include options to extend the lease when it is reasonably certain that we will exercise that option.</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Lease expense for minimum lease payments is recognized on a straight-line basis over the lease term. We have lease arrangements with lease and non-lease components, which are generally accounted for as a single lease component. Leases with an initial term of twelve months or less are not recorded on the balance sheet; we recognize lease expense for these leases on a straight-line basis over the lease term.</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Capitalized Software Development Costs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Software development costs consist of certain payroll and stock-based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license, or lease our software to third parties.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Goodwill and Intangible Assets, Net</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Goodwill is tested for impairment at least annually at the reporting unit level or at other times whenever events or changes in circumstances indicate that goodwill might be impaired. A qualitative assessment is performed to determine whether it is more likely than not that the fair value of its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that the reporting unit’s carrying value exceeds its fair value.</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test for goodwill impairment annually during the fourth quarter of the calendar year. Based on the annual assessment performed at November 1, 2024, we determined it was not more likely than not that our reporting unit fair value was less than its carrying value and no quantitative impairment test assessment was required. No impairment losses were recorded for goodwill during the years ended December 31, 2024, 2023 and 2022.</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Intangible assets primarily consist of customer relationships, developed technology, acquired database, domain names and patents, which are recorded at cost, less accumulated amortization. We determine the appropriate useful life of our intangible 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We assess the recoverability of our long-lived assets when events or changes in circumstances indicate that the carrying value of an asset may not be recoverable. Recoverability is measured by comparing the carrying amount of the asset or asset group to the future undiscounted cash flows we expect the asset or asset group to generate. Any excess of the carrying value of the asset or asset group above its fair value is recognized as an impairment loss. We recorded net lease-related impairment charges of $22.0 million for the year ended December 31, 2022. Refer to Note 11,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for additional information. There were no impairment charges related to the identified long-lived assets for the years ended December 31, 2024 and 2023.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44" w:name="page45"/>
    <w:bookmarkEnd w:id="44"/>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We generate revenue from our customers primarily for subscriptions to access our core solutions and Value Added Services.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We recognize revenue in proportion to the amount that we have the right to invoice for certain core solutions and Value Added Services, as that amount corresponds directly with our performance completed to date. Refer to Note 16, </w:t>
      </w:r>
      <w:r>
        <w:rPr>
          <w:rFonts w:ascii="Times New Roman" w:cs="Times New Roman" w:eastAsia="Times New Roman" w:hAnsi="Times New Roman"/>
          <w:sz w:val="12"/>
          <w:szCs w:val="12"/>
          <w:i w:val="1"/>
          <w:iCs w:val="1"/>
          <w:color w:val="auto"/>
        </w:rPr>
        <w:t>Revenue and Other Information</w:t>
      </w:r>
      <w:r>
        <w:rPr>
          <w:rFonts w:ascii="Times New Roman" w:cs="Times New Roman" w:eastAsia="Times New Roman" w:hAnsi="Times New Roman"/>
          <w:sz w:val="12"/>
          <w:szCs w:val="12"/>
          <w:color w:val="auto"/>
        </w:rPr>
        <w:t xml:space="preserve"> for the disaggregated breakdown of revenue between Core solutions, Value Added Services and Other revenue.</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Core Solutions</w:t>
      </w:r>
    </w:p>
    <w:p>
      <w:pPr>
        <w:spacing w:after="0" w:line="8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charge our customers on a subscription basis for our core solutions. Our customers do not have rights to the underlying software code of our solutions, and, accordingly, we recognize subscription revenue over time on a straight-line basis over the contract term beginning on the date that our service is made available to the customer. The terms of our subscription agreements are monthly, annual, and multiyear and we typically invoice our customers for subscription services in monthly or annual installments, in advance of the subscription period.</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Value Added Services</w:t>
      </w:r>
    </w:p>
    <w:p>
      <w:pPr>
        <w:spacing w:after="0" w:line="8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primarily charge our customers on a usage basis for our Value Added Services.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interchange and payment processing related fees. We generally invoice our customers for usage-based services on a monthly basis or collect the fee at the time of service. We also have certain Value Added Services which are charged on a subscription basis. We typically invoice our customers for subscription-based services in monthly installments, in advance of the subscription period. We recognize revenue for subscription-based services over time on a straight-line basis over the contract term beginning on the date that our service is made available to the customer. Some subscription or usage-based Value Added Services, such as fees for electronic payment services, are paid by either our customers or our customers' stakeholders at the time the services are rendered.</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work with third-party partners to provide certain of our Value Added Services. For these Value Added Services, we evaluate whether we are the principal, and report revenue on a gross basis, or the agent, and report revenue on a net basis. In this assessment we consider if we obtain control of the specified services before they are transferred to the customer, as well as other indicators such as whether we are the party primarily responsible for fulfillment, and whether we have discretion in establishing price.</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Other Revenue</w:t>
      </w:r>
    </w:p>
    <w:p>
      <w:pPr>
        <w:spacing w:after="0" w:line="8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Other revenue include fees from one-time services related to the implementation of our software solutions and other recurring or one-time fees related to our customers who are not otherwise using our core solutions. This includes legacy customers of businesses we have acquired where the customers haven't migrated to our core solutions. The fees for implementation and data migration services are billed upon signing our core subscription contract and are recognized as revenue in the period the service is rendered. Other services are billed when the services rendered are completed and delivered to the customer or billed in advance and deferred over the subscription period.</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Deferred Costs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deferred costs is included within sales and marketing expense in the accompanying Consolidated Statements of Operations.</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Deferred costs were $16.8 million and $15.9 million as of December 31, 2024 and 2023, respectively, of which $9.9 million and $8.7 million, respectively, are included in </w:t>
      </w:r>
      <w:r>
        <w:rPr>
          <w:rFonts w:ascii="Times New Roman" w:cs="Times New Roman" w:eastAsia="Times New Roman" w:hAnsi="Times New Roman"/>
          <w:sz w:val="12"/>
          <w:szCs w:val="12"/>
          <w:i w:val="1"/>
          <w:iCs w:val="1"/>
          <w:color w:val="auto"/>
        </w:rPr>
        <w:t>Prepaid expenses and other current assets</w:t>
      </w:r>
      <w:r>
        <w:rPr>
          <w:rFonts w:ascii="Times New Roman" w:cs="Times New Roman" w:eastAsia="Times New Roman" w:hAnsi="Times New Roman"/>
          <w:sz w:val="12"/>
          <w:szCs w:val="12"/>
          <w:color w:val="auto"/>
        </w:rPr>
        <w:t xml:space="preserve"> and $6.9 million and $7.2 million, respectively, are included in </w:t>
      </w:r>
      <w:r>
        <w:rPr>
          <w:rFonts w:ascii="Times New Roman" w:cs="Times New Roman" w:eastAsia="Times New Roman" w:hAnsi="Times New Roman"/>
          <w:sz w:val="12"/>
          <w:szCs w:val="12"/>
          <w:i w:val="1"/>
          <w:iCs w:val="1"/>
          <w:color w:val="auto"/>
        </w:rPr>
        <w:t>Other long-term assets</w:t>
      </w:r>
      <w:r>
        <w:rPr>
          <w:rFonts w:ascii="Times New Roman" w:cs="Times New Roman" w:eastAsia="Times New Roman" w:hAnsi="Times New Roman"/>
          <w:sz w:val="12"/>
          <w:szCs w:val="12"/>
          <w:color w:val="auto"/>
        </w:rPr>
        <w:t xml:space="preserve"> in the accompanying Consolidated Balance Sheets. Amortization expense for deferred costs was $10.0 million, $9.5 million, and $8.1 million for the years ended December 31, 2024, 2023, and 2022, respectively. For the years ended December 31, 2024 and 2023, no impairments were identified in relation to the costs capitalized for the periods presented.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(Exclusive of Depreciation and Amortization)</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Many of our Value Added Services are facilitated by third-party service providers. Cost of revenue paid to these third-party 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Sales and marketing expense consists of personnel-related costs for our employees focused on sales and marketing (including salaries, sales commissions, cash bonuses,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Advertising expenses were $10.6 million, $8.6 million and $9.2 million for each of the years ended December 31, 2024, 2023 and 2022, respectively, and are expensed as incurred.</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Research and Product Development</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Research and product development expense consists of personnel-related costs for our employees focused on research and product development (including salaries, cash bonuses,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which meet the criteria for capitalization. Amortization of capitalized software development costs is included in depreciation and amortization expense.</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 consists of personnel-related costs for employees in our executive, finance, information technology, human resources, legal, compliance, and administrative organizations (including salaries, cash bonuses, benefits, and stock-based compensation). In addition, general and administrative expense includes fees for third-party professional services (including audit, legal, compliance, and tax services), transaction costs related to business combination, sales of subsidiary businesses, regulatory fines and penalties, other corporate expenses, impairment of long-lived assets, and allocated shared costs.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recognize stock-based compensation expense for restricted stock awards ("RSAs") and restricted stock units ("RSUs") with only service conditions on a straight-line basis over the requisite service period. For RSUs with both service and performance conditions ("PSUs"), compensation cost is recorded on a graded-vesting method, if it is probable that the performance condition will be achieved. Adjustments to compensation expense are made each period based on changes in our estimate of the number of PSUs that are probable of vesting. PSUs will vest on the vesting date and upon achievement of the relevant performance metric once such calculation is finalized in accordance with our internal policies. We estimate a forfeiture rate to calculate our stock-based compensation expense for our stock-based awards.</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We recognize deferred tax liabilities and assets for the expected future tax consequences of temporary differences between the carrying amounts and the tax basis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46" w:name="page47"/>
    <w:bookmarkEnd w:id="46"/>
    <w:p>
      <w:pPr>
        <w:jc w:val="both"/>
        <w:spacing w:after="0" w:line="265" w:lineRule="auto"/>
        <w:rPr>
          <w:sz w:val="20"/>
          <w:szCs w:val="20"/>
          <w:color w:val="auto"/>
        </w:rPr>
      </w:pPr>
      <w:r>
        <w:rPr>
          <w:rFonts w:ascii="Times New Roman" w:cs="Times New Roman" w:eastAsia="Times New Roman" w:hAnsi="Times New Roman"/>
          <w:sz w:val="12"/>
          <w:szCs w:val="12"/>
          <w:color w:val="auto"/>
        </w:rPr>
        <w:t>Statements of Operations in the period that includes the enactment date. A valuation allowance is recorded when it is more likely than not that some of the deferred tax assets will not be realized. In evaluating the need for a valuation allowance at each reporting period, we consider the weighting of all available positive and negative evidence, which includes, among other things, the nature, frequency and severity of current and cumulative taxable income or losses, future projections of profitability, timing of the future reversal of existing temporary differences and the duration of statutory carryforward periods.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Net Income (Loss) per Common Share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Basic net income (loss) per share includes no dilution and is computed by dividing net income (loss)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equity incentive awards is reflected in diluted net income per share by application of the treasury stock method. The calculation of diluted net income per share excludes all anti-dilutive common shares.</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Net income (loss) per common share was the same for shares of our Class A and Class B common stock because they are entitled to the same liquidation and dividend rights and are therefore combined in the table below. The following table sets forth the computation of basic and diluted net income (loss) per common share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700" w:type="dxa"/>
            <w:vAlign w:val="bottom"/>
            <w:tcBorders>
              <w:bottom w:val="single" w:sz="8" w:color="CCEEFF"/>
            </w:tcBorders>
          </w:tcPr>
          <w:p>
            <w:pPr>
              <w:spacing w:after="0"/>
              <w:rPr>
                <w:sz w:val="11"/>
                <w:szCs w:val="11"/>
                <w:color w:val="auto"/>
              </w:rPr>
            </w:pPr>
          </w:p>
        </w:tc>
        <w:tc>
          <w:tcPr>
            <w:tcW w:w="34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18"/>
        </w:trPr>
        <w:tc>
          <w:tcPr>
            <w:tcW w:w="1720" w:type="dxa"/>
            <w:vAlign w:val="bottom"/>
            <w:tcBorders>
              <w:bottom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w w:val="99"/>
              </w:rPr>
              <w:t>Basic net income (loss) per share:</w:t>
            </w:r>
          </w:p>
        </w:tc>
        <w:tc>
          <w:tcPr>
            <w:tcW w:w="2800" w:type="dxa"/>
            <w:vAlign w:val="bottom"/>
            <w:tcBorders>
              <w:bottom w:val="single" w:sz="8" w:color="CCEEFF"/>
            </w:tcBorders>
            <w:gridSpan w:val="2"/>
            <w:shd w:val="clear" w:color="auto" w:fill="CCEEFF"/>
          </w:tcPr>
          <w:p>
            <w:pPr>
              <w:spacing w:after="0"/>
              <w:rPr>
                <w:sz w:val="10"/>
                <w:szCs w:val="10"/>
                <w:color w:val="auto"/>
              </w:rPr>
            </w:pPr>
          </w:p>
        </w:tc>
        <w:tc>
          <w:tcPr>
            <w:tcW w:w="34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368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204,068</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(68,119)</w:t>
            </w:r>
          </w:p>
        </w:tc>
        <w:tc>
          <w:tcPr>
            <w:tcW w:w="0" w:type="dxa"/>
            <w:vAlign w:val="bottom"/>
          </w:tcPr>
          <w:p>
            <w:pPr>
              <w:spacing w:after="0"/>
              <w:rPr>
                <w:sz w:val="1"/>
                <w:szCs w:val="1"/>
                <w:color w:val="auto"/>
              </w:rPr>
            </w:pPr>
          </w:p>
        </w:tc>
      </w:tr>
      <w:tr>
        <w:trPr>
          <w:trHeight w:val="153"/>
        </w:trPr>
        <w:tc>
          <w:tcPr>
            <w:tcW w:w="4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Less: undistributed earnings to participating securities</w:t>
            </w: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45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common stockholders</w:t>
            </w:r>
          </w:p>
        </w:tc>
        <w:tc>
          <w:tcPr>
            <w:tcW w:w="34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204,056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2,702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(68,119)</w:t>
            </w:r>
          </w:p>
        </w:tc>
        <w:tc>
          <w:tcPr>
            <w:tcW w:w="0" w:type="dxa"/>
            <w:vAlign w:val="bottom"/>
          </w:tcPr>
          <w:p>
            <w:pPr>
              <w:spacing w:after="0"/>
              <w:rPr>
                <w:sz w:val="1"/>
                <w:szCs w:val="1"/>
                <w:color w:val="auto"/>
              </w:rPr>
            </w:pPr>
          </w:p>
        </w:tc>
      </w:tr>
      <w:tr>
        <w:trPr>
          <w:trHeight w:val="131"/>
        </w:trPr>
        <w:tc>
          <w:tcPr>
            <w:tcW w:w="452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Denominator</w:t>
            </w:r>
          </w:p>
        </w:tc>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3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36,254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35,636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35,015</w:t>
            </w:r>
          </w:p>
        </w:tc>
        <w:tc>
          <w:tcPr>
            <w:tcW w:w="0" w:type="dxa"/>
            <w:vAlign w:val="bottom"/>
          </w:tcPr>
          <w:p>
            <w:pPr>
              <w:spacing w:after="0"/>
              <w:rPr>
                <w:sz w:val="1"/>
                <w:szCs w:val="1"/>
                <w:color w:val="auto"/>
              </w:rPr>
            </w:pPr>
          </w:p>
        </w:tc>
      </w:tr>
      <w:tr>
        <w:trPr>
          <w:trHeight w:val="153"/>
        </w:trPr>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Less: Weighted average unvested restricted shares subject to repurchase</w:t>
            </w:r>
          </w:p>
        </w:tc>
        <w:tc>
          <w:tcPr>
            <w:tcW w:w="34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2"/>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w:t>
            </w:r>
          </w:p>
        </w:tc>
        <w:tc>
          <w:tcPr>
            <w:tcW w:w="34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36,252</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35,629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35,010</w:t>
            </w:r>
          </w:p>
        </w:tc>
        <w:tc>
          <w:tcPr>
            <w:tcW w:w="0" w:type="dxa"/>
            <w:vAlign w:val="bottom"/>
          </w:tcPr>
          <w:p>
            <w:pPr>
              <w:spacing w:after="0"/>
              <w:rPr>
                <w:sz w:val="1"/>
                <w:szCs w:val="1"/>
                <w:color w:val="auto"/>
              </w:rPr>
            </w:pPr>
          </w:p>
        </w:tc>
      </w:tr>
      <w:tr>
        <w:trPr>
          <w:trHeight w:val="158"/>
        </w:trPr>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Net income (loss) per common share; basic</w:t>
            </w:r>
          </w:p>
        </w:tc>
        <w:tc>
          <w:tcPr>
            <w:tcW w:w="34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15"/>
        </w:trPr>
        <w:tc>
          <w:tcPr>
            <w:tcW w:w="1820" w:type="dxa"/>
            <w:vAlign w:val="bottom"/>
            <w:tcBorders>
              <w:bottom w:val="single" w:sz="8" w:color="auto"/>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b w:val="1"/>
                <w:bCs w:val="1"/>
                <w:color w:val="auto"/>
                <w:w w:val="99"/>
              </w:rPr>
              <w:t>Diluted net income (loss) per share:</w:t>
            </w:r>
          </w:p>
        </w:tc>
        <w:tc>
          <w:tcPr>
            <w:tcW w:w="2700" w:type="dxa"/>
            <w:vAlign w:val="bottom"/>
            <w:tcBorders>
              <w:bottom w:val="single" w:sz="8" w:color="CCEEFF"/>
            </w:tcBorders>
            <w:shd w:val="clear" w:color="auto" w:fill="CCEEFF"/>
          </w:tcPr>
          <w:p>
            <w:pPr>
              <w:spacing w:after="0"/>
              <w:rPr>
                <w:sz w:val="10"/>
                <w:szCs w:val="10"/>
                <w:color w:val="auto"/>
              </w:rPr>
            </w:pPr>
          </w:p>
        </w:tc>
        <w:tc>
          <w:tcPr>
            <w:tcW w:w="34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common stockholders</w:t>
            </w:r>
          </w:p>
        </w:tc>
        <w:tc>
          <w:tcPr>
            <w:tcW w:w="368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204,056</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(68,119)</w:t>
            </w:r>
          </w:p>
        </w:tc>
        <w:tc>
          <w:tcPr>
            <w:tcW w:w="0" w:type="dxa"/>
            <w:vAlign w:val="bottom"/>
          </w:tcPr>
          <w:p>
            <w:pPr>
              <w:spacing w:after="0"/>
              <w:rPr>
                <w:sz w:val="1"/>
                <w:szCs w:val="1"/>
                <w:color w:val="auto"/>
              </w:rPr>
            </w:pPr>
          </w:p>
        </w:tc>
      </w:tr>
      <w:tr>
        <w:trPr>
          <w:trHeight w:val="153"/>
        </w:trPr>
        <w:tc>
          <w:tcPr>
            <w:tcW w:w="45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w:t>
            </w:r>
          </w:p>
        </w:tc>
        <w:tc>
          <w:tcPr>
            <w:tcW w:w="3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35,629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35,010</w:t>
            </w:r>
          </w:p>
        </w:tc>
        <w:tc>
          <w:tcPr>
            <w:tcW w:w="0" w:type="dxa"/>
            <w:vAlign w:val="bottom"/>
          </w:tcPr>
          <w:p>
            <w:pPr>
              <w:spacing w:after="0"/>
              <w:rPr>
                <w:sz w:val="1"/>
                <w:szCs w:val="1"/>
                <w:color w:val="auto"/>
              </w:rPr>
            </w:pPr>
          </w:p>
        </w:tc>
      </w:tr>
      <w:tr>
        <w:trPr>
          <w:trHeight w:val="153"/>
        </w:trPr>
        <w:tc>
          <w:tcPr>
            <w:tcW w:w="4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Add: Weighted average dilutive options outstanding</w:t>
            </w: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Add: Weighted average dilutive RSUs outstanding</w:t>
            </w:r>
          </w:p>
        </w:tc>
        <w:tc>
          <w:tcPr>
            <w:tcW w:w="34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455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diluted</w:t>
            </w:r>
          </w:p>
        </w:tc>
        <w:tc>
          <w:tcPr>
            <w:tcW w:w="3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36,782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36,417</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35,010</w:t>
            </w:r>
          </w:p>
        </w:tc>
        <w:tc>
          <w:tcPr>
            <w:tcW w:w="0" w:type="dxa"/>
            <w:vAlign w:val="bottom"/>
          </w:tcPr>
          <w:p>
            <w:pPr>
              <w:spacing w:after="0"/>
              <w:rPr>
                <w:sz w:val="1"/>
                <w:szCs w:val="1"/>
                <w:color w:val="auto"/>
              </w:rPr>
            </w:pPr>
          </w:p>
        </w:tc>
      </w:tr>
      <w:tr>
        <w:trPr>
          <w:trHeight w:val="158"/>
        </w:trPr>
        <w:tc>
          <w:tcPr>
            <w:tcW w:w="4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 per common share; diluted</w:t>
            </w:r>
          </w:p>
        </w:tc>
        <w:tc>
          <w:tcPr>
            <w:tcW w:w="34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279"/>
        </w:trPr>
        <w:tc>
          <w:tcPr>
            <w:tcW w:w="9000" w:type="dxa"/>
            <w:vAlign w:val="bottom"/>
            <w:gridSpan w:val="6"/>
          </w:tcPr>
          <w:p>
            <w:pPr>
              <w:ind w:left="420"/>
              <w:spacing w:after="0"/>
              <w:rPr>
                <w:sz w:val="20"/>
                <w:szCs w:val="20"/>
                <w:color w:val="auto"/>
              </w:rPr>
            </w:pPr>
            <w:r>
              <w:rPr>
                <w:rFonts w:ascii="Times New Roman" w:cs="Times New Roman" w:eastAsia="Times New Roman" w:hAnsi="Times New Roman"/>
                <w:sz w:val="12"/>
                <w:szCs w:val="12"/>
                <w:color w:val="auto"/>
              </w:rPr>
              <w:t>Potentially dilutive securities that are not included in the calculation of diluted net income (loss) per share because doing so would be antidilutive are as follows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7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700" w:type="dxa"/>
            <w:vAlign w:val="bottom"/>
            <w:tcBorders>
              <w:bottom w:val="single" w:sz="8" w:color="CCEEFF"/>
            </w:tcBorders>
          </w:tcPr>
          <w:p>
            <w:pPr>
              <w:spacing w:after="0"/>
              <w:rPr>
                <w:sz w:val="11"/>
                <w:szCs w:val="11"/>
                <w:color w:val="auto"/>
              </w:rPr>
            </w:pPr>
          </w:p>
        </w:tc>
        <w:tc>
          <w:tcPr>
            <w:tcW w:w="34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47"/>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Restricted Stock Awards</w:t>
            </w:r>
          </w:p>
        </w:tc>
        <w:tc>
          <w:tcPr>
            <w:tcW w:w="3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53"/>
        </w:trPr>
        <w:tc>
          <w:tcPr>
            <w:tcW w:w="4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Options</w:t>
            </w:r>
          </w:p>
        </w:tc>
        <w:tc>
          <w:tcPr>
            <w:tcW w:w="3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516</w:t>
            </w:r>
          </w:p>
        </w:tc>
        <w:tc>
          <w:tcPr>
            <w:tcW w:w="0" w:type="dxa"/>
            <w:vAlign w:val="bottom"/>
          </w:tcPr>
          <w:p>
            <w:pPr>
              <w:spacing w:after="0"/>
              <w:rPr>
                <w:sz w:val="1"/>
                <w:szCs w:val="1"/>
                <w:color w:val="auto"/>
              </w:rPr>
            </w:pPr>
          </w:p>
        </w:tc>
      </w:tr>
      <w:tr>
        <w:trPr>
          <w:trHeight w:val="15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Units</w:t>
            </w:r>
          </w:p>
        </w:tc>
        <w:tc>
          <w:tcPr>
            <w:tcW w:w="34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1,162</w:t>
            </w:r>
          </w:p>
        </w:tc>
        <w:tc>
          <w:tcPr>
            <w:tcW w:w="0" w:type="dxa"/>
            <w:vAlign w:val="bottom"/>
          </w:tcPr>
          <w:p>
            <w:pPr>
              <w:spacing w:after="0"/>
              <w:rPr>
                <w:sz w:val="1"/>
                <w:szCs w:val="1"/>
                <w:color w:val="auto"/>
              </w:rPr>
            </w:pPr>
          </w:p>
        </w:tc>
      </w:tr>
      <w:tr>
        <w:trPr>
          <w:trHeight w:val="142"/>
        </w:trPr>
        <w:tc>
          <w:tcPr>
            <w:tcW w:w="45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potentially dilutive securities</w:t>
            </w:r>
          </w:p>
        </w:tc>
        <w:tc>
          <w:tcPr>
            <w:tcW w:w="3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146</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1,684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40" w:type="dxa"/>
            <w:vAlign w:val="bottom"/>
            <w:vMerge w:val="restart"/>
          </w:tcPr>
          <w:p>
            <w:pPr>
              <w:jc w:val="right"/>
              <w:ind w:right="2200"/>
              <w:spacing w:after="0"/>
              <w:rPr>
                <w:sz w:val="20"/>
                <w:szCs w:val="20"/>
                <w:color w:val="auto"/>
              </w:rPr>
            </w:pPr>
            <w:r>
              <w:rPr>
                <w:rFonts w:ascii="Times New Roman" w:cs="Times New Roman" w:eastAsia="Times New Roman" w:hAnsi="Times New Roman"/>
                <w:sz w:val="12"/>
                <w:szCs w:val="12"/>
                <w:color w:val="auto"/>
              </w:rPr>
              <w:t>45</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700" w:type="dxa"/>
            <w:vAlign w:val="bottom"/>
            <w:tcBorders>
              <w:bottom w:val="single" w:sz="8" w:color="9A9A9A"/>
            </w:tcBorders>
          </w:tcPr>
          <w:p>
            <w:pPr>
              <w:spacing w:after="0"/>
              <w:rPr>
                <w:sz w:val="6"/>
                <w:szCs w:val="6"/>
                <w:color w:val="auto"/>
              </w:rPr>
            </w:pPr>
          </w:p>
        </w:tc>
        <w:tc>
          <w:tcPr>
            <w:tcW w:w="34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47" w:name="page48"/>
    <w:bookmarkEnd w:id="47"/>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Adopted</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In November 2023, the Financial Accounting Standards Board ("FASB") issued ASU 2023-07, </w:t>
      </w:r>
      <w:r>
        <w:rPr>
          <w:rFonts w:ascii="Times New Roman" w:cs="Times New Roman" w:eastAsia="Times New Roman" w:hAnsi="Times New Roman"/>
          <w:sz w:val="12"/>
          <w:szCs w:val="12"/>
          <w:i w:val="1"/>
          <w:iCs w:val="1"/>
          <w:color w:val="auto"/>
        </w:rPr>
        <w:t>Segment Reporting (Topic 280): Improvements to Reportable Segment Disclosures.</w:t>
      </w:r>
      <w:r>
        <w:rPr>
          <w:rFonts w:ascii="Times New Roman" w:cs="Times New Roman" w:eastAsia="Times New Roman" w:hAnsi="Times New Roman"/>
          <w:sz w:val="12"/>
          <w:szCs w:val="12"/>
          <w:color w:val="auto"/>
        </w:rPr>
        <w:t xml:space="preserve">”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ASU 2023-07 is effective for calendar year-end public business entities in the 2024 annual period and in 2025 for interim periods. We adopted ASU 2023-07 for the 2024 annual period on a retrospective basis. This adopted ASU results in us including the additional required disclosures. Refer to </w:t>
      </w:r>
      <w:r>
        <w:rPr>
          <w:rFonts w:ascii="Times New Roman" w:cs="Times New Roman" w:eastAsia="Times New Roman" w:hAnsi="Times New Roman"/>
          <w:sz w:val="12"/>
          <w:szCs w:val="12"/>
          <w:i w:val="1"/>
          <w:iCs w:val="1"/>
          <w:color w:val="auto"/>
        </w:rPr>
        <w:t>Segment Information</w:t>
      </w:r>
      <w:r>
        <w:rPr>
          <w:rFonts w:ascii="Times New Roman" w:cs="Times New Roman" w:eastAsia="Times New Roman" w:hAnsi="Times New Roman"/>
          <w:sz w:val="12"/>
          <w:szCs w:val="12"/>
          <w:color w:val="auto"/>
        </w:rPr>
        <w:t xml:space="preserve"> in this note for more information.</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Not Yet Adopted</w:t>
      </w:r>
    </w:p>
    <w:p>
      <w:pPr>
        <w:spacing w:after="0" w:line="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In December 2023, FASB issued ASU 2023-09, </w:t>
      </w:r>
      <w:r>
        <w:rPr>
          <w:rFonts w:ascii="Times New Roman" w:cs="Times New Roman" w:eastAsia="Times New Roman" w:hAnsi="Times New Roman"/>
          <w:sz w:val="12"/>
          <w:szCs w:val="12"/>
          <w:i w:val="1"/>
          <w:iCs w:val="1"/>
          <w:color w:val="auto"/>
        </w:rPr>
        <w:t>Improvements to Income Tax Disclosures</w:t>
      </w:r>
      <w:r>
        <w:rPr>
          <w:rFonts w:ascii="Times New Roman" w:cs="Times New Roman" w:eastAsia="Times New Roman" w:hAnsi="Times New Roman"/>
          <w:sz w:val="12"/>
          <w:szCs w:val="12"/>
          <w:color w:val="auto"/>
        </w:rPr>
        <w:t>, which requires that an entity, on an annual basis, disclose additional income tax information, primarily related to the rate reconciliation and income taxes are paid. The amendment in the ASU is intended to enhance the transparency and decision usefulness of income tax disclosures. The guidance will be applied on a prospective basis with the option to apply the standard retrospectively and is effective for calendar year-end public business entities in the 2025 annual period and in 2026 for interim periods with early adoption permitted. We plan to adopt the standard in our fiscal year 2025 annual financial statements, and we expect the adoption of the standard will impact certain of our income tax disclosures.</w:t>
      </w:r>
    </w:p>
    <w:p>
      <w:pPr>
        <w:spacing w:after="0" w:line="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In November 2024, FASB issued ASU 2024-03, </w:t>
      </w:r>
      <w:r>
        <w:rPr>
          <w:rFonts w:ascii="Times New Roman" w:cs="Times New Roman" w:eastAsia="Times New Roman" w:hAnsi="Times New Roman"/>
          <w:sz w:val="12"/>
          <w:szCs w:val="12"/>
          <w:i w:val="1"/>
          <w:iCs w:val="1"/>
          <w:color w:val="auto"/>
        </w:rPr>
        <w:t>Disaggregation of Income Statement Expense.</w:t>
      </w:r>
      <w:r>
        <w:rPr>
          <w:rFonts w:ascii="Times New Roman" w:cs="Times New Roman" w:eastAsia="Times New Roman" w:hAnsi="Times New Roman"/>
          <w:sz w:val="12"/>
          <w:szCs w:val="12"/>
          <w:color w:val="auto"/>
        </w:rPr>
        <w:t xml:space="preserve"> The new standard requires additional disclosures about specific types of expenses included in the expense captions presented on the face of income statements as well as disclosures about selling expenses. The guidance applies prospectively with the option to apply the standard retrospectively and is effective for calendar year-end public business entities in the 2027 annual period and in 2028 for interim periods with early adoption permitted. We are currently evaluating the impact of this ASU on our Consolidated Financial Statements.</w:t>
      </w:r>
    </w:p>
    <w:p>
      <w:pPr>
        <w:spacing w:after="0" w:line="115" w:lineRule="exact"/>
        <w:rPr>
          <w:sz w:val="20"/>
          <w:szCs w:val="20"/>
          <w:color w:val="auto"/>
        </w:rPr>
      </w:pPr>
    </w:p>
    <w:p>
      <w:pPr>
        <w:ind w:left="140" w:hanging="118"/>
        <w:spacing w:after="0"/>
        <w:tabs>
          <w:tab w:leader="none" w:pos="140"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Sales of Subsidiary Business</w:t>
      </w:r>
    </w:p>
    <w:p>
      <w:pPr>
        <w:spacing w:after="0" w:line="78" w:lineRule="exact"/>
        <w:rPr>
          <w:rFonts w:ascii="Times New Roman" w:cs="Times New Roman" w:eastAsia="Times New Roman" w:hAnsi="Times New Roman"/>
          <w:sz w:val="12"/>
          <w:szCs w:val="12"/>
          <w:b w:val="1"/>
          <w:bCs w:val="1"/>
          <w:color w:val="auto"/>
        </w:rPr>
      </w:pPr>
    </w:p>
    <w:p>
      <w:pPr>
        <w:ind w:left="4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Sale of WegoWise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In August 2022, we completed the sale of AppFolio Utility Management, Inc., dba WegoWise ("WegoWise"), a former wholly owned subsidiary of the Company that provided cloud-based utility analytics reporting software solutions to our customers. We sold WegoWise for $5.2 million (the “WegoWise Transaction”) and recognized a pre-tax gain on the sale of $4.2 million. Net assets divested are primarily comprised of intangible assets of $2.5 million and deferred revenue of $1.7 million. The gain on the sale is included within </w:t>
      </w:r>
      <w:r>
        <w:rPr>
          <w:rFonts w:ascii="Times New Roman" w:cs="Times New Roman" w:eastAsia="Times New Roman" w:hAnsi="Times New Roman"/>
          <w:sz w:val="12"/>
          <w:szCs w:val="12"/>
          <w:i w:val="1"/>
          <w:iCs w:val="1"/>
          <w:color w:val="auto"/>
        </w:rPr>
        <w:t>Other income, net</w:t>
      </w:r>
      <w:r>
        <w:rPr>
          <w:rFonts w:ascii="Times New Roman" w:cs="Times New Roman" w:eastAsia="Times New Roman" w:hAnsi="Times New Roman"/>
          <w:sz w:val="12"/>
          <w:szCs w:val="12"/>
          <w:color w:val="auto"/>
        </w:rPr>
        <w:t xml:space="preserve"> in our Consolidated Statements of Operations.</w:t>
      </w:r>
    </w:p>
    <w:p>
      <w:pPr>
        <w:spacing w:after="0" w:line="115" w:lineRule="exact"/>
        <w:rPr>
          <w:sz w:val="20"/>
          <w:szCs w:val="20"/>
          <w:color w:val="auto"/>
        </w:rPr>
      </w:pPr>
    </w:p>
    <w:p>
      <w:pPr>
        <w:ind w:left="420" w:right="8480" w:hanging="398"/>
        <w:spacing w:after="0" w:line="379" w:lineRule="auto"/>
        <w:tabs>
          <w:tab w:leader="none" w:pos="138"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Investment Securities and Fair Value Measurements </w:t>
      </w:r>
      <w:r>
        <w:rPr>
          <w:rFonts w:ascii="Times New Roman" w:cs="Times New Roman" w:eastAsia="Times New Roman" w:hAnsi="Times New Roman"/>
          <w:sz w:val="12"/>
          <w:szCs w:val="12"/>
          <w:b w:val="1"/>
          <w:bCs w:val="1"/>
          <w:i w:val="1"/>
          <w:iCs w:val="1"/>
          <w:color w:val="auto"/>
        </w:rPr>
        <w:t>Investment Securities</w:t>
      </w:r>
    </w:p>
    <w:p>
      <w:pPr>
        <w:ind w:left="4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Investment securities classified as available-for-sale consisted of the following as of December 31, 2024 and 2023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4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4"/>
          </w:tcPr>
          <w:p>
            <w:pPr>
              <w:jc w:val="right"/>
              <w:ind w:right="885"/>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28"/>
        </w:trPr>
        <w:tc>
          <w:tcPr>
            <w:tcW w:w="49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Gains</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r>
      <w:tr>
        <w:trPr>
          <w:trHeight w:val="14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080" w:type="dxa"/>
            <w:vAlign w:val="bottom"/>
            <w:tcBorders>
              <w:bottom w:val="single" w:sz="8" w:color="auto"/>
            </w:tcBorders>
            <w:shd w:val="clear" w:color="auto" w:fill="CCEEFF"/>
          </w:tcPr>
          <w:p>
            <w:pPr>
              <w:jc w:val="right"/>
              <w:ind w:right="94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235,509</w:t>
            </w:r>
          </w:p>
        </w:tc>
        <w:tc>
          <w:tcPr>
            <w:tcW w:w="1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261</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(25)</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235,745</w:t>
            </w: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Total available-for-sale investment securities</w:t>
            </w:r>
          </w:p>
        </w:tc>
        <w:tc>
          <w:tcPr>
            <w:tcW w:w="108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235,509</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261</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(25)</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235,745</w:t>
            </w:r>
          </w:p>
        </w:tc>
      </w:tr>
      <w:tr>
        <w:trPr>
          <w:trHeight w:val="20"/>
        </w:trPr>
        <w:tc>
          <w:tcPr>
            <w:tcW w:w="4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00"/>
        </w:trPr>
        <w:tc>
          <w:tcPr>
            <w:tcW w:w="49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85"/>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28"/>
        </w:trPr>
        <w:tc>
          <w:tcPr>
            <w:tcW w:w="49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Gains</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r>
      <w:tr>
        <w:trPr>
          <w:trHeight w:val="14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0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162,062</w:t>
            </w:r>
          </w:p>
        </w:tc>
        <w:tc>
          <w:tcPr>
            <w:tcW w:w="1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193</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(59)</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162,196</w:t>
            </w: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Total available-for-sale investment securities</w:t>
            </w:r>
          </w:p>
        </w:tc>
        <w:tc>
          <w:tcPr>
            <w:tcW w:w="108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162,062</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193</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(59)</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162,196</w:t>
            </w:r>
          </w:p>
        </w:tc>
      </w:tr>
      <w:tr>
        <w:trPr>
          <w:trHeight w:val="20"/>
        </w:trPr>
        <w:tc>
          <w:tcPr>
            <w:tcW w:w="4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2024,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December 31, 2024 or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48" w:name="page49"/>
    <w:bookmarkEnd w:id="48"/>
    <w:p>
      <w:pPr>
        <w:ind w:left="420"/>
        <w:spacing w:after="0"/>
        <w:rPr>
          <w:sz w:val="20"/>
          <w:szCs w:val="20"/>
          <w:color w:val="auto"/>
        </w:rPr>
      </w:pPr>
      <w:r>
        <w:rPr>
          <w:rFonts w:ascii="Times New Roman" w:cs="Times New Roman" w:eastAsia="Times New Roman" w:hAnsi="Times New Roman"/>
          <w:sz w:val="12"/>
          <w:szCs w:val="12"/>
          <w:color w:val="auto"/>
        </w:rPr>
        <w:t>The fair values of available-for-sale investment securities, by remaining contractual maturity, are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60" w:type="dxa"/>
            <w:vAlign w:val="bottom"/>
          </w:tcPr>
          <w:p>
            <w:pPr>
              <w:spacing w:after="0"/>
              <w:rPr>
                <w:sz w:val="11"/>
                <w:szCs w:val="11"/>
                <w:color w:val="auto"/>
              </w:rPr>
            </w:pPr>
          </w:p>
        </w:tc>
        <w:tc>
          <w:tcPr>
            <w:tcW w:w="2880" w:type="dxa"/>
            <w:vAlign w:val="bottom"/>
            <w:gridSpan w:val="4"/>
          </w:tcPr>
          <w:p>
            <w:pPr>
              <w:jc w:val="right"/>
              <w:ind w:right="1124"/>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128"/>
        </w:trPr>
        <w:tc>
          <w:tcPr>
            <w:tcW w:w="4920" w:type="dxa"/>
            <w:vAlign w:val="bottom"/>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r>
      <w:tr>
        <w:trPr>
          <w:trHeight w:val="147"/>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in one year or less</w:t>
            </w:r>
          </w:p>
        </w:tc>
        <w:tc>
          <w:tcPr>
            <w:tcW w:w="108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235,509</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235,745</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162,062</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162,196</w:t>
            </w:r>
          </w:p>
        </w:tc>
      </w:tr>
      <w:tr>
        <w:trPr>
          <w:trHeight w:val="142"/>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Total available-for-sale investment securities</w:t>
            </w:r>
          </w:p>
        </w:tc>
        <w:tc>
          <w:tcPr>
            <w:tcW w:w="108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235,509</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235,745</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162,062</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162,196</w:t>
            </w:r>
          </w:p>
        </w:tc>
      </w:tr>
      <w:tr>
        <w:trPr>
          <w:trHeight w:val="20"/>
        </w:trPr>
        <w:tc>
          <w:tcPr>
            <w:tcW w:w="4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During the years ended December 31, 2024 and 2023, we had sales and maturities (which include calls) of investment securities,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0"/>
                <w:szCs w:val="10"/>
                <w:b w:val="1"/>
                <w:bCs w:val="1"/>
                <w:color w:val="auto"/>
              </w:rPr>
              <w:t>Year Ended December 31, 2024</w:t>
            </w: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r>
        <w:trPr>
          <w:trHeight w:val="128"/>
        </w:trPr>
        <w:tc>
          <w:tcPr>
            <w:tcW w:w="4940" w:type="dxa"/>
            <w:vAlign w:val="bottom"/>
          </w:tcPr>
          <w:p>
            <w:pPr>
              <w:spacing w:after="0"/>
              <w:rPr>
                <w:sz w:val="11"/>
                <w:szCs w:val="11"/>
                <w:color w:val="auto"/>
              </w:rPr>
            </w:pP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Gross Realized Gains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Gross Realized Losses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Gross Proceeds from Sales</w:t>
            </w:r>
          </w:p>
        </w:tc>
        <w:tc>
          <w:tcPr>
            <w:tcW w:w="80" w:type="dxa"/>
            <w:vAlign w:val="bottom"/>
          </w:tcPr>
          <w:p>
            <w:pPr>
              <w:spacing w:after="0"/>
              <w:rPr>
                <w:sz w:val="11"/>
                <w:szCs w:val="11"/>
                <w:color w:val="auto"/>
              </w:rPr>
            </w:pPr>
          </w:p>
        </w:tc>
        <w:tc>
          <w:tcPr>
            <w:tcW w:w="144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w w:val="94"/>
              </w:rPr>
              <w:t>Gross Proceeds from Maturities</w:t>
            </w:r>
          </w:p>
        </w:tc>
      </w:tr>
      <w:tr>
        <w:trPr>
          <w:trHeight w:val="147"/>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2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240,035</w:t>
            </w:r>
          </w:p>
        </w:tc>
      </w:tr>
      <w:tr>
        <w:trPr>
          <w:trHeight w:val="142"/>
        </w:trPr>
        <w:tc>
          <w:tcPr>
            <w:tcW w:w="4940" w:type="dxa"/>
            <w:vAlign w:val="bottom"/>
          </w:tcPr>
          <w:p>
            <w:pPr>
              <w:spacing w:after="0"/>
              <w:rPr>
                <w:sz w:val="12"/>
                <w:szCs w:val="12"/>
                <w:color w:val="auto"/>
              </w:rPr>
            </w:pPr>
          </w:p>
        </w:tc>
        <w:tc>
          <w:tcPr>
            <w:tcW w:w="128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128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9,984</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240,035</w:t>
            </w:r>
          </w:p>
        </w:tc>
      </w:tr>
      <w:tr>
        <w:trPr>
          <w:trHeight w:val="20"/>
        </w:trPr>
        <w:tc>
          <w:tcPr>
            <w:tcW w:w="4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4"/>
        </w:trPr>
        <w:tc>
          <w:tcPr>
            <w:tcW w:w="494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0"/>
                <w:szCs w:val="10"/>
                <w:b w:val="1"/>
                <w:bCs w:val="1"/>
                <w:color w:val="auto"/>
              </w:rPr>
              <w:t>Year Ended December 31, 2023</w:t>
            </w:r>
          </w:p>
        </w:tc>
        <w:tc>
          <w:tcPr>
            <w:tcW w:w="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128"/>
        </w:trPr>
        <w:tc>
          <w:tcPr>
            <w:tcW w:w="4940" w:type="dxa"/>
            <w:vAlign w:val="bottom"/>
          </w:tcPr>
          <w:p>
            <w:pPr>
              <w:spacing w:after="0"/>
              <w:rPr>
                <w:sz w:val="11"/>
                <w:szCs w:val="11"/>
                <w:color w:val="auto"/>
              </w:rPr>
            </w:pP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Gross Realized Gains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Gross Realized Losses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Gross Proceeds from Sales</w:t>
            </w:r>
          </w:p>
        </w:tc>
        <w:tc>
          <w:tcPr>
            <w:tcW w:w="80" w:type="dxa"/>
            <w:vAlign w:val="bottom"/>
          </w:tcPr>
          <w:p>
            <w:pPr>
              <w:spacing w:after="0"/>
              <w:rPr>
                <w:sz w:val="11"/>
                <w:szCs w:val="11"/>
                <w:color w:val="auto"/>
              </w:rPr>
            </w:pPr>
          </w:p>
        </w:tc>
        <w:tc>
          <w:tcPr>
            <w:tcW w:w="144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w w:val="94"/>
              </w:rPr>
              <w:t>Gross Proceeds from Maturities</w:t>
            </w:r>
          </w:p>
        </w:tc>
      </w:tr>
      <w:tr>
        <w:trPr>
          <w:trHeight w:val="147"/>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bonds</w:t>
            </w:r>
          </w:p>
        </w:tc>
        <w:tc>
          <w:tcPr>
            <w:tcW w:w="1280" w:type="dxa"/>
            <w:vAlign w:val="bottom"/>
            <w:tcBorders>
              <w:top w:val="single" w:sz="8" w:color="auto"/>
            </w:tcBorders>
            <w:shd w:val="clear" w:color="auto" w:fill="CCEEFF"/>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16,497</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2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135,885</w:t>
            </w:r>
          </w:p>
        </w:tc>
      </w:tr>
      <w:tr>
        <w:trPr>
          <w:trHeight w:val="158"/>
        </w:trPr>
        <w:tc>
          <w:tcPr>
            <w:tcW w:w="494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152,382</w:t>
            </w:r>
          </w:p>
        </w:tc>
      </w:tr>
    </w:tbl>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tables above do not include our non-marketable equity securities of $2.0 million, which are recorded in </w:t>
      </w:r>
      <w:r>
        <w:rPr>
          <w:rFonts w:ascii="Times New Roman" w:cs="Times New Roman" w:eastAsia="Times New Roman" w:hAnsi="Times New Roman"/>
          <w:sz w:val="12"/>
          <w:szCs w:val="12"/>
          <w:i w:val="1"/>
          <w:iCs w:val="1"/>
          <w:color w:val="auto"/>
        </w:rPr>
        <w:t>Other long term assets</w:t>
      </w:r>
      <w:r>
        <w:rPr>
          <w:rFonts w:ascii="Times New Roman" w:cs="Times New Roman" w:eastAsia="Times New Roman" w:hAnsi="Times New Roman"/>
          <w:sz w:val="12"/>
          <w:szCs w:val="12"/>
          <w:color w:val="auto"/>
        </w:rPr>
        <w:t xml:space="preserve"> in the Consolidated Balance Sheet as of December 31, 2024.</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Recurring Fair Value Measurements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tables present our financial assets and liabilities measured at fair value on a recurring basis as of December 31, 2024 and 2023 by level within the fair value hierarchy (in thousands):</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6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December 31, 2024</w:t>
            </w: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6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jc w:val="right"/>
              <w:ind w:right="525"/>
              <w:spacing w:after="0" w:line="88" w:lineRule="exact"/>
              <w:rPr>
                <w:sz w:val="20"/>
                <w:szCs w:val="20"/>
                <w:color w:val="auto"/>
              </w:rPr>
            </w:pPr>
            <w:r>
              <w:rPr>
                <w:rFonts w:ascii="Times New Roman" w:cs="Times New Roman" w:eastAsia="Times New Roman" w:hAnsi="Times New Roman"/>
                <w:sz w:val="10"/>
                <w:szCs w:val="10"/>
                <w:b w:val="1"/>
                <w:bCs w:val="1"/>
                <w:color w:val="auto"/>
              </w:rPr>
              <w:t>Total Fair</w:t>
            </w:r>
          </w:p>
        </w:tc>
        <w:tc>
          <w:tcPr>
            <w:tcW w:w="0" w:type="dxa"/>
            <w:vAlign w:val="bottom"/>
          </w:tcPr>
          <w:p>
            <w:pPr>
              <w:spacing w:after="0"/>
              <w:rPr>
                <w:sz w:val="1"/>
                <w:szCs w:val="1"/>
                <w:color w:val="auto"/>
              </w:rPr>
            </w:pPr>
          </w:p>
        </w:tc>
      </w:tr>
      <w:tr>
        <w:trPr>
          <w:trHeight w:val="130"/>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8"/>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equivalents:</w:t>
            </w:r>
          </w:p>
        </w:tc>
        <w:tc>
          <w:tcPr>
            <w:tcW w:w="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Money market funds</w:t>
            </w:r>
          </w:p>
        </w:tc>
        <w:tc>
          <w:tcPr>
            <w:tcW w:w="1040" w:type="dxa"/>
            <w:vAlign w:val="bottom"/>
            <w:gridSpan w:val="2"/>
          </w:tcPr>
          <w:p>
            <w:pPr>
              <w:jc w:val="right"/>
              <w:ind w:right="93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25,167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25,167</w:t>
            </w:r>
          </w:p>
        </w:tc>
        <w:tc>
          <w:tcPr>
            <w:tcW w:w="0" w:type="dxa"/>
            <w:vAlign w:val="bottom"/>
          </w:tcPr>
          <w:p>
            <w:pPr>
              <w:spacing w:after="0"/>
              <w:rPr>
                <w:sz w:val="1"/>
                <w:szCs w:val="1"/>
                <w:color w:val="auto"/>
              </w:rPr>
            </w:pPr>
          </w:p>
        </w:tc>
      </w:tr>
      <w:tr>
        <w:trPr>
          <w:trHeight w:val="15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Available-for-sale investment securities:</w:t>
            </w:r>
          </w:p>
        </w:tc>
        <w:tc>
          <w:tcPr>
            <w:tcW w:w="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235,745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235,745</w:t>
            </w:r>
          </w:p>
        </w:tc>
        <w:tc>
          <w:tcPr>
            <w:tcW w:w="0" w:type="dxa"/>
            <w:vAlign w:val="bottom"/>
          </w:tcPr>
          <w:p>
            <w:pPr>
              <w:spacing w:after="0"/>
              <w:rPr>
                <w:sz w:val="1"/>
                <w:szCs w:val="1"/>
                <w:color w:val="auto"/>
              </w:rPr>
            </w:pPr>
          </w:p>
        </w:tc>
      </w:tr>
      <w:tr>
        <w:trPr>
          <w:trHeight w:val="158"/>
        </w:trPr>
        <w:tc>
          <w:tcPr>
            <w:tcW w:w="61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040" w:type="dxa"/>
            <w:vAlign w:val="bottom"/>
            <w:tcBorders>
              <w:top w:val="single" w:sz="8" w:color="auto"/>
              <w:bottom w:val="single" w:sz="8" w:color="auto"/>
            </w:tcBorders>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25,167</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235,745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260,912</w:t>
            </w:r>
          </w:p>
        </w:tc>
        <w:tc>
          <w:tcPr>
            <w:tcW w:w="0" w:type="dxa"/>
            <w:vAlign w:val="bottom"/>
          </w:tcPr>
          <w:p>
            <w:pPr>
              <w:spacing w:after="0"/>
              <w:rPr>
                <w:sz w:val="1"/>
                <w:szCs w:val="1"/>
                <w:color w:val="auto"/>
              </w:rPr>
            </w:pPr>
          </w:p>
        </w:tc>
      </w:tr>
      <w:tr>
        <w:trPr>
          <w:trHeight w:val="289"/>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jc w:val="right"/>
              <w:ind w:right="485"/>
              <w:spacing w:after="0" w:line="88" w:lineRule="exact"/>
              <w:rPr>
                <w:sz w:val="20"/>
                <w:szCs w:val="20"/>
                <w:color w:val="auto"/>
              </w:rPr>
            </w:pPr>
            <w:r>
              <w:rPr>
                <w:rFonts w:ascii="Times New Roman" w:cs="Times New Roman" w:eastAsia="Times New Roman" w:hAnsi="Times New Roman"/>
                <w:sz w:val="10"/>
                <w:szCs w:val="10"/>
                <w:b w:val="1"/>
                <w:bCs w:val="1"/>
                <w:color w:val="auto"/>
              </w:rPr>
              <w:t>Total Fair</w:t>
            </w:r>
          </w:p>
        </w:tc>
        <w:tc>
          <w:tcPr>
            <w:tcW w:w="0" w:type="dxa"/>
            <w:vAlign w:val="bottom"/>
          </w:tcPr>
          <w:p>
            <w:pPr>
              <w:spacing w:after="0"/>
              <w:rPr>
                <w:sz w:val="1"/>
                <w:szCs w:val="1"/>
                <w:color w:val="auto"/>
              </w:rPr>
            </w:pPr>
          </w:p>
        </w:tc>
      </w:tr>
      <w:tr>
        <w:trPr>
          <w:trHeight w:val="130"/>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8"/>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equivalents:</w:t>
            </w:r>
          </w:p>
        </w:tc>
        <w:tc>
          <w:tcPr>
            <w:tcW w:w="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Money market funds</w:t>
            </w:r>
          </w:p>
        </w:tc>
        <w:tc>
          <w:tcPr>
            <w:tcW w:w="1040" w:type="dxa"/>
            <w:vAlign w:val="bottom"/>
            <w:gridSpan w:val="2"/>
          </w:tcPr>
          <w:p>
            <w:pPr>
              <w:jc w:val="right"/>
              <w:ind w:right="91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37,100</w:t>
            </w:r>
          </w:p>
        </w:tc>
        <w:tc>
          <w:tcPr>
            <w:tcW w:w="0" w:type="dxa"/>
            <w:vAlign w:val="bottom"/>
          </w:tcPr>
          <w:p>
            <w:pPr>
              <w:spacing w:after="0"/>
              <w:rPr>
                <w:sz w:val="1"/>
                <w:szCs w:val="1"/>
                <w:color w:val="auto"/>
              </w:rPr>
            </w:pP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Available-for-sale investment securities:</w:t>
            </w:r>
          </w:p>
        </w:tc>
        <w:tc>
          <w:tcPr>
            <w:tcW w:w="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162,196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162,196</w:t>
            </w:r>
          </w:p>
        </w:tc>
        <w:tc>
          <w:tcPr>
            <w:tcW w:w="0" w:type="dxa"/>
            <w:vAlign w:val="bottom"/>
          </w:tcPr>
          <w:p>
            <w:pPr>
              <w:spacing w:after="0"/>
              <w:rPr>
                <w:sz w:val="1"/>
                <w:szCs w:val="1"/>
                <w:color w:val="auto"/>
              </w:rPr>
            </w:pPr>
          </w:p>
        </w:tc>
      </w:tr>
      <w:tr>
        <w:trPr>
          <w:trHeight w:val="158"/>
        </w:trPr>
        <w:tc>
          <w:tcPr>
            <w:tcW w:w="61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37,100</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162,196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199,296</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carrying amounts of cash and cash equivalents, restricted cash, accounts receivable, accounts payable and accrued liabilities approximate their fair value because of the short maturity of these items.</w:t>
      </w:r>
    </w:p>
    <w:p>
      <w:pPr>
        <w:spacing w:after="0" w:line="78"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to our valuation techniques used to measure asset and liability fair values on a recurring basis during the year ended December 31, 2024. The valuation techniques for the financial assets in the tables above are as follows:</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Cash Equivalents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December 31, 2024 and 2023, cash equivalents include cash invested in money market funds with a maturity of three months or less. Fair value is based on market prices for identical assets.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Available-for-Sale Investment Securities</w:t>
      </w:r>
    </w:p>
    <w:p>
      <w:pPr>
        <w:spacing w:after="0" w:line="8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5. Property and Equipment, net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Property and equipment, net consists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20" w:type="dxa"/>
            <w:vAlign w:val="bottom"/>
            <w:tcBorders>
              <w:bottom w:val="single" w:sz="8" w:color="CCEEFF"/>
            </w:tcBorders>
          </w:tcPr>
          <w:p>
            <w:pPr>
              <w:spacing w:after="0"/>
              <w:rPr>
                <w:sz w:val="11"/>
                <w:szCs w:val="11"/>
                <w:color w:val="auto"/>
              </w:rPr>
            </w:pPr>
          </w:p>
        </w:tc>
        <w:tc>
          <w:tcPr>
            <w:tcW w:w="43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4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2,796</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4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equipment</w:t>
            </w:r>
          </w:p>
        </w:tc>
        <w:tc>
          <w:tcPr>
            <w:tcW w:w="4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4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28,787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process</w:t>
            </w:r>
          </w:p>
        </w:tc>
        <w:tc>
          <w:tcPr>
            <w:tcW w:w="434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Gross property and equipment</w:t>
            </w:r>
          </w:p>
        </w:tc>
        <w:tc>
          <w:tcPr>
            <w:tcW w:w="4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40,961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434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(16,478)</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Total property and equipment, net</w:t>
            </w:r>
          </w:p>
        </w:tc>
        <w:tc>
          <w:tcPr>
            <w:tcW w:w="4340" w:type="dxa"/>
            <w:vAlign w:val="bottom"/>
          </w:tcPr>
          <w:p>
            <w:pPr>
              <w:spacing w:after="0"/>
              <w:rPr>
                <w:sz w:val="12"/>
                <w:szCs w:val="12"/>
                <w:color w:val="auto"/>
              </w:rPr>
            </w:pPr>
          </w:p>
        </w:tc>
        <w:tc>
          <w:tcPr>
            <w:tcW w:w="100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24,483</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340" w:type="dxa"/>
            <w:vAlign w:val="bottom"/>
            <w:vMerge w:val="restart"/>
          </w:tcPr>
          <w:p>
            <w:pPr>
              <w:jc w:val="right"/>
              <w:ind w:right="2300"/>
              <w:spacing w:after="0"/>
              <w:rPr>
                <w:sz w:val="20"/>
                <w:szCs w:val="20"/>
                <w:color w:val="auto"/>
              </w:rPr>
            </w:pPr>
            <w:r>
              <w:rPr>
                <w:rFonts w:ascii="Times New Roman" w:cs="Times New Roman" w:eastAsia="Times New Roman" w:hAnsi="Times New Roman"/>
                <w:sz w:val="12"/>
                <w:szCs w:val="12"/>
                <w:color w:val="auto"/>
              </w:rPr>
              <w:t>48</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7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20" w:type="dxa"/>
            <w:vAlign w:val="bottom"/>
            <w:tcBorders>
              <w:bottom w:val="single" w:sz="8" w:color="9A9A9A"/>
            </w:tcBorders>
          </w:tcPr>
          <w:p>
            <w:pPr>
              <w:spacing w:after="0"/>
              <w:rPr>
                <w:sz w:val="6"/>
                <w:szCs w:val="6"/>
                <w:color w:val="auto"/>
              </w:rPr>
            </w:pPr>
          </w:p>
        </w:tc>
        <w:tc>
          <w:tcPr>
            <w:tcW w:w="43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50" w:name="page51"/>
    <w:bookmarkEnd w:id="50"/>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Depreciation expense for property and equipment totaled $5.2 million, $7.3 million, and $5.1 million for the years ended December 31, 2024, 2023 and 2022, respectively. During the year ended December 31, 2022, we recorded an impairment of $4.4 million related to property and equipment associated with our leased office spaces. For additional information, see Note 11,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6. Capitalized Software Development Costs, net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Capitalized software development costs, net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r>
      <w:tr>
        <w:trPr>
          <w:trHeight w:val="128"/>
        </w:trPr>
        <w:tc>
          <w:tcPr>
            <w:tcW w:w="80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Capitalized software development costs, gross</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117,480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126,606</w:t>
            </w:r>
          </w:p>
        </w:tc>
      </w:tr>
      <w:tr>
        <w:trPr>
          <w:trHeight w:val="153"/>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Accumulated amortization</w:t>
            </w: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(102,051)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(105,044)</w:t>
            </w:r>
          </w:p>
        </w:tc>
      </w:tr>
      <w:tr>
        <w:trPr>
          <w:trHeight w:val="158"/>
        </w:trPr>
        <w:tc>
          <w:tcPr>
            <w:tcW w:w="80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Capitalized software development costs, net</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15,429</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21,562</w:t>
            </w:r>
          </w:p>
        </w:tc>
      </w:tr>
    </w:tbl>
    <w:p>
      <w:pPr>
        <w:spacing w:after="0" w:line="12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Capitalized software development costs were $6.1 million, $5.5 million and $17.7 million for the years ended December 31, 2024, 2023 and 2022, respectively. Amortization expense with respect to software development costs totaled $12.2 million, $19.2 million and $23.6 million for the years ended December 31, 2024, 2023 and 2022, respectively. During the years ended December 31, 2024 and 2023, we disposed of $15.2 million and $8.2 million, respectively, of fully amortized capitalized software development costs.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Future amortization expense with respect to capitalized software development costs is estimated as follows (in thousands):</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3"/>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Years Ending December 31,</w:t>
            </w: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53"/>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8,077</w:t>
            </w:r>
          </w:p>
        </w:tc>
      </w:tr>
      <w:tr>
        <w:trPr>
          <w:trHeight w:val="153"/>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4,459</w:t>
            </w:r>
          </w:p>
        </w:tc>
      </w:tr>
      <w:tr>
        <w:trPr>
          <w:trHeight w:val="153"/>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6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2,893</w:t>
            </w:r>
          </w:p>
        </w:tc>
      </w:tr>
      <w:tr>
        <w:trPr>
          <w:trHeight w:val="142"/>
        </w:trPr>
        <w:tc>
          <w:tcPr>
            <w:tcW w:w="9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amortization expense</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15,429</w:t>
            </w:r>
          </w:p>
        </w:tc>
      </w:tr>
      <w:tr>
        <w:trPr>
          <w:trHeight w:val="20"/>
        </w:trPr>
        <w:tc>
          <w:tcPr>
            <w:tcW w:w="9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7.Business Combination</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Acquisition of Move EZ, Inc.</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October 22, 2024, we acquired all of the outstanding shares of Move EZ, Inc., d/b/a LiveEasy (“LiveEasy”) for a total cash purchase consideration of $78.5 million. LiveEasy is a concierge platform providing moving and home services throughout the resident onboarding process. As of December 31, 2024, $0.8 million of the purchase consideration remains outstanding and is expected to be settled in 2025.</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transaction was accounted for using the acquisition method, and as a result, assets acquired and liabilities assumed were recorded at their estimated fair values as of the acquisition date.</w:t>
      </w:r>
    </w:p>
    <w:p>
      <w:pPr>
        <w:spacing w:after="0" w:line="7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final purchase price allocation (in thousands) as well as the estimated useful lives of the acquired intangible assets over which they are amortized on a straight-line basis, as this approximates the pattern in which economic benefits are consumed: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40" w:type="dxa"/>
            <w:vAlign w:val="bottom"/>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Useful Life (in years)</w:t>
            </w: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Identified intangible assets:</w:t>
            </w:r>
          </w:p>
        </w:tc>
        <w:tc>
          <w:tcPr>
            <w:tcW w:w="17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3"/>
        </w:trPr>
        <w:tc>
          <w:tcPr>
            <w:tcW w:w="6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Customer relationships</w:t>
            </w:r>
          </w:p>
        </w:tc>
        <w:tc>
          <w:tcPr>
            <w:tcW w:w="1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39,000</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5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Developed technology</w:t>
            </w:r>
          </w:p>
        </w:tc>
        <w:tc>
          <w:tcPr>
            <w:tcW w:w="1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9,800</w:t>
            </w: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40,350</w:t>
            </w: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(8,874)</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3"/>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net tangible liabilities</w:t>
            </w:r>
          </w:p>
        </w:tc>
        <w:tc>
          <w:tcPr>
            <w:tcW w:w="1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r>
      <w:tr>
        <w:trPr>
          <w:trHeight w:val="158"/>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assets acquired</w:t>
            </w:r>
          </w:p>
        </w:tc>
        <w:tc>
          <w:tcPr>
            <w:tcW w:w="1720" w:type="dxa"/>
            <w:vAlign w:val="bottom"/>
            <w:tcBorders>
              <w:bottom w:val="single" w:sz="8" w:color="auto"/>
            </w:tcBorders>
            <w:shd w:val="clear" w:color="auto" w:fill="CCEEFF"/>
          </w:tcPr>
          <w:p>
            <w:pPr>
              <w:jc w:val="right"/>
              <w:ind w:right="16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78,501</w:t>
            </w:r>
          </w:p>
        </w:tc>
        <w:tc>
          <w:tcPr>
            <w:tcW w:w="80" w:type="dxa"/>
            <w:vAlign w:val="bottom"/>
            <w:tcBorders>
              <w:bottom w:val="single" w:sz="8" w:color="CCEEFF"/>
            </w:tcBorders>
            <w:shd w:val="clear" w:color="auto" w:fill="CCEEFF"/>
          </w:tcPr>
          <w:p>
            <w:pPr>
              <w:spacing w:after="0"/>
              <w:rPr>
                <w:sz w:val="13"/>
                <w:szCs w:val="13"/>
                <w:color w:val="auto"/>
              </w:rPr>
            </w:pPr>
          </w:p>
        </w:tc>
        <w:tc>
          <w:tcPr>
            <w:tcW w:w="2200" w:type="dxa"/>
            <w:vAlign w:val="bottom"/>
            <w:tcBorders>
              <w:bottom w:val="single" w:sz="8" w:color="CCEEFF"/>
            </w:tcBorders>
            <w:shd w:val="clear" w:color="auto" w:fill="CCEEFF"/>
          </w:tcPr>
          <w:p>
            <w:pPr>
              <w:spacing w:after="0"/>
              <w:rPr>
                <w:sz w:val="13"/>
                <w:szCs w:val="13"/>
                <w:color w:val="auto"/>
              </w:rPr>
            </w:pPr>
          </w:p>
        </w:tc>
      </w:tr>
    </w:tbl>
    <w:p>
      <w:pPr>
        <w:spacing w:after="0" w:line="12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Customer relationships represent the fair value of the underlying contracts and related relationships with LiveEasy's customers and service providers. Developed technology represents the fair value of the technologies that pertain to a customer-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1" w:name="page52"/>
    <w:bookmarkEnd w:id="51"/>
    <w:p>
      <w:pPr>
        <w:jc w:val="both"/>
        <w:spacing w:after="0" w:line="279" w:lineRule="auto"/>
        <w:rPr>
          <w:sz w:val="20"/>
          <w:szCs w:val="20"/>
          <w:color w:val="auto"/>
        </w:rPr>
      </w:pPr>
      <w:r>
        <w:rPr>
          <w:rFonts w:ascii="Times New Roman" w:cs="Times New Roman" w:eastAsia="Times New Roman" w:hAnsi="Times New Roman"/>
          <w:sz w:val="12"/>
          <w:szCs w:val="12"/>
          <w:color w:val="auto"/>
        </w:rPr>
        <w:t>facing concierge platform that provides moving and home services. We used a replacement cost method to determine the fair value of both intangible assets. The assumptions used are development costs, the time required to recreate the assets and profit margin a market participant would receive, and rate of return.</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excess of purchase consideration over the fair value of net tangible and identifiable intangible assets acquired was recorded as goodwill, which is not deductible for tax purposes. Goodwill is primarily attributed to the assembled workforce of LiveEasy and anticipated operational synergies.</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incurred a total of $0.7 million in transaction costs related to the acquisition and expensed all transaction costs incurred during the period in which such service was received in General and Administrative in the Consolidated Statement of Operations. The results of the acquired operations were included in our consolidated financial statements from the date of acquisition, October 22, 2024. For the period from October 22, 2024 through December 31, 2024, LiveEasy contributed an immaterial amount of revenue and loss before taxes. Pro forma revenue and earnings amounts on a combined basis have not been presented as the historical financial results are immaterial. The pro forma amortization expense adjustment from acquired intangible assets would be $8.1 million, and $9.8 million for the years ended December 31, 2024 and 2023, respectively.</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Goodwill and Intangible Assets, Net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Intangible assets, net consisted of the following (in thousands, except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vMerge w:val="restart"/>
          </w:tcPr>
          <w:p>
            <w:pPr>
              <w:jc w:val="center"/>
              <w:ind w:left="430"/>
              <w:spacing w:after="0"/>
              <w:rPr>
                <w:sz w:val="20"/>
                <w:szCs w:val="20"/>
                <w:color w:val="auto"/>
              </w:rPr>
            </w:pPr>
            <w:r>
              <w:rPr>
                <w:rFonts w:ascii="Times New Roman" w:cs="Times New Roman" w:eastAsia="Times New Roman" w:hAnsi="Times New Roman"/>
                <w:sz w:val="10"/>
                <w:szCs w:val="10"/>
                <w:b w:val="1"/>
                <w:bCs w:val="1"/>
                <w:color w:val="auto"/>
                <w:w w:val="95"/>
              </w:rPr>
              <w:t>Gross Carrying</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4"/>
              </w:rPr>
              <w:t>Net Carrying</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7"/>
              </w:rPr>
              <w:t>Weighted</w:t>
            </w: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4"/>
              </w:rPr>
              <w:t>Average Useful</w:t>
            </w:r>
          </w:p>
        </w:tc>
        <w:tc>
          <w:tcPr>
            <w:tcW w:w="0" w:type="dxa"/>
            <w:vAlign w:val="bottom"/>
          </w:tcPr>
          <w:p>
            <w:pPr>
              <w:spacing w:after="0"/>
              <w:rPr>
                <w:sz w:val="1"/>
                <w:szCs w:val="1"/>
                <w:color w:val="auto"/>
              </w:rPr>
            </w:pPr>
          </w:p>
        </w:tc>
      </w:tr>
      <w:tr>
        <w:trPr>
          <w:trHeight w:val="131"/>
        </w:trPr>
        <w:tc>
          <w:tcPr>
            <w:tcW w:w="37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Life in Years</w:t>
            </w:r>
          </w:p>
        </w:tc>
        <w:tc>
          <w:tcPr>
            <w:tcW w:w="0" w:type="dxa"/>
            <w:vAlign w:val="bottom"/>
          </w:tcPr>
          <w:p>
            <w:pPr>
              <w:spacing w:after="0"/>
              <w:rPr>
                <w:sz w:val="1"/>
                <w:szCs w:val="1"/>
                <w:color w:val="auto"/>
              </w:rPr>
            </w:pPr>
          </w:p>
        </w:tc>
      </w:tr>
      <w:tr>
        <w:trPr>
          <w:trHeight w:val="14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Developed technology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9,473</w:t>
            </w:r>
          </w:p>
        </w:tc>
        <w:tc>
          <w:tcPr>
            <w:tcW w:w="2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Database</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(2,826)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1,884</w:t>
            </w:r>
          </w:p>
        </w:tc>
        <w:tc>
          <w:tcPr>
            <w:tcW w:w="2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Domain names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2"/>
        </w:trPr>
        <w:tc>
          <w:tcPr>
            <w:tcW w:w="3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intangible assets, net</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53,852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(4,795)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49,057</w:t>
            </w:r>
          </w:p>
        </w:tc>
        <w:tc>
          <w:tcPr>
            <w:tcW w:w="20" w:type="dxa"/>
            <w:vAlign w:val="bottom"/>
            <w:tcBorders>
              <w:bottom w:val="single" w:sz="8" w:color="auto"/>
            </w:tcBorders>
          </w:tcPr>
          <w:p>
            <w:pPr>
              <w:spacing w:after="0"/>
              <w:rPr>
                <w:sz w:val="12"/>
                <w:szCs w:val="12"/>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vMerge w:val="restart"/>
          </w:tcPr>
          <w:p>
            <w:pPr>
              <w:jc w:val="center"/>
              <w:ind w:left="390"/>
              <w:spacing w:after="0"/>
              <w:rPr>
                <w:sz w:val="20"/>
                <w:szCs w:val="20"/>
                <w:color w:val="auto"/>
              </w:rPr>
            </w:pPr>
            <w:r>
              <w:rPr>
                <w:rFonts w:ascii="Times New Roman" w:cs="Times New Roman" w:eastAsia="Times New Roman" w:hAnsi="Times New Roman"/>
                <w:sz w:val="10"/>
                <w:szCs w:val="10"/>
                <w:b w:val="1"/>
                <w:bCs w:val="1"/>
                <w:color w:val="auto"/>
                <w:w w:val="95"/>
              </w:rPr>
              <w:t>Gross Carrying</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4"/>
              </w:rPr>
              <w:t>Net Carrying</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2"/>
              </w:rPr>
              <w:t>Weighted</w:t>
            </w: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4"/>
              </w:rPr>
              <w:t>Average Useful</w:t>
            </w: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Life in Years</w:t>
            </w:r>
          </w:p>
        </w:tc>
        <w:tc>
          <w:tcPr>
            <w:tcW w:w="0" w:type="dxa"/>
            <w:vAlign w:val="bottom"/>
          </w:tcPr>
          <w:p>
            <w:pPr>
              <w:spacing w:after="0"/>
              <w:rPr>
                <w:sz w:val="1"/>
                <w:szCs w:val="1"/>
                <w:color w:val="auto"/>
              </w:rPr>
            </w:pPr>
          </w:p>
        </w:tc>
      </w:tr>
      <w:tr>
        <w:trPr>
          <w:trHeight w:val="14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Database</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Domain names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2"/>
        </w:trPr>
        <w:tc>
          <w:tcPr>
            <w:tcW w:w="3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intangible assets, net</w:t>
            </w:r>
          </w:p>
        </w:tc>
        <w:tc>
          <w:tcPr>
            <w:tcW w:w="60" w:type="dxa"/>
            <w:vAlign w:val="bottom"/>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121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226"/>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2,357</w:t>
            </w:r>
          </w:p>
        </w:tc>
        <w:tc>
          <w:tcPr>
            <w:tcW w:w="20" w:type="dxa"/>
            <w:vAlign w:val="bottom"/>
          </w:tcPr>
          <w:p>
            <w:pPr>
              <w:spacing w:after="0"/>
              <w:rPr>
                <w:sz w:val="12"/>
                <w:szCs w:val="12"/>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Amortization expense with respect to intangible assets totaled $2.1 million, $2.5 million and $4.4 million for the years ended December 31, 2024, 2023 and 2022, respectively. Future amortization expense with respect to intangible assets is estimated as follows (in thousands):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5"/>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Years Ending December 31,</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10,231</w:t>
            </w:r>
          </w:p>
        </w:tc>
        <w:tc>
          <w:tcPr>
            <w:tcW w:w="0" w:type="dxa"/>
            <w:vAlign w:val="bottom"/>
          </w:tcPr>
          <w:p>
            <w:pPr>
              <w:spacing w:after="0"/>
              <w:rPr>
                <w:sz w:val="1"/>
                <w:szCs w:val="1"/>
                <w:color w:val="auto"/>
              </w:rPr>
            </w:pP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10,231</w:t>
            </w:r>
          </w:p>
        </w:tc>
        <w:tc>
          <w:tcPr>
            <w:tcW w:w="0" w:type="dxa"/>
            <w:vAlign w:val="bottom"/>
          </w:tcPr>
          <w:p>
            <w:pPr>
              <w:spacing w:after="0"/>
              <w:rPr>
                <w:sz w:val="1"/>
                <w:szCs w:val="1"/>
                <w:color w:val="auto"/>
              </w:rPr>
            </w:pP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10,231</w:t>
            </w:r>
          </w:p>
        </w:tc>
        <w:tc>
          <w:tcPr>
            <w:tcW w:w="0" w:type="dxa"/>
            <w:vAlign w:val="bottom"/>
          </w:tcPr>
          <w:p>
            <w:pPr>
              <w:spacing w:after="0"/>
              <w:rPr>
                <w:sz w:val="1"/>
                <w:szCs w:val="1"/>
                <w:color w:val="auto"/>
              </w:rPr>
            </w:pP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10,231</w:t>
            </w:r>
          </w:p>
        </w:tc>
        <w:tc>
          <w:tcPr>
            <w:tcW w:w="0" w:type="dxa"/>
            <w:vAlign w:val="bottom"/>
          </w:tcPr>
          <w:p>
            <w:pPr>
              <w:spacing w:after="0"/>
              <w:rPr>
                <w:sz w:val="1"/>
                <w:szCs w:val="1"/>
                <w:color w:val="auto"/>
              </w:rPr>
            </w:pP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8,133</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49,057</w:t>
            </w:r>
          </w:p>
        </w:tc>
        <w:tc>
          <w:tcPr>
            <w:tcW w:w="0" w:type="dxa"/>
            <w:vAlign w:val="bottom"/>
          </w:tcPr>
          <w:p>
            <w:pPr>
              <w:spacing w:after="0"/>
              <w:rPr>
                <w:sz w:val="1"/>
                <w:szCs w:val="1"/>
                <w:color w:val="auto"/>
              </w:rPr>
            </w:pPr>
          </w:p>
        </w:tc>
      </w:tr>
      <w:tr>
        <w:trPr>
          <w:trHeight w:val="20"/>
        </w:trPr>
        <w:tc>
          <w:tcPr>
            <w:tcW w:w="97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2"/>
                <w:szCs w:val="12"/>
                <w:color w:val="auto"/>
              </w:rPr>
              <w:t>Our goodwill balance is solely attributed to acquisitions. The change in the carrying amount of goodwill during the years ended December 31, 2024, 2023 and 2022 is as follows (in thousands):</w:t>
            </w: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720" w:type="dxa"/>
            <w:vAlign w:val="bottom"/>
            <w:gridSpan w:val="4"/>
            <w:vMerge w:val="continue"/>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8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 at December 31, 2022</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56,060</w:t>
            </w:r>
          </w:p>
        </w:tc>
        <w:tc>
          <w:tcPr>
            <w:tcW w:w="0" w:type="dxa"/>
            <w:vAlign w:val="bottom"/>
          </w:tcPr>
          <w:p>
            <w:pPr>
              <w:spacing w:after="0"/>
              <w:rPr>
                <w:sz w:val="1"/>
                <w:szCs w:val="1"/>
                <w:color w:val="auto"/>
              </w:rPr>
            </w:pP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Goodwill at December 31, 2023</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56,060</w:t>
            </w:r>
          </w:p>
        </w:tc>
        <w:tc>
          <w:tcPr>
            <w:tcW w:w="0" w:type="dxa"/>
            <w:vAlign w:val="bottom"/>
          </w:tcPr>
          <w:p>
            <w:pPr>
              <w:spacing w:after="0"/>
              <w:rPr>
                <w:sz w:val="1"/>
                <w:szCs w:val="1"/>
                <w:color w:val="auto"/>
              </w:rPr>
            </w:pP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LiveEasy</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40,350</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Goodwill at December 31, 2024</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96,410</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9. Accrued Employee Expenses</w:t>
            </w: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8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Accrued employee expenses consisted of the following (in thousands):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0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0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47"/>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vacation</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12,399</w:t>
            </w:r>
          </w:p>
        </w:tc>
        <w:tc>
          <w:tcPr>
            <w:tcW w:w="0" w:type="dxa"/>
            <w:vAlign w:val="bottom"/>
          </w:tcPr>
          <w:p>
            <w:pPr>
              <w:spacing w:after="0"/>
              <w:rPr>
                <w:sz w:val="1"/>
                <w:szCs w:val="1"/>
                <w:color w:val="auto"/>
              </w:rPr>
            </w:pP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Accrued bonuses</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14,795</w:t>
            </w:r>
          </w:p>
        </w:tc>
        <w:tc>
          <w:tcPr>
            <w:tcW w:w="0" w:type="dxa"/>
            <w:vAlign w:val="bottom"/>
          </w:tcPr>
          <w:p>
            <w:pPr>
              <w:spacing w:after="0"/>
              <w:rPr>
                <w:sz w:val="1"/>
                <w:szCs w:val="1"/>
                <w:color w:val="auto"/>
              </w:rPr>
            </w:pP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severance and related personnel cost</w:t>
            </w:r>
          </w:p>
        </w:tc>
        <w:tc>
          <w:tcPr>
            <w:tcW w:w="3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1,098</w:t>
            </w:r>
          </w:p>
        </w:tc>
        <w:tc>
          <w:tcPr>
            <w:tcW w:w="0" w:type="dxa"/>
            <w:vAlign w:val="bottom"/>
          </w:tcPr>
          <w:p>
            <w:pPr>
              <w:spacing w:after="0"/>
              <w:rPr>
                <w:sz w:val="1"/>
                <w:szCs w:val="1"/>
                <w:color w:val="auto"/>
              </w:rPr>
            </w:pPr>
          </w:p>
        </w:tc>
      </w:tr>
      <w:tr>
        <w:trPr>
          <w:trHeight w:val="15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payroll and other</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7,275</w:t>
            </w:r>
          </w:p>
        </w:tc>
        <w:tc>
          <w:tcPr>
            <w:tcW w:w="0" w:type="dxa"/>
            <w:vAlign w:val="bottom"/>
          </w:tcPr>
          <w:p>
            <w:pPr>
              <w:spacing w:after="0"/>
              <w:rPr>
                <w:sz w:val="1"/>
                <w:szCs w:val="1"/>
                <w:color w:val="auto"/>
              </w:rPr>
            </w:pPr>
          </w:p>
        </w:tc>
      </w:tr>
      <w:tr>
        <w:trPr>
          <w:trHeight w:val="158"/>
        </w:trPr>
        <w:tc>
          <w:tcPr>
            <w:tcW w:w="8080" w:type="dxa"/>
            <w:vAlign w:val="bottom"/>
            <w:tcBorders>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accrued employee expenses</w:t>
            </w: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30,157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35,567</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During the year ended December 31, 2023, we expensed and paid $14.9 million of severance related to separation costs associated with our former Chief Executive Officer's Transition and Separation Agreement, dated March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1, 2023.</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In the third quarter of 2023, we accrued $10.3 million of severance and related personnel costs associated with our workforce reduction. Refer to Note 17, </w:t>
      </w:r>
      <w:r>
        <w:rPr>
          <w:rFonts w:ascii="Times New Roman" w:cs="Times New Roman" w:eastAsia="Times New Roman" w:hAnsi="Times New Roman"/>
          <w:sz w:val="12"/>
          <w:szCs w:val="12"/>
          <w:i w:val="1"/>
          <w:iCs w:val="1"/>
          <w:color w:val="auto"/>
        </w:rPr>
        <w:t>Workforce Reduction</w:t>
      </w:r>
      <w:r>
        <w:rPr>
          <w:rFonts w:ascii="Times New Roman" w:cs="Times New Roman" w:eastAsia="Times New Roman" w:hAnsi="Times New Roman"/>
          <w:sz w:val="12"/>
          <w:szCs w:val="12"/>
          <w:color w:val="auto"/>
        </w:rPr>
        <w:t xml:space="preserve"> for additional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Other Current Liabilities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Current Liabilities consisted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r>
      <w:tr>
        <w:trPr>
          <w:trHeight w:val="128"/>
        </w:trPr>
        <w:tc>
          <w:tcPr>
            <w:tcW w:w="80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Unearned premium liabilities</w:t>
            </w:r>
          </w:p>
        </w:tc>
        <w:tc>
          <w:tcPr>
            <w:tcW w:w="10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2,605</w:t>
            </w: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Insurance reserves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3,908</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4,174</w:t>
            </w: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liabilities-current</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3,626</w:t>
            </w:r>
          </w:p>
        </w:tc>
      </w:tr>
      <w:tr>
        <w:trPr>
          <w:trHeight w:val="15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Others</w:t>
            </w: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2,451</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930</w:t>
            </w:r>
          </w:p>
        </w:tc>
      </w:tr>
      <w:tr>
        <w:trPr>
          <w:trHeight w:val="158"/>
        </w:trPr>
        <w:tc>
          <w:tcPr>
            <w:tcW w:w="8080" w:type="dxa"/>
            <w:vAlign w:val="bottom"/>
            <w:tcBorders>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other current liabilities</w:t>
            </w:r>
          </w:p>
        </w:tc>
        <w:tc>
          <w:tcPr>
            <w:tcW w:w="102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16,087</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11,335</w:t>
            </w:r>
          </w:p>
        </w:tc>
      </w:tr>
    </w:tbl>
    <w:p>
      <w:pPr>
        <w:spacing w:after="0" w:line="12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Unearned premium liabilities are the refundable portion of commissions received in connection with the sale of renters insurance policies to residents through AppFolio Insurance Services, Inc., our wholly owned subsidiary. In the event a resident cancels their renters insurance policy prior to the end of such policy, we may be required to refund a pro rata portion of the commission paid on such policy.</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For additional information for insurance reserves and operating lease liabilities, refer to Note 12,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xml:space="preserve"> and Note 11,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respectively</w:t>
      </w:r>
      <w:r>
        <w:rPr>
          <w:rFonts w:ascii="Times New Roman" w:cs="Times New Roman" w:eastAsia="Times New Roman" w:hAnsi="Times New Roman"/>
          <w:sz w:val="12"/>
          <w:szCs w:val="12"/>
          <w:i w:val="1"/>
          <w:iCs w:val="1"/>
          <w:color w:val="auto"/>
        </w:rPr>
        <w: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11. Leases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53" w:name="page54"/>
    <w:bookmarkEnd w:id="53"/>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Operating leases for our corporate offices have remaining lease terms ranging from 2.6 years to 8.1 years, some of which include options to extend the leases for up to ten years. These options to extend have not been recognized as part of our operating lease ROU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components of lease expense recognized in the Consolidated Statements of Operations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28"/>
        </w:trPr>
        <w:tc>
          <w:tcPr>
            <w:tcW w:w="71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88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5,403</w:t>
            </w:r>
          </w:p>
        </w:tc>
      </w:tr>
      <w:tr>
        <w:trPr>
          <w:trHeight w:val="153"/>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Variable lease cost</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1,058</w:t>
            </w:r>
          </w:p>
        </w:tc>
      </w:tr>
      <w:tr>
        <w:trPr>
          <w:trHeight w:val="158"/>
        </w:trPr>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lease cost</w:t>
            </w: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6,461</w:t>
            </w: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Lease-related assets and liabilities were as follows (in thousands, except years and %):</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0" w:type="dxa"/>
            <w:vAlign w:val="bottom"/>
            <w:tcBorders>
              <w:bottom w:val="single" w:sz="8" w:color="auto"/>
            </w:tcBorders>
          </w:tcPr>
          <w:p>
            <w:pPr>
              <w:spacing w:after="0"/>
              <w:rPr>
                <w:sz w:val="11"/>
                <w:szCs w:val="11"/>
                <w:color w:val="auto"/>
              </w:rPr>
            </w:pPr>
          </w:p>
        </w:tc>
      </w:tr>
      <w:tr>
        <w:trPr>
          <w:trHeight w:val="128"/>
        </w:trPr>
        <w:tc>
          <w:tcPr>
            <w:tcW w:w="83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8"/>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3"/>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880" w:type="dxa"/>
            <w:vAlign w:val="bottom"/>
          </w:tcPr>
          <w:p>
            <w:pPr>
              <w:spacing w:after="0"/>
              <w:rPr>
                <w:sz w:val="13"/>
                <w:szCs w:val="13"/>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17,472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19,285</w:t>
            </w:r>
          </w:p>
        </w:tc>
      </w:tr>
      <w:tr>
        <w:trPr>
          <w:trHeight w:val="180"/>
        </w:trPr>
        <w:tc>
          <w:tcPr>
            <w:tcW w:w="8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53"/>
        </w:trPr>
        <w:tc>
          <w:tcPr>
            <w:tcW w:w="8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88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4,273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3,626</w:t>
            </w:r>
          </w:p>
        </w:tc>
      </w:tr>
      <w:tr>
        <w:trPr>
          <w:trHeight w:val="153"/>
        </w:trPr>
        <w:tc>
          <w:tcPr>
            <w:tcW w:w="8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37,476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41,114</w:t>
            </w:r>
          </w:p>
        </w:tc>
      </w:tr>
      <w:tr>
        <w:trPr>
          <w:trHeight w:val="158"/>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lease liabilities</w:t>
            </w: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41,749</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44,740</w:t>
            </w:r>
          </w:p>
        </w:tc>
      </w:tr>
      <w:tr>
        <w:trPr>
          <w:trHeight w:val="162"/>
        </w:trPr>
        <w:tc>
          <w:tcPr>
            <w:tcW w:w="8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lease term (years)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55"/>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discount rate</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5.1 %</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5.1 %</w:t>
            </w:r>
          </w:p>
        </w:tc>
      </w:tr>
    </w:tbl>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During the year ended December 31, 2022, we decided to exit and make available for sublease certain of our leased office spaces. As a result, we reassessed our asset groupings and evaluated the recoverability of our ROU and other lease related assets, and determined that the carrying value of the respective asset groups was not fully recoverable. We utilized discounted cash flow models to estimate the fair value of the asset groups taking into consideration the time period it will take to obtain a sublessee, the applicable discount rates and the anticipated sublease income and calculated the corresponding impairment loss. We used prices and other relevant information generated primarily by recent market transactions involving similar or comparable assets, as well as our historical experience in real estate transactions. When available, we use valuation inputs from independent valuation experts, such as real estate appraisers and brokers, to corroborate our estimates of fair value. We recorded a net impairment of $22.0 million consisting of $17.6 million related to ROU assets and $4.4 million related to property and equipment associated with our leased office spaces. These amounts were recorded within </w:t>
      </w:r>
      <w:r>
        <w:rPr>
          <w:rFonts w:ascii="Times New Roman" w:cs="Times New Roman" w:eastAsia="Times New Roman" w:hAnsi="Times New Roman"/>
          <w:sz w:val="12"/>
          <w:szCs w:val="12"/>
          <w:i w:val="1"/>
          <w:iCs w:val="1"/>
          <w:color w:val="auto"/>
        </w:rPr>
        <w:t>General and administrative</w:t>
      </w:r>
      <w:r>
        <w:rPr>
          <w:rFonts w:ascii="Times New Roman" w:cs="Times New Roman" w:eastAsia="Times New Roman" w:hAnsi="Times New Roman"/>
          <w:sz w:val="12"/>
          <w:szCs w:val="12"/>
          <w:color w:val="auto"/>
        </w:rPr>
        <w:t xml:space="preserve"> in our Consolidated Statements of Operations.</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January 2023, we entered into an amendment to the lease agreement for our San Diego facility (the "San Diego Lease"). We remeasured the lease liability and recorded a reduction to the lease liability and ROU asset using the discount rate at the modification date, which resulted in a gain of $2.4 million in the Consolidated Statements of Operations.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June 2023, we entered into a second amendment to reduce the rentable square footage and our future rental payment obligations under the San Diego Lease pursuant to which we made a one-time payment of $2.9 million.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again remeasured the lease liability and recorded a reduction to the lease liability using the discount rate at the modification date. As a result, we recorded a gain of $1.9 million in the Consolidated Statements of Operations.</w:t>
      </w:r>
    </w:p>
    <w:p>
      <w:pPr>
        <w:spacing w:after="0" w:line="6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July 2023, we entered into an agreement to sublet one of our office spaces in Santa Barbara through December 31, 2031 (the "Santa Barbara 90 Sublease"). The total rental commitment over the term of the Santa Barbara 90 Sublease is $6.1 million. We performed impairment testing in accordance with ASC 360, and no impairment related to the ROU assets was recorded for the year ended December 31,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4" w:name="page55"/>
    <w:bookmarkEnd w:id="54"/>
    <w:tbl>
      <w:tblPr>
        <w:tblLayout w:type="fixed"/>
        <w:tblInd w:w="120" w:type="dxa"/>
        <w:tblCellMar>
          <w:top w:w="0" w:type="dxa"/>
          <w:left w:w="0" w:type="dxa"/>
          <w:bottom w:w="0" w:type="dxa"/>
          <w:right w:w="0" w:type="dxa"/>
        </w:tblCellMar>
      </w:tblPr>
      <w:tr>
        <w:trPr>
          <w:trHeight w:val="155"/>
        </w:trPr>
        <w:tc>
          <w:tcPr>
            <w:tcW w:w="97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Future minimum lease payments under non-cancellable leases as of December 31, 2024 were as follows (in thousands):</w:t>
            </w: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90"/>
        </w:trPr>
        <w:tc>
          <w:tcPr>
            <w:tcW w:w="9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5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Years ending December 31,</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9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2025</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6,251</w:t>
            </w:r>
          </w:p>
        </w:tc>
      </w:tr>
      <w:tr>
        <w:trPr>
          <w:trHeight w:val="15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6,430</w:t>
            </w:r>
          </w:p>
        </w:tc>
      </w:tr>
      <w:tr>
        <w:trPr>
          <w:trHeight w:val="153"/>
        </w:trPr>
        <w:tc>
          <w:tcPr>
            <w:tcW w:w="9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2027</w:t>
            </w: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6,583</w:t>
            </w:r>
          </w:p>
        </w:tc>
      </w:tr>
      <w:tr>
        <w:trPr>
          <w:trHeight w:val="15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2028</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6,717</w:t>
            </w:r>
          </w:p>
        </w:tc>
      </w:tr>
      <w:tr>
        <w:trPr>
          <w:trHeight w:val="153"/>
        </w:trPr>
        <w:tc>
          <w:tcPr>
            <w:tcW w:w="9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2029</w:t>
            </w:r>
          </w:p>
        </w:tc>
        <w:tc>
          <w:tcPr>
            <w:tcW w:w="5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6,910</w:t>
            </w:r>
          </w:p>
        </w:tc>
      </w:tr>
      <w:tr>
        <w:trPr>
          <w:trHeight w:val="15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Thereafter</w:t>
            </w:r>
          </w:p>
        </w:tc>
        <w:tc>
          <w:tcPr>
            <w:tcW w:w="5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17,463</w:t>
            </w:r>
          </w:p>
        </w:tc>
      </w:tr>
      <w:tr>
        <w:trPr>
          <w:trHeight w:val="142"/>
        </w:trPr>
        <w:tc>
          <w:tcPr>
            <w:tcW w:w="9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future minimum lease payments</w:t>
            </w: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50,354</w:t>
            </w:r>
          </w:p>
        </w:tc>
      </w:tr>
      <w:tr>
        <w:trPr>
          <w:trHeight w:val="15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imputed interest</w:t>
            </w:r>
          </w:p>
        </w:tc>
        <w:tc>
          <w:tcPr>
            <w:tcW w:w="5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(8,605)</w:t>
            </w:r>
          </w:p>
        </w:tc>
      </w:tr>
      <w:tr>
        <w:trPr>
          <w:trHeight w:val="142"/>
        </w:trPr>
        <w:tc>
          <w:tcPr>
            <w:tcW w:w="9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5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41,749</w:t>
            </w:r>
          </w:p>
        </w:tc>
      </w:tr>
      <w:tr>
        <w:trPr>
          <w:trHeight w:val="20"/>
        </w:trPr>
        <w:tc>
          <w:tcPr>
            <w:tcW w:w="9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20" w:right="9320" w:hanging="398"/>
        <w:spacing w:after="0" w:line="413" w:lineRule="auto"/>
        <w:tabs>
          <w:tab w:leader="none" w:pos="198" w:val="left"/>
        </w:tabs>
        <w:numPr>
          <w:ilvl w:val="0"/>
          <w:numId w:val="1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Commitments and Contingencies </w:t>
      </w:r>
      <w:r>
        <w:rPr>
          <w:rFonts w:ascii="Times New Roman" w:cs="Times New Roman" w:eastAsia="Times New Roman" w:hAnsi="Times New Roman"/>
          <w:sz w:val="11"/>
          <w:szCs w:val="11"/>
          <w:b w:val="1"/>
          <w:bCs w:val="1"/>
          <w:i w:val="1"/>
          <w:iCs w:val="1"/>
          <w:color w:val="auto"/>
        </w:rPr>
        <w:t>Liability to Landlord Insurance</w:t>
      </w:r>
    </w:p>
    <w:p>
      <w:pPr>
        <w:spacing w:after="0" w:line="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We have a wholly owned subsidiary, Terra Mar Insurance Company, Inc., which was established in connection with reinsuring liability to landlord insurance policies offered to our customers by a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December 31, 2024 and 2023 was $3.9 million and $4.2 million, respectively, and is included in </w:t>
      </w:r>
      <w:r>
        <w:rPr>
          <w:rFonts w:ascii="Times New Roman" w:cs="Times New Roman" w:eastAsia="Times New Roman" w:hAnsi="Times New Roman"/>
          <w:sz w:val="12"/>
          <w:szCs w:val="12"/>
          <w:i w:val="1"/>
          <w:iCs w:val="1"/>
          <w:color w:val="auto"/>
        </w:rPr>
        <w:t>Other current liabilities</w:t>
      </w:r>
      <w:r>
        <w:rPr>
          <w:rFonts w:ascii="Times New Roman" w:cs="Times New Roman" w:eastAsia="Times New Roman" w:hAnsi="Times New Roman"/>
          <w:sz w:val="12"/>
          <w:szCs w:val="12"/>
          <w:color w:val="auto"/>
        </w:rPr>
        <w:t xml:space="preserve"> on our Consolidated Balance Sheets.</w:t>
      </w:r>
    </w:p>
    <w:p>
      <w:pPr>
        <w:spacing w:after="0" w:line="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Included in </w:t>
      </w:r>
      <w:r>
        <w:rPr>
          <w:rFonts w:ascii="Times New Roman" w:cs="Times New Roman" w:eastAsia="Times New Roman" w:hAnsi="Times New Roman"/>
          <w:sz w:val="12"/>
          <w:szCs w:val="12"/>
          <w:i w:val="1"/>
          <w:iCs w:val="1"/>
          <w:color w:val="auto"/>
        </w:rPr>
        <w:t>Prepaid expenses and other current assets</w:t>
      </w:r>
      <w:r>
        <w:rPr>
          <w:rFonts w:ascii="Times New Roman" w:cs="Times New Roman" w:eastAsia="Times New Roman" w:hAnsi="Times New Roman"/>
          <w:sz w:val="12"/>
          <w:szCs w:val="12"/>
          <w:color w:val="auto"/>
        </w:rPr>
        <w:t xml:space="preserve"> as of December 31, 2024 and 2023 are $6.7 million and $5.1 million, respectively, of deposits held with a third party related to requirements to maintain collateral for this risk mitigation service.</w:t>
      </w:r>
    </w:p>
    <w:p>
      <w:pPr>
        <w:spacing w:after="0" w:line="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February 10, 2023, a lawsuit was filed in the First Judicial District Court of New Mexico, Murphy, et al. v. AppFolio, Inc., et al. (No. D-101-CV-2022-02100), naming us as a defendant and alleging certain violations of the New Mexico Unfair Practices Act and negligent misrepresentation in connection with our tenant screening service (the “Murphy Litigation”). In late November 2023, the parties agreed to settle the Murphy Litigation. We did not admit any wrongdoing in connection with the settlement of the Murphy Litigation.</w:t>
      </w:r>
    </w:p>
    <w:p>
      <w:pPr>
        <w:spacing w:after="0" w:line="4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color w:val="auto"/>
        </w:rPr>
        <w:t xml:space="preserve">The settlement agreement required us to pay $7.0 million, which was covered in full under our existing insurance policies. As of December 31, 2023, we recorded a liability of $7.0 million within </w:t>
      </w:r>
      <w:r>
        <w:rPr>
          <w:rFonts w:ascii="Times New Roman" w:cs="Times New Roman" w:eastAsia="Times New Roman" w:hAnsi="Times New Roman"/>
          <w:sz w:val="12"/>
          <w:szCs w:val="12"/>
          <w:i w:val="1"/>
          <w:iCs w:val="1"/>
          <w:color w:val="auto"/>
        </w:rPr>
        <w:t>Accrued Expenses</w:t>
      </w:r>
      <w:r>
        <w:rPr>
          <w:rFonts w:ascii="Times New Roman" w:cs="Times New Roman" w:eastAsia="Times New Roman" w:hAnsi="Times New Roman"/>
          <w:sz w:val="12"/>
          <w:szCs w:val="12"/>
          <w:color w:val="auto"/>
        </w:rPr>
        <w:t xml:space="preserve"> and a corresponding receivable amount within </w:t>
      </w:r>
      <w:r>
        <w:rPr>
          <w:rFonts w:ascii="Times New Roman" w:cs="Times New Roman" w:eastAsia="Times New Roman" w:hAnsi="Times New Roman"/>
          <w:sz w:val="12"/>
          <w:szCs w:val="12"/>
          <w:i w:val="1"/>
          <w:iCs w:val="1"/>
          <w:color w:val="auto"/>
        </w:rPr>
        <w:t>Prepaid expenses and other current assets.</w:t>
      </w:r>
      <w:r>
        <w:rPr>
          <w:rFonts w:ascii="Times New Roman" w:cs="Times New Roman" w:eastAsia="Times New Roman" w:hAnsi="Times New Roman"/>
          <w:sz w:val="12"/>
          <w:szCs w:val="12"/>
          <w:color w:val="auto"/>
        </w:rPr>
        <w:t xml:space="preserve"> In April, 2024, the parties filed a stipulation of settlement with the court dismissing all claims against AppFolio with prejudice. As the settlement was paid in March 2024, there is no remaining liability or receivable as of December 31, 2024</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to the foregoing, from time to time, we are involved in various other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investigative inquires, legal proceedings and other disputes, if determined adversely to us, would, individually or taken together, have a material adverse effect on our business, operating results, financial condition or cash flows.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Indemnification</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2"/>
          <w:szCs w:val="12"/>
          <w:b w:val="1"/>
          <w:bCs w:val="1"/>
          <w:color w:val="auto"/>
        </w:rPr>
        <w:t>13. Stockholders' Equity</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Amended and Restated Certificate of Incorporation</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Under our Amended and Restated Certificate of Incorporation, we are authorized to issue 250,000,000 shares of Class A common stock, 50,000,000 shares of Class B common stock and 25,000,000 shares of undesignated preferred stock, each with a par value of $0.0001 per share.</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Class A Common Stock and Class B Common Stock</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Holders of our Class A common stock and Class B common stock are entitled to dividends when, as, and if declared by our Board of Directors, subject to the rights of the holders of all classes of stock outstanding having priority rights to dividends. As of December 31, 2024, we have not declared any dividends. The holder of each share of Class A common stock is entitled to one vote, while the holder of each share of Class B common stock is entitled to ten votes. Each share of our Class B common stock is convertible at any time at the option of the holder into one share of our Class A common stock and generally converts into a share of our Class A common stock upon transfer. Class A common stock and Class B common stock are collectively referred to as common stock throughout the notes to these financial statements, unless otherwise noted.</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Board of Directors, subject to the limitations prescribed by Delaware law, has the authority to issue up to 25,000,000 shares of preferred stock and to determine the price, rights, preferences, privileges and restrictions, including voting rights, of those shares without any further vote or action by the stockholders.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Share Repurchase Program</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in privately negotiated transactions at a repurchase price that the members of the committee unanimously believe is below intrinsic value conservatively determined. The Share Repurchase Program does not obligate us to repurchase any specific dollar amount or number of shares, and there is no expiration date for the Share Repurchase Program, which may be modified, suspended or terminated at any time and for any reason. We have not made any repurchases under the Share Repurchase Program during the years ended December 31, 2024, 2023 and 2022.</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14. Stock-Based Compensation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currently have two stock incentive plans: the 2015 Stock Incentive Plan (the "2015 Plan") and, the 2025 Omnibus Incentive Plan (the "2025 Plan").</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 our annual meeting of stockholders held on June 14, 2024 (the “2024 Annual Meeting”), our stockholders approved the 2025 Plan.</w:t>
      </w:r>
    </w:p>
    <w:p>
      <w:pPr>
        <w:spacing w:after="0" w:line="7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did not grant any awards under the 2025 Plan in 2024. On January 1, 2025, the 2025 Plan superseded and replaced the 2015 Plan and no further awards will be granted under the 2015 Plan, but the 2015 Plan will continue to govern outstanding awards granted under the 2015 Plan.</w:t>
      </w:r>
    </w:p>
    <w:p>
      <w:pPr>
        <w:spacing w:after="0" w:line="39" w:lineRule="exact"/>
        <w:rPr>
          <w:sz w:val="20"/>
          <w:szCs w:val="20"/>
          <w:color w:val="auto"/>
        </w:rPr>
      </w:pPr>
    </w:p>
    <w:p>
      <w:pPr>
        <w:jc w:val="both"/>
        <w:ind w:right="20" w:firstLine="432"/>
        <w:spacing w:after="0" w:line="257" w:lineRule="auto"/>
        <w:rPr>
          <w:sz w:val="20"/>
          <w:szCs w:val="20"/>
          <w:color w:val="auto"/>
        </w:rPr>
      </w:pPr>
      <w:r>
        <w:rPr>
          <w:rFonts w:ascii="Times New Roman" w:cs="Times New Roman" w:eastAsia="Times New Roman" w:hAnsi="Times New Roman"/>
          <w:sz w:val="12"/>
          <w:szCs w:val="12"/>
          <w:color w:val="auto"/>
        </w:rPr>
        <w:t>Under the 2015 Plan, 2,000,000 shares of our Class A common stock were initially reserved and available for grant and issuance. On January 1 of each subsequent calendar year during the term of the 2015 Plan, the number of shares available for grant and issuance under the 2015 Plan increased by the lesser of (i) the number of shares of our Class A common stock subject to awards granted under the 2015 Plan during the preceding calendar year and (ii) such lesser number of shares of our Class A common stock determined by our Board of Directors. The number of shares of our Class A common stock is also subject to adjustment in the event of a recapitalization, stock split, reclassification, stock dividend or other change in our capitalization. The 2015 Plan authorized the award of stock options, stock appreciation rights, restricted stock, restricted stock units ("RSUs"), performance awards (including performance stock units ("PSUs")) and stock bonuses to our employees, directors, consultants and independent contractors, subject to certain exceptions. We granted RSUs and PSUs during 2024 pursuant to the 2015 Plan.</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RSUs and PSUs represent the right on the part of the holder to receive shares of our Class A common stock at a specified date in the future and/or upon the achievement of performance conditions at the discretion of our compensation committee, subject to forfeiture of that right due to termination of employment.</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2025 Employee Stock Purchase Plan (the “ESPP”) authorizes the issuance of shares of our Class A common stock pursuant to purchase rights granted to our employees. The purchase price for shares purchased under the 2025 ESPP with respect to any offering period is an amount equal to 85% of the fair market value of a share of our Class A Common Stock on the applicable purchase date (i.e., the last trading day of the applicable offering period). Offering periods are six months long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57" w:name="page58"/>
    <w:bookmarkEnd w:id="57"/>
    <w:p>
      <w:pPr>
        <w:jc w:val="both"/>
        <w:spacing w:after="0" w:line="260" w:lineRule="auto"/>
        <w:rPr>
          <w:sz w:val="20"/>
          <w:szCs w:val="20"/>
          <w:color w:val="auto"/>
        </w:rPr>
      </w:pPr>
      <w:r>
        <w:rPr>
          <w:rFonts w:ascii="Times New Roman" w:cs="Times New Roman" w:eastAsia="Times New Roman" w:hAnsi="Times New Roman"/>
          <w:sz w:val="12"/>
          <w:szCs w:val="12"/>
          <w:color w:val="auto"/>
        </w:rPr>
        <w:t>and begin on February 16 and August 16 of each year. The first offering period under the ESPP will begin on Monday, February 17, 2025. 1,250,000 shares of Class A Common Stock are authorized for issuance under the ESPP, subject to adjustment in accordance with the terms of the ESPP. In addition, commencing on January 31, 2026 and on each January 31st thereafter during the term of the ESPP, the number of shares of Class A Common Stock authorized for issuance under the ESPP will be increased by the lesser of (i) the number of shares of Class A Common Stock issued or transferred pursuant to rights granted under the ESPP during the preceding calendar year, (ii) such lesser number of shares of Class A Common Stock as determined by our compensation committee, or (iii) 1,250,000 shares of Class A Common Stock.</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summary of activity in connection with our stock options for the year ended December 31, 2024 is as follows (number of shares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Weighted Average Exercise</w:t>
            </w:r>
          </w:p>
        </w:tc>
        <w:tc>
          <w:tcPr>
            <w:tcW w:w="172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Weighted Average Remaining</w:t>
            </w:r>
          </w:p>
        </w:tc>
        <w:tc>
          <w:tcPr>
            <w:tcW w:w="0" w:type="dxa"/>
            <w:vAlign w:val="bottom"/>
          </w:tcPr>
          <w:p>
            <w:pPr>
              <w:spacing w:after="0"/>
              <w:rPr>
                <w:sz w:val="1"/>
                <w:szCs w:val="1"/>
                <w:color w:val="auto"/>
              </w:rPr>
            </w:pPr>
          </w:p>
        </w:tc>
      </w:tr>
      <w:tr>
        <w:trPr>
          <w:trHeight w:val="129"/>
        </w:trPr>
        <w:tc>
          <w:tcPr>
            <w:tcW w:w="62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Price per Share</w:t>
            </w:r>
          </w:p>
        </w:tc>
        <w:tc>
          <w:tcPr>
            <w:tcW w:w="440" w:type="dxa"/>
            <w:vAlign w:val="bottom"/>
            <w:tcBorders>
              <w:bottom w:val="single" w:sz="8" w:color="auto"/>
            </w:tcBorders>
          </w:tcPr>
          <w:p>
            <w:pPr>
              <w:spacing w:after="0"/>
              <w:rPr>
                <w:sz w:val="11"/>
                <w:szCs w:val="11"/>
                <w:color w:val="auto"/>
              </w:rPr>
            </w:pPr>
          </w:p>
        </w:tc>
        <w:tc>
          <w:tcPr>
            <w:tcW w:w="1720" w:type="dxa"/>
            <w:vAlign w:val="bottom"/>
            <w:tcBorders>
              <w:bottom w:val="single" w:sz="8" w:color="CCEEFF"/>
            </w:tcBorders>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Contractual Life in Years</w:t>
            </w: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outstanding as of December 31, 2023</w:t>
            </w:r>
          </w:p>
        </w:tc>
        <w:tc>
          <w:tcPr>
            <w:tcW w:w="1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51.49</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53"/>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15.62</w:t>
            </w: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cancelled/forfeited</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Options outstanding as of December 31, 2024</w:t>
            </w:r>
          </w:p>
        </w:tc>
        <w:tc>
          <w:tcPr>
            <w:tcW w:w="126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280" w:type="dxa"/>
            <w:vAlign w:val="bottom"/>
            <w:tcBorders>
              <w:top w:val="single" w:sz="8" w:color="CCEEFF"/>
              <w:bottom w:val="single" w:sz="8" w:color="CCEEFF"/>
            </w:tcBorders>
            <w:gridSpan w:val="2"/>
            <w:shd w:val="clear" w:color="auto" w:fill="CCEEFF"/>
          </w:tcPr>
          <w:p>
            <w:pPr>
              <w:jc w:val="right"/>
              <w:ind w:right="106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121.50</w:t>
            </w: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90"/>
        </w:trPr>
        <w:tc>
          <w:tcPr>
            <w:tcW w:w="6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At December 31, 2024: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vested and expected to vest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280" w:type="dxa"/>
            <w:vAlign w:val="bottom"/>
            <w:gridSpan w:val="2"/>
          </w:tcPr>
          <w:p>
            <w:pPr>
              <w:jc w:val="right"/>
              <w:ind w:right="106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121.50</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3"/>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exercisable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80" w:type="dxa"/>
            <w:vAlign w:val="bottom"/>
            <w:gridSpan w:val="2"/>
            <w:shd w:val="clear" w:color="auto" w:fill="CCEEFF"/>
          </w:tcPr>
          <w:p>
            <w:pPr>
              <w:jc w:val="right"/>
              <w:ind w:right="106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stock-based compensation expense for stock options were not material for the periods presented.</w:t>
      </w:r>
    </w:p>
    <w:p>
      <w:pPr>
        <w:spacing w:after="0" w:line="7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2023, we granted our Chief Executive Officer options to purchase 120,000 shares of our Class A common stock. These stock options vest based on service conditions with one-third vesting at the end of each of the years ending December 31, 2025, 2026 and 2027 (assuming continued employment through the applicable vesting date). No stock options were granted during the years ended December 31, 2024 or 2022.</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fair value of stock options granted is estimated on the date of grant using the Black-Scholes option-pricing model. The following table summarizes information relating to our stock options granted during the year 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grant-date fair value per share</w:t>
            </w:r>
          </w:p>
        </w:tc>
        <w:tc>
          <w:tcPr>
            <w:tcW w:w="42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67.23</w:t>
            </w:r>
          </w:p>
        </w:tc>
      </w:tr>
      <w:tr>
        <w:trPr>
          <w:trHeight w:val="153"/>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Black-Scholes model assumptions:</w:t>
            </w:r>
          </w:p>
        </w:tc>
        <w:tc>
          <w:tcPr>
            <w:tcW w:w="42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4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4.06 %</w:t>
            </w:r>
          </w:p>
        </w:tc>
      </w:tr>
      <w:tr>
        <w:trPr>
          <w:trHeight w:val="153"/>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(in years)</w:t>
            </w:r>
          </w:p>
        </w:tc>
        <w:tc>
          <w:tcPr>
            <w:tcW w:w="4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w:t>
            </w:r>
          </w:p>
        </w:tc>
      </w:tr>
      <w:tr>
        <w:trPr>
          <w:trHeight w:val="15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4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44 %</w:t>
            </w:r>
          </w:p>
        </w:tc>
      </w:tr>
      <w:tr>
        <w:trPr>
          <w:trHeight w:val="155"/>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420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bl>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total intrinsic value of options exercised in 2024, 2023 and 2022 was $52.2 million, $36.4 million, and $31.1 million, respectively. This intrinsic value represents the difference between the fair value of our Class A common stock on the date of exercise and the exercise price of each option. Based on the fair value of our Class A common stock as of December 31, 2024, the total intrinsic value of all outstanding options, exercisable options, and options vested and expected to vest was $16.2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summary of activity in connection with our RSUs for the year ended December 31, 2024 is as follows (number of shares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60" w:type="dxa"/>
            <w:vAlign w:val="bottom"/>
          </w:tcPr>
          <w:p>
            <w:pPr>
              <w:spacing w:after="0"/>
              <w:rPr>
                <w:sz w:val="10"/>
                <w:szCs w:val="10"/>
                <w:color w:val="auto"/>
              </w:rPr>
            </w:pPr>
          </w:p>
        </w:tc>
        <w:tc>
          <w:tcPr>
            <w:tcW w:w="1440" w:type="dxa"/>
            <w:vAlign w:val="bottom"/>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Weighted Average Grant Date</w:t>
            </w:r>
          </w:p>
        </w:tc>
        <w:tc>
          <w:tcPr>
            <w:tcW w:w="0" w:type="dxa"/>
            <w:vAlign w:val="bottom"/>
          </w:tcPr>
          <w:p>
            <w:pPr>
              <w:spacing w:after="0"/>
              <w:rPr>
                <w:sz w:val="1"/>
                <w:szCs w:val="1"/>
                <w:color w:val="auto"/>
              </w:rPr>
            </w:pPr>
          </w:p>
        </w:tc>
      </w:tr>
      <w:tr>
        <w:trPr>
          <w:trHeight w:val="130"/>
        </w:trPr>
        <w:tc>
          <w:tcPr>
            <w:tcW w:w="746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Fair Value per Share</w:t>
            </w:r>
          </w:p>
        </w:tc>
        <w:tc>
          <w:tcPr>
            <w:tcW w:w="0" w:type="dxa"/>
            <w:vAlign w:val="bottom"/>
          </w:tcPr>
          <w:p>
            <w:pPr>
              <w:spacing w:after="0"/>
              <w:rPr>
                <w:sz w:val="1"/>
                <w:szCs w:val="1"/>
                <w:color w:val="auto"/>
              </w:rPr>
            </w:pPr>
          </w:p>
        </w:tc>
      </w:tr>
      <w:tr>
        <w:trPr>
          <w:trHeight w:val="14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as of December 31, 2023</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121.61</w:t>
            </w:r>
          </w:p>
        </w:tc>
        <w:tc>
          <w:tcPr>
            <w:tcW w:w="0" w:type="dxa"/>
            <w:vAlign w:val="bottom"/>
          </w:tcPr>
          <w:p>
            <w:pPr>
              <w:spacing w:after="0"/>
              <w:rPr>
                <w:sz w:val="1"/>
                <w:szCs w:val="1"/>
                <w:color w:val="auto"/>
              </w:rPr>
            </w:pPr>
          </w:p>
        </w:tc>
      </w:tr>
      <w:tr>
        <w:trPr>
          <w:trHeight w:val="153"/>
        </w:trPr>
        <w:tc>
          <w:tcPr>
            <w:tcW w:w="8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214.99</w:t>
            </w:r>
          </w:p>
        </w:tc>
        <w:tc>
          <w:tcPr>
            <w:tcW w:w="0" w:type="dxa"/>
            <w:vAlign w:val="bottom"/>
          </w:tcPr>
          <w:p>
            <w:pPr>
              <w:spacing w:after="0"/>
              <w:rPr>
                <w:sz w:val="1"/>
                <w:szCs w:val="1"/>
                <w:color w:val="auto"/>
              </w:rPr>
            </w:pPr>
          </w:p>
        </w:tc>
      </w:tr>
      <w:tr>
        <w:trPr>
          <w:trHeight w:val="153"/>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129.57</w:t>
            </w:r>
          </w:p>
        </w:tc>
        <w:tc>
          <w:tcPr>
            <w:tcW w:w="0" w:type="dxa"/>
            <w:vAlign w:val="bottom"/>
          </w:tcPr>
          <w:p>
            <w:pPr>
              <w:spacing w:after="0"/>
              <w:rPr>
                <w:sz w:val="1"/>
                <w:szCs w:val="1"/>
                <w:color w:val="auto"/>
              </w:rPr>
            </w:pPr>
          </w:p>
        </w:tc>
      </w:tr>
      <w:tr>
        <w:trPr>
          <w:trHeight w:val="153"/>
        </w:trPr>
        <w:tc>
          <w:tcPr>
            <w:tcW w:w="8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Forfeited</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137.95</w:t>
            </w:r>
          </w:p>
        </w:tc>
        <w:tc>
          <w:tcPr>
            <w:tcW w:w="0" w:type="dxa"/>
            <w:vAlign w:val="bottom"/>
          </w:tcPr>
          <w:p>
            <w:pPr>
              <w:spacing w:after="0"/>
              <w:rPr>
                <w:sz w:val="1"/>
                <w:szCs w:val="1"/>
                <w:color w:val="auto"/>
              </w:rPr>
            </w:pPr>
          </w:p>
        </w:tc>
      </w:tr>
      <w:tr>
        <w:trPr>
          <w:trHeight w:val="158"/>
        </w:trPr>
        <w:tc>
          <w:tcPr>
            <w:tcW w:w="746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Unvested as of December 31, 2024</w:t>
            </w:r>
          </w:p>
        </w:tc>
        <w:tc>
          <w:tcPr>
            <w:tcW w:w="144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280" w:type="dxa"/>
            <w:vAlign w:val="bottom"/>
            <w:tcBorders>
              <w:top w:val="single" w:sz="8" w:color="CCEEFF"/>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159.98</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Unvested RSUs as of December 31, 2024 were composed of 0.7 million RSUs with only service conditions and 0.1 million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 at 100% of the performance target.</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unvested PSUs as of December 31, 2024, are subject to vesting based on the achievement of pre-established performance metrics for the year ending December 31, 2024 and will vest over a three year period, assuming continued employment through each applicable vesting date. The actual number of shares to be issued at the end of the performance period will range from 0% to 170% of the target number of shares depending on achievement relative to the performance metric over the applicable period.</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recognized stock-based compensation expense for the RSUs and PSUs of $59.2 million, $51.0 million and $43.3 million for the years ended December 31, 2024, 2023 and 2022, respectively. As of December 31, 2024, the total estimated remaining stock-based compensation expense for the aforementioned RSUs and PSUs was $96.2 million, which is expected to be recognized over a weighted average period of 2.1 years. The total fair value of RSUs and PSUs vested during the years ended December 31, 2024, 2023 and 2022 was approximately $111.8 million, $82.2 million and $27.5 million, respectively.</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15. Income Taxes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Set forth below is a reconciliation of the components that caused our (benefit from) provision for income taxes to differ from amounts computed by applying the United States federal statutory rate:</w:t>
      </w:r>
    </w:p>
    <w:p>
      <w:pPr>
        <w:spacing w:after="0" w:line="11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federal statutory income tax rate</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0" w:type="dxa"/>
            <w:vAlign w:val="bottom"/>
          </w:tcPr>
          <w:p>
            <w:pPr>
              <w:spacing w:after="0"/>
              <w:rPr>
                <w:sz w:val="1"/>
                <w:szCs w:val="1"/>
                <w:color w:val="auto"/>
              </w:rPr>
            </w:pP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State and local income taxes, net of federal benefit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3"/>
                <w:szCs w:val="13"/>
                <w:color w:val="auto"/>
              </w:rPr>
            </w:pP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53"/>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4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3"/>
                <w:szCs w:val="13"/>
                <w:color w:val="auto"/>
              </w:rPr>
            </w:pP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3"/>
                <w:szCs w:val="13"/>
                <w:color w:val="auto"/>
              </w:rPr>
            </w:pP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3"/>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Federal research and development tax credits</w:t>
            </w:r>
          </w:p>
        </w:tc>
        <w:tc>
          <w:tcPr>
            <w:tcW w:w="4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Non-deductible officers' compensation</w:t>
            </w: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3"/>
                <w:szCs w:val="13"/>
                <w:color w:val="auto"/>
              </w:rPr>
            </w:pP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tcPr>
          <w:p>
            <w:pPr>
              <w:spacing w:after="0"/>
              <w:rPr>
                <w:sz w:val="13"/>
                <w:szCs w:val="13"/>
                <w:color w:val="auto"/>
              </w:rPr>
            </w:pP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permanent differences</w:t>
            </w: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(Benefit from) provision for income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66 %</w:t>
            </w:r>
          </w:p>
        </w:tc>
        <w:tc>
          <w:tcPr>
            <w:tcW w:w="1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5580"/>
              <w:spacing w:after="0"/>
              <w:rPr>
                <w:sz w:val="20"/>
                <w:szCs w:val="20"/>
                <w:color w:val="auto"/>
              </w:rPr>
            </w:pPr>
            <w:r>
              <w:rPr>
                <w:rFonts w:ascii="Times New Roman" w:cs="Times New Roman" w:eastAsia="Times New Roman" w:hAnsi="Times New Roman"/>
                <w:sz w:val="12"/>
                <w:szCs w:val="12"/>
                <w:color w:val="auto"/>
              </w:rPr>
              <w:t>57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71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7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59" w:name="page60"/>
    <w:bookmarkEnd w:id="59"/>
    <w:p>
      <w:pPr>
        <w:ind w:left="360"/>
        <w:spacing w:after="0"/>
        <w:rPr>
          <w:sz w:val="20"/>
          <w:szCs w:val="20"/>
          <w:color w:val="auto"/>
        </w:rPr>
      </w:pPr>
      <w:r>
        <w:rPr>
          <w:rFonts w:ascii="Times New Roman" w:cs="Times New Roman" w:eastAsia="Times New Roman" w:hAnsi="Times New Roman"/>
          <w:sz w:val="12"/>
          <w:szCs w:val="12"/>
          <w:color w:val="auto"/>
        </w:rPr>
        <w:t>The (benefit from) provision for income tax consists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2"/>
              </w:rPr>
              <w:t>Year Ended December 31,</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w:t>
            </w: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Federal</w:t>
            </w:r>
          </w:p>
        </w:tc>
        <w:tc>
          <w:tcPr>
            <w:tcW w:w="840" w:type="dxa"/>
            <w:vAlign w:val="bottom"/>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26,452</w:t>
            </w:r>
          </w:p>
        </w:tc>
        <w:tc>
          <w:tcPr>
            <w:tcW w:w="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3,485</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State and local</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2,299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Foreign</w:t>
            </w: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w:t>
            </w: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32,762</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5,784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Federal</w:t>
            </w:r>
          </w:p>
        </w:tc>
        <w:tc>
          <w:tcPr>
            <w:tcW w:w="8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(46,578)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(854)</w:t>
            </w:r>
          </w:p>
        </w:tc>
        <w:tc>
          <w:tcPr>
            <w:tcW w:w="0" w:type="dxa"/>
            <w:vAlign w:val="bottom"/>
          </w:tcPr>
          <w:p>
            <w:pPr>
              <w:spacing w:after="0"/>
              <w:rPr>
                <w:sz w:val="1"/>
                <w:szCs w:val="1"/>
                <w:color w:val="auto"/>
              </w:rPr>
            </w:pPr>
          </w:p>
        </w:tc>
      </w:tr>
      <w:tr>
        <w:trPr>
          <w:trHeight w:val="153"/>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State and local</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(39,930)</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w:t>
            </w:r>
          </w:p>
        </w:tc>
        <w:tc>
          <w:tcPr>
            <w:tcW w:w="8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(86,508)</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(489)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(597)</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Total (benefit from) provision for income taxes</w:t>
            </w:r>
          </w:p>
        </w:tc>
        <w:tc>
          <w:tcPr>
            <w:tcW w:w="84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(53,746)</w:t>
            </w: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auto"/>
              </w:rPr>
              <w:t>The components of deferred tax assets (liabilities) were as follows (in thousands):</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200" w:type="dxa"/>
            <w:vAlign w:val="bottom"/>
            <w:vMerge w:val="continue"/>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720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assets: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9,201</w:t>
            </w:r>
          </w:p>
        </w:tc>
        <w:tc>
          <w:tcPr>
            <w:tcW w:w="80" w:type="dxa"/>
            <w:vAlign w:val="bottom"/>
          </w:tcPr>
          <w:p>
            <w:pPr>
              <w:spacing w:after="0"/>
              <w:rPr>
                <w:sz w:val="13"/>
                <w:szCs w:val="13"/>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tax credits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24,326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Capitalized research and software costs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66,090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liability</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112,664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 net of valuation allowance</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112,664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80" w:type="dxa"/>
            <w:vAlign w:val="bottom"/>
          </w:tcPr>
          <w:p>
            <w:pPr>
              <w:spacing w:after="0"/>
              <w:rPr>
                <w:sz w:val="13"/>
                <w:szCs w:val="13"/>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(15,387)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Capitalized commissions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taxes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Lease asset</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8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(35,754)</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deferred tax liabilities</w:t>
            </w:r>
          </w:p>
        </w:tc>
        <w:tc>
          <w:tcPr>
            <w:tcW w:w="8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76,910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of December 31, 2024, the decrease in our valuation allowance of $62.4 million is comprised of decrease in our federal and state valuation allowance of $31.1 million and $31.3 million respectively. In evaluating the need for a valuation allowance at each reporting period, we consider the weighting of all available positive and negative evidence, which includes, among other things, the nature, frequency and severity of current and cumulative taxable income or losses, future projections of profitability, timing of the future reversal of existing temporary differences, and the duration of statutory carryforward periods. In assessing all available evidence, we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2024, we had federal and state net operating loss carryforwards $14.4 million and $85.1 million, respectively. The federal net operating loss carryovers do not expire and state net operating losses will begin to expire in 2025. As of December 31, 2024, we also had federal and state research and development credit carryforwards of $0.9 million and $31.4 million, respectively. The federal credit carryforwards will begin to expire in 2044, while the state credit carryforwards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color w:val="auto"/>
        </w:rPr>
        <w:t>apply indefinitely. Utilization of our net operating loss and credit carryforwards may be subject to annual limitation due to the ownership change limitations provided by the Internal Revenue Code and similar state provisions.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change in the valuation allowance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3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3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51"/>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 at beginning of year</w:t>
            </w:r>
          </w:p>
        </w:tc>
        <w:tc>
          <w:tcPr>
            <w:tcW w:w="78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43,776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17,217</w:t>
            </w:r>
          </w:p>
        </w:tc>
        <w:tc>
          <w:tcPr>
            <w:tcW w:w="0" w:type="dxa"/>
            <w:vAlign w:val="bottom"/>
          </w:tcPr>
          <w:p>
            <w:pPr>
              <w:spacing w:after="0"/>
              <w:rPr>
                <w:sz w:val="1"/>
                <w:szCs w:val="1"/>
                <w:color w:val="auto"/>
              </w:rPr>
            </w:pP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Increase in valuation allowance</w:t>
            </w:r>
          </w:p>
        </w:tc>
        <w:tc>
          <w:tcPr>
            <w:tcW w:w="7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18,604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26,559</w:t>
            </w:r>
          </w:p>
        </w:tc>
        <w:tc>
          <w:tcPr>
            <w:tcW w:w="0" w:type="dxa"/>
            <w:vAlign w:val="bottom"/>
          </w:tcPr>
          <w:p>
            <w:pPr>
              <w:spacing w:after="0"/>
              <w:rPr>
                <w:sz w:val="1"/>
                <w:szCs w:val="1"/>
                <w:color w:val="auto"/>
              </w:rPr>
            </w:pPr>
          </w:p>
        </w:tc>
      </w:tr>
      <w:tr>
        <w:trPr>
          <w:trHeight w:val="15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valuation allowance</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Valuation allowance, at end of year</w:t>
            </w:r>
          </w:p>
        </w:tc>
        <w:tc>
          <w:tcPr>
            <w:tcW w:w="78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62,380</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43,776</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auto"/>
              </w:rPr>
              <w:t>The following is a reconciliation of the total amounts of reserves for unrecognized tax benefits from uncertain tax positions (in thousands):</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73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5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tax benefit beginning of year</w:t>
            </w:r>
          </w:p>
        </w:tc>
        <w:tc>
          <w:tcPr>
            <w:tcW w:w="78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12,315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9,455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7,816</w:t>
            </w:r>
          </w:p>
        </w:tc>
        <w:tc>
          <w:tcPr>
            <w:tcW w:w="0" w:type="dxa"/>
            <w:vAlign w:val="bottom"/>
          </w:tcPr>
          <w:p>
            <w:pPr>
              <w:spacing w:after="0"/>
              <w:rPr>
                <w:sz w:val="1"/>
                <w:szCs w:val="1"/>
                <w:color w:val="auto"/>
              </w:rPr>
            </w:pP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Increases-tax positions in prior year</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Increases-tax positions in current year</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2,860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1,639</w:t>
            </w:r>
          </w:p>
        </w:tc>
        <w:tc>
          <w:tcPr>
            <w:tcW w:w="0" w:type="dxa"/>
            <w:vAlign w:val="bottom"/>
          </w:tcPr>
          <w:p>
            <w:pPr>
              <w:spacing w:after="0"/>
              <w:rPr>
                <w:sz w:val="1"/>
                <w:szCs w:val="1"/>
                <w:color w:val="auto"/>
              </w:rPr>
            </w:pP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Statute of limitation expiration</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tax benefit end of year</w:t>
            </w:r>
          </w:p>
        </w:tc>
        <w:tc>
          <w:tcPr>
            <w:tcW w:w="780" w:type="dxa"/>
            <w:vAlign w:val="bottom"/>
            <w:tcBorders>
              <w:top w:val="single" w:sz="8" w:color="auto"/>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14,935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12,315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9,455</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2024, we recorded gross uncertain tax benefits of $14.9 million a majority of which would impact our effective tax rate, if recognized. We accrued interest and penalties related to our uncertain income tax positions in our income tax expense and accrued no interest and penalties for the year ended December 31, 2024 and 2023. We do not anticipate that the amount of unrecognized tax benefits will significantly increase or decrease within the next twelve months.</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file income tax returns in the U.S. federal jurisdiction and various state and local jurisdictions. While the applicable statute of limitations are generally open for three to four years for the jurisdictions we file in, we remain subject to income tax examinations for years ended after December 31, 2019 for federal taxes and all years for most state jurisdictions due to the usage of carryforward attributes, such as net operating losses and research and development credits. As of December 31, 2024, we have not been notified for audit by the Internal Revenue Service or any significant state jurisdiction.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16. Revenue and Other Information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our revenue categories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3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33"/>
        </w:trPr>
        <w:tc>
          <w:tcPr>
            <w:tcW w:w="73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Core solutions</w:t>
            </w:r>
          </w:p>
        </w:tc>
        <w:tc>
          <w:tcPr>
            <w:tcW w:w="78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156,692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132,541</w:t>
            </w:r>
          </w:p>
        </w:tc>
      </w:tr>
      <w:tr>
        <w:trPr>
          <w:trHeight w:val="153"/>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Value Added Services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605,011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454,098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327,636</w:t>
            </w:r>
          </w:p>
        </w:tc>
      </w:tr>
      <w:tr>
        <w:trPr>
          <w:trHeight w:val="15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11,706</w:t>
            </w:r>
          </w:p>
        </w:tc>
      </w:tr>
      <w:tr>
        <w:trPr>
          <w:trHeight w:val="142"/>
        </w:trPr>
        <w:tc>
          <w:tcPr>
            <w:tcW w:w="7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revenue</w:t>
            </w:r>
          </w:p>
        </w:tc>
        <w:tc>
          <w:tcPr>
            <w:tcW w:w="78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794,202</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620,445</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471,883</w:t>
            </w:r>
          </w:p>
        </w:tc>
      </w:tr>
      <w:tr>
        <w:trPr>
          <w:trHeight w:val="20"/>
        </w:trPr>
        <w:tc>
          <w:tcPr>
            <w:tcW w:w="7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revenue is generated primarily from United States customers. All of our property and equipment is located in the United States.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Workforce Reduction</w:t>
      </w:r>
    </w:p>
    <w:p>
      <w:pPr>
        <w:spacing w:after="0" w:line="8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2023, we implemented a plan to reduce our workforce by 149 employees in order to scale our business more efficiently. Impacted employees were notified in August 2023. There were no workforce reductions during the years ended December 31, 2024 and 2022.</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the total severance and related personnel costs by function, for the year ended December 31, 2023 (in thousands):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61" w:name="page62"/>
    <w:bookmarkEnd w:id="61"/>
    <w:tbl>
      <w:tblPr>
        <w:tblLayout w:type="fixed"/>
        <w:tblInd w:w="8" w:type="dxa"/>
        <w:tblCellMar>
          <w:top w:w="0" w:type="dxa"/>
          <w:left w:w="0" w:type="dxa"/>
          <w:bottom w:w="0" w:type="dxa"/>
          <w:right w:w="0" w:type="dxa"/>
        </w:tblCellMar>
      </w:tblPr>
      <w:tr>
        <w:trPr>
          <w:trHeight w:val="134"/>
        </w:trPr>
        <w:tc>
          <w:tcPr>
            <w:tcW w:w="89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Severance and Related Personnel Cost</w:t>
            </w:r>
          </w:p>
        </w:tc>
      </w:tr>
      <w:tr>
        <w:trPr>
          <w:trHeight w:val="15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2,367</w:t>
            </w:r>
          </w:p>
        </w:tc>
      </w:tr>
      <w:tr>
        <w:trPr>
          <w:trHeight w:val="153"/>
        </w:trPr>
        <w:tc>
          <w:tcPr>
            <w:tcW w:w="890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2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3,795</w:t>
            </w:r>
          </w:p>
        </w:tc>
      </w:tr>
      <w:tr>
        <w:trPr>
          <w:trHeight w:val="153"/>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product development</w:t>
            </w:r>
          </w:p>
        </w:tc>
        <w:tc>
          <w:tcPr>
            <w:tcW w:w="220" w:type="dxa"/>
            <w:vAlign w:val="bottom"/>
            <w:shd w:val="clear" w:color="auto" w:fill="CCEEFF"/>
          </w:tcPr>
          <w:p>
            <w:pPr>
              <w:spacing w:after="0"/>
              <w:rPr>
                <w:sz w:val="13"/>
                <w:szCs w:val="13"/>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3,407</w:t>
            </w:r>
          </w:p>
        </w:tc>
      </w:tr>
      <w:tr>
        <w:trPr>
          <w:trHeight w:val="153"/>
        </w:trPr>
        <w:tc>
          <w:tcPr>
            <w:tcW w:w="8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2,514</w:t>
            </w:r>
          </w:p>
        </w:tc>
      </w:tr>
      <w:tr>
        <w:trPr>
          <w:trHeight w:val="158"/>
        </w:trPr>
        <w:tc>
          <w:tcPr>
            <w:tcW w:w="890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2"/>
                <w:szCs w:val="12"/>
                <w:color w:val="auto"/>
              </w:rPr>
              <w:t>Total</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12,083</w:t>
            </w:r>
          </w:p>
        </w:tc>
      </w:tr>
    </w:tbl>
    <w:p>
      <w:pPr>
        <w:spacing w:after="0" w:line="95" w:lineRule="exact"/>
        <w:rPr>
          <w:sz w:val="20"/>
          <w:szCs w:val="20"/>
          <w:color w:val="auto"/>
        </w:rPr>
      </w:pPr>
    </w:p>
    <w:p>
      <w:pPr>
        <w:ind w:left="128" w:hanging="128"/>
        <w:spacing w:after="0"/>
        <w:tabs>
          <w:tab w:leader="none" w:pos="128"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severance and related personnel costs include $1.8 million of accelerated stock-based compensation expense recognized during the year ended December 31, 2023.</w:t>
      </w:r>
    </w:p>
    <w:p>
      <w:pPr>
        <w:spacing w:after="0" w:line="6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is a summary of changes in the accrued severance and related personnel cost, within Accrued Employee Expenses on the Consolidated Balance Sheets (in thousands):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w w:val="97"/>
              </w:rPr>
              <w:t>Accrued Severance and Related Personnel Cost</w:t>
            </w:r>
          </w:p>
        </w:tc>
      </w:tr>
      <w:tr>
        <w:trPr>
          <w:trHeight w:val="15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Severance and related personnel cost</w:t>
            </w:r>
          </w:p>
        </w:tc>
        <w:tc>
          <w:tcPr>
            <w:tcW w:w="12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10,278</w:t>
            </w:r>
          </w:p>
        </w:tc>
      </w:tr>
      <w:tr>
        <w:trPr>
          <w:trHeight w:val="15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Payments</w:t>
            </w:r>
          </w:p>
        </w:tc>
        <w:tc>
          <w:tcPr>
            <w:tcW w:w="12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(9,425)</w:t>
            </w:r>
          </w:p>
        </w:tc>
      </w:tr>
      <w:tr>
        <w:trPr>
          <w:trHeight w:val="142"/>
        </w:trPr>
        <w:tc>
          <w:tcPr>
            <w:tcW w:w="8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w:t>
            </w:r>
          </w:p>
        </w:tc>
      </w:tr>
      <w:tr>
        <w:trPr>
          <w:trHeight w:val="15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Payments</w:t>
            </w:r>
          </w:p>
        </w:tc>
        <w:tc>
          <w:tcPr>
            <w:tcW w:w="12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w:t>
            </w:r>
          </w:p>
        </w:tc>
      </w:tr>
      <w:tr>
        <w:trPr>
          <w:trHeight w:val="142"/>
        </w:trPr>
        <w:tc>
          <w:tcPr>
            <w:tcW w:w="8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2024</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18. Retirement Plans</w:t>
      </w:r>
    </w:p>
    <w:p>
      <w:pPr>
        <w:spacing w:after="0" w:line="82"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We have a 401(k) retirement and savings plan made available to all employees. We may, at our discretion, make matching contributions to the 401(k) plan. Cash contributions to the plan were $7.4 million, $7.3 million, and $5.9 million for the years ended December 31, 2024, 2023 and 2022, respectively.</w:t>
      </w:r>
    </w:p>
    <w:p>
      <w:pPr>
        <w:spacing w:after="0" w:line="179" w:lineRule="exact"/>
        <w:rPr>
          <w:sz w:val="20"/>
          <w:szCs w:val="20"/>
          <w:color w:val="auto"/>
        </w:rPr>
      </w:pPr>
    </w:p>
    <w:p>
      <w:pPr>
        <w:ind w:left="8"/>
        <w:spacing w:after="0"/>
        <w:tabs>
          <w:tab w:leader="none" w:pos="688"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79" w:right="299" w:bottom="1440" w:gutter="0" w:footer="0" w:header="0"/>
        </w:sectPr>
      </w:pPr>
    </w:p>
    <w:bookmarkStart w:id="62" w:name="page63"/>
    <w:bookmarkEnd w:id="62"/>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7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82"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Annual Report. Based on this evaluation, our principal executive officer and principal financial officer concluded that, as of the end of the period covered by this Annual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4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Management's Report on Internal Control over Financial Reporting</w:t>
      </w:r>
    </w:p>
    <w:p>
      <w:pPr>
        <w:spacing w:after="0" w:line="82"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left="8" w:hanging="8"/>
        <w:spacing w:after="0" w:line="253" w:lineRule="auto"/>
        <w:tabs>
          <w:tab w:leader="none" w:pos="18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2" w:lineRule="exact"/>
        <w:rPr>
          <w:sz w:val="20"/>
          <w:szCs w:val="20"/>
          <w:color w:val="auto"/>
        </w:rPr>
      </w:pPr>
    </w:p>
    <w:p>
      <w:pPr>
        <w:jc w:val="both"/>
        <w:ind w:left="8" w:firstLine="432"/>
        <w:spacing w:after="0" w:line="266" w:lineRule="auto"/>
        <w:rPr>
          <w:sz w:val="20"/>
          <w:szCs w:val="20"/>
          <w:color w:val="auto"/>
        </w:rPr>
      </w:pPr>
      <w:r>
        <w:rPr>
          <w:rFonts w:ascii="Times New Roman" w:cs="Times New Roman" w:eastAsia="Times New Roman" w:hAnsi="Times New Roman"/>
          <w:sz w:val="12"/>
          <w:szCs w:val="12"/>
          <w:color w:val="auto"/>
        </w:rPr>
        <w:t xml:space="preserve">As of December 31, 2024, our management assessed the effectiveness of our internal control over financial reporting using the criteria set forth in the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as issued by the Committee of Sponsoring Organizations (COSO) of the Treadway Commission. Based on our evaluation under the COSO criteria, our management concluded that our internal control over financial reporting was effective at the reasonable assurance level as of December 31, 2024.</w:t>
      </w:r>
    </w:p>
    <w:p>
      <w:pPr>
        <w:spacing w:after="0" w:line="47"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has been audited by PricewaterhouseCoopers LLP, an independent registered public accounting firm, as stated in their audit report which expresses an unqualified opinion on the effectiveness of our internal control over financial reporting at December 31, 2024.</w:t>
      </w:r>
    </w:p>
    <w:p>
      <w:pPr>
        <w:spacing w:after="0" w:line="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8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identified in connection with the evaluation required by Rules 13(a)-15(d) and 15d-15(d) under the Exchange Act that occurred during the quarter ended December 31, 2024 that have materially affected, or are reasonably likely to materially affect, our internal control over financial reporting.</w:t>
      </w:r>
    </w:p>
    <w:p>
      <w:pPr>
        <w:spacing w:after="0" w:line="179" w:lineRule="exact"/>
        <w:rPr>
          <w:sz w:val="20"/>
          <w:szCs w:val="20"/>
          <w:color w:val="auto"/>
        </w:rPr>
      </w:pPr>
    </w:p>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7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Item 5.02. Departure of Directors or Certain Officers; Election of Directors; Appointment of Certain Officers; Compensatory Arrangements of Certain Officers.</w:t>
      </w:r>
    </w:p>
    <w:p>
      <w:pPr>
        <w:spacing w:after="0" w:line="82" w:lineRule="exact"/>
        <w:rPr>
          <w:sz w:val="20"/>
          <w:szCs w:val="20"/>
          <w:color w:val="auto"/>
        </w:rPr>
      </w:pPr>
    </w:p>
    <w:p>
      <w:pPr>
        <w:ind w:left="8" w:right="20" w:firstLine="424"/>
        <w:spacing w:after="0" w:line="279" w:lineRule="auto"/>
        <w:tabs>
          <w:tab w:leader="none" w:pos="61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Matthew S. Mazza has been appointed Chief Trust Officer of the Company, effective February 6, 2025. Mr. Mazza previously served as the Company's Chief Legal Officer, a position he held since 2021, and Corporate Secretary, a position he held since 2022. Before becoming Chief Legal Officer, Mr. Mazza served as the Company's General Counsel and Chief Compliance Officer, as well as in other senior legal and compliance roles, since 2016.</w:t>
      </w:r>
    </w:p>
    <w:p>
      <w:pPr>
        <w:spacing w:after="0" w:line="30" w:lineRule="exact"/>
        <w:rPr>
          <w:sz w:val="20"/>
          <w:szCs w:val="20"/>
          <w:color w:val="auto"/>
        </w:rPr>
      </w:pPr>
    </w:p>
    <w:p>
      <w:pPr>
        <w:jc w:val="both"/>
        <w:ind w:left="8" w:firstLine="424"/>
        <w:spacing w:after="0" w:line="244" w:lineRule="auto"/>
        <w:tabs>
          <w:tab w:leader="none" w:pos="605"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his appointment as Chief Trust Officer, Mr. Mazza entered into an employment agreement with the Company, dated as of February 6, 2025 (the “Employment Agreement”). The Employment Agreement provides for “at-will” employment and sets forth the terms and conditions of Mr. Mazza’s employment. Pursuant to the Employment Agreement, Mr. Mazza will be entitled to receive, among other things: (a) an annual base salary of $420,000; (b) an annual bonus opportunity under the Company’s corporate bonus plan equal to 60% of his annual base salary at target; and (c) for 2025, an award of restricted stock units covering a number of shares of Class A Common Stock of the Company having an aggregate value of approximately $1,800,000 on the date of grant, which will vest in accordance with the Company’s standard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358140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8" w:right="299" w:bottom="1440" w:gutter="0" w:footer="0" w:header="0"/>
        </w:sectPr>
      </w:pPr>
    </w:p>
    <w:bookmarkStart w:id="63" w:name="page64"/>
    <w:bookmarkEnd w:id="63"/>
    <w:p>
      <w:pPr>
        <w:jc w:val="both"/>
        <w:spacing w:after="0" w:line="242" w:lineRule="auto"/>
        <w:rPr>
          <w:sz w:val="20"/>
          <w:szCs w:val="20"/>
          <w:color w:val="auto"/>
        </w:rPr>
      </w:pPr>
      <w:r>
        <w:rPr>
          <w:rFonts w:ascii="Times New Roman" w:cs="Times New Roman" w:eastAsia="Times New Roman" w:hAnsi="Times New Roman"/>
          <w:sz w:val="12"/>
          <w:szCs w:val="12"/>
          <w:color w:val="auto"/>
        </w:rPr>
        <w:t>In addition, pursuant to the Employment Agreement, in the event the Company terminates Mr. Mazza’s employment without “cause” or he resigns for “good reason,” (as each term is defined therein) subject to his execution and non-revocation of a general release of claims in favor of the Company and his compliance with certain non-disparagement, confidentiality and other restrictive covenants, he will be entitled to receive: (i) nine months of base salary continuation; (ii) payment of any earned but unpaid annual bonus in respect of the prior completed fiscal year; (iii) a pro rata portion of any annual bonus for the fiscal year in which such termination occurs; and (iv) payment of monthly premiums under the Consolidated Omnibus Budget Reconciliation Act of 1985, as amended (“COBRA”) until the earlier of (x) nine months following the termination date and (y) the date on which Mr. Mazza first becomes eligible to obtain group health insurance through another employer or otherwise ceases to be eligible for continuation coverage under COBRA.</w:t>
      </w:r>
    </w:p>
    <w:p>
      <w:pPr>
        <w:spacing w:after="0" w:line="6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foregoing summary of the Employment Agreement is qualified in its entirety by reference to the full text of the Employment Agreement, which is filed as an Exhibit 10.25 to this Annual Report and incorporated herein by reference.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9C.</w:t>
        <w:tab/>
        <w:t>DISCLOSURES REGARDING FOREIGN JURISDICTION THAT PREVENT INSPECTIONS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2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7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Except as set forth below in this Item, the information required by this Item will be included in the Proxy Statement under the headings "Election of Directors," “Directors and Corporate Governance,” "Executive Officers," "Additional Information," and, as applicable, “Delinquent Section 16(a) Reports” and is incorporated by reference herein.</w:t>
      </w:r>
    </w:p>
    <w:p>
      <w:pPr>
        <w:spacing w:after="0" w:line="119"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We have adopted a Code of Business Conduct and Ethics which applies to all of our employees, officers and directors. A copy of our Code of Business Conduct and Ethics is posted on our website, https://ethics.appfolio.com. We intend to satisfy the requirements under Item 5.05 of Form 8-K regarding disclosure of amendments to, or waivers from, provisions of our Code of Business Conduct and Ethics by posting such information on our investor relations website, http://ir.appfolioinc.com.</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have adopted an Insider Trading Policy governing the purchase, sale and/or other dispositions of our securities by directors, officers, employees and the Company.</w:t>
      </w:r>
    </w:p>
    <w:p>
      <w:pPr>
        <w:spacing w:after="0" w:line="2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EXECUTIVE COMPENSATION</w:t>
      </w:r>
    </w:p>
    <w:p>
      <w:pPr>
        <w:spacing w:after="0" w:line="7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headings "Executive Compensation," "Directors and Corporate Governance," and "Summary Compensation Table" and is incorporated by reference herein.</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7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headings "Security Ownership of Certain Beneficial Owners and Management" and "Equity Compensation Plan Information" and is incorporated by reference herein.</w:t>
      </w:r>
    </w:p>
    <w:p>
      <w:pPr>
        <w:spacing w:after="0" w:line="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headings "Directors and Corporate Governance" and “Related Party Transactions” and is incorporated by reference herein.</w:t>
      </w:r>
    </w:p>
    <w:p>
      <w:pPr>
        <w:spacing w:after="0" w:line="2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 "Ratification of the Appointment of Our Independent Registered Public Accounting Firm."</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520700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64" w:name="page65"/>
    <w:bookmarkEnd w:id="64"/>
    <w:p>
      <w:pPr>
        <w:jc w:val="right"/>
        <w:ind w:right="7320"/>
        <w:spacing w:after="0"/>
        <w:tabs>
          <w:tab w:leader="none" w:pos="1022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EXHIBITS, FINANCIAL STATEMENTS SCHEDULES</w:t>
      </w:r>
    </w:p>
    <w:p>
      <w:pPr>
        <w:spacing w:after="0" w:line="82" w:lineRule="exact"/>
        <w:rPr>
          <w:sz w:val="20"/>
          <w:szCs w:val="20"/>
          <w:color w:val="auto"/>
        </w:rPr>
      </w:pPr>
    </w:p>
    <w:p>
      <w:pPr>
        <w:jc w:val="right"/>
        <w:ind w:right="7340"/>
        <w:spacing w:after="0"/>
        <w:rPr>
          <w:sz w:val="20"/>
          <w:szCs w:val="20"/>
          <w:color w:val="auto"/>
        </w:rPr>
      </w:pPr>
      <w:r>
        <w:rPr>
          <w:rFonts w:ascii="Times New Roman" w:cs="Times New Roman" w:eastAsia="Times New Roman" w:hAnsi="Times New Roman"/>
          <w:sz w:val="12"/>
          <w:szCs w:val="12"/>
          <w:color w:val="auto"/>
        </w:rPr>
        <w:t>The following documents are filed as part of this Annual Report:</w:t>
      </w:r>
    </w:p>
    <w:p>
      <w:pPr>
        <w:spacing w:after="0" w:line="78" w:lineRule="exact"/>
        <w:rPr>
          <w:sz w:val="20"/>
          <w:szCs w:val="20"/>
          <w:color w:val="auto"/>
        </w:rPr>
      </w:pPr>
    </w:p>
    <w:p>
      <w:pPr>
        <w:ind w:left="1120" w:hanging="264"/>
        <w:spacing w:after="0"/>
        <w:tabs>
          <w:tab w:leader="none" w:pos="11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Financial Statements</w:t>
      </w:r>
    </w:p>
    <w:p>
      <w:pPr>
        <w:spacing w:after="0" w:line="78"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consolidated financial statements are listed in the “Index to Consolidated Financial Statements” under Part II, Item 8, of this Annual Report.</w:t>
      </w:r>
    </w:p>
    <w:p>
      <w:pPr>
        <w:spacing w:after="0" w:line="78"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Statement Schedules</w:t>
      </w:r>
    </w:p>
    <w:p>
      <w:pPr>
        <w:spacing w:after="0" w:line="78"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financial statement schedules have been omitted because they are not required or are not applicable, or the required information is shown in our Consolidated Financial Statements or the notes thereto.</w:t>
      </w:r>
    </w:p>
    <w:p>
      <w:pPr>
        <w:spacing w:after="0" w:line="78"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78"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documents listed in the Exhibit Index of this Annual Report are filed or furnished with, or incorporated by reference into, this Annual Report, in each case as indicated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415290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300" w:top="998" w:right="7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9"/>
          </w:tcPr>
          <w:p>
            <w:pPr>
              <w:ind w:left="40"/>
              <w:spacing w:after="0"/>
              <w:rPr>
                <w:sz w:val="20"/>
                <w:szCs w:val="20"/>
                <w:color w:val="auto"/>
              </w:rPr>
            </w:pPr>
            <w:r>
              <w:rPr>
                <w:rFonts w:ascii="Times New Roman" w:cs="Times New Roman" w:eastAsia="Times New Roman" w:hAnsi="Times New Roman"/>
                <w:sz w:val="12"/>
                <w:szCs w:val="12"/>
                <w:b w:val="1"/>
                <w:bCs w:val="1"/>
                <w:color w:val="auto"/>
              </w:rPr>
              <w:t>EXHIBIT INDEX</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69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gridSpan w:val="19"/>
          </w:tcPr>
          <w:p>
            <w:pPr>
              <w:ind w:left="16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File No.</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Filed Herewith</w:t>
            </w:r>
          </w:p>
        </w:tc>
      </w:tr>
      <w:tr>
        <w:trPr>
          <w:trHeight w:val="115"/>
        </w:trPr>
        <w:tc>
          <w:tcPr>
            <w:tcW w:w="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0"/>
                <w:szCs w:val="10"/>
                <w:color w:val="auto"/>
              </w:rPr>
            </w:pPr>
          </w:p>
        </w:tc>
        <w:tc>
          <w:tcPr>
            <w:tcW w:w="4200" w:type="dxa"/>
            <w:vAlign w:val="bottom"/>
            <w:tcBorders>
              <w:top w:val="single" w:sz="8" w:color="auto"/>
            </w:tcBorders>
            <w:gridSpan w:val="22"/>
          </w:tcPr>
          <w:p>
            <w:pPr>
              <w:spacing w:after="0" w:line="115" w:lineRule="exact"/>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Amended and Restated Certificate of Incorporation of the registrant as currently in</w:t>
              </w:r>
            </w:hyperlink>
          </w:p>
        </w:tc>
        <w:tc>
          <w:tcPr>
            <w:tcW w:w="100" w:type="dxa"/>
            <w:vAlign w:val="bottom"/>
          </w:tcPr>
          <w:p>
            <w:pPr>
              <w:spacing w:after="0"/>
              <w:rPr>
                <w:sz w:val="10"/>
                <w:szCs w:val="10"/>
                <w:color w:val="auto"/>
              </w:rPr>
            </w:pPr>
          </w:p>
        </w:tc>
        <w:tc>
          <w:tcPr>
            <w:tcW w:w="8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7"/>
              </w:rPr>
              <w:t>10-Q</w:t>
            </w:r>
          </w:p>
        </w:tc>
        <w:tc>
          <w:tcPr>
            <w:tcW w:w="8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0"/>
                <w:szCs w:val="10"/>
                <w:color w:val="auto"/>
              </w:rPr>
            </w:pPr>
          </w:p>
        </w:tc>
        <w:tc>
          <w:tcPr>
            <w:tcW w:w="9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8"/>
              </w:rPr>
              <w:t>8/6/2015</w:t>
            </w:r>
          </w:p>
        </w:tc>
        <w:tc>
          <w:tcPr>
            <w:tcW w:w="1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80" w:type="dxa"/>
            <w:vAlign w:val="bottom"/>
            <w:tcBorders>
              <w:top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effect.</w:t>
              </w:r>
            </w:hyperlink>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Amended and Restated Bylaws of the registrant as currently in effect.</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8/3/2020</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1"/>
                <w:szCs w:val="11"/>
                <w:color w:val="auto"/>
              </w:rPr>
            </w:pPr>
          </w:p>
        </w:tc>
        <w:tc>
          <w:tcPr>
            <w:tcW w:w="3340" w:type="dxa"/>
            <w:vAlign w:val="bottom"/>
            <w:tcBorders>
              <w:top w:val="single" w:sz="8" w:color="0000FF"/>
            </w:tcBorders>
            <w:gridSpan w:val="11"/>
          </w:tcPr>
          <w:p>
            <w:pPr>
              <w:spacing w:after="0" w:line="133"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Specimen Certificate for Class A Common Stock.</w:t>
              </w:r>
            </w:hyperlink>
          </w:p>
        </w:tc>
        <w:tc>
          <w:tcPr>
            <w:tcW w:w="960" w:type="dxa"/>
            <w:vAlign w:val="bottom"/>
            <w:gridSpan w:val="12"/>
          </w:tcPr>
          <w:p>
            <w:pPr>
              <w:spacing w:after="0"/>
              <w:rPr>
                <w:sz w:val="11"/>
                <w:szCs w:val="11"/>
                <w:color w:val="auto"/>
              </w:rPr>
            </w:pPr>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S-1/A</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333-204262</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4.1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6/4/2015</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1"/>
                <w:szCs w:val="11"/>
                <w:color w:val="auto"/>
              </w:rPr>
            </w:pPr>
          </w:p>
        </w:tc>
        <w:tc>
          <w:tcPr>
            <w:tcW w:w="4300" w:type="dxa"/>
            <w:vAlign w:val="bottom"/>
            <w:gridSpan w:val="23"/>
          </w:tcPr>
          <w:p>
            <w:pPr>
              <w:spacing w:after="0" w:line="133"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Amended and Restated Investor Rights Agreement, by and among the registrant and</w:t>
              </w:r>
            </w:hyperlink>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S-1/A</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333-204262</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4.2</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6/4/2015</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60" w:type="dxa"/>
            <w:vAlign w:val="bottom"/>
            <w:tcBorders>
              <w:top w:val="single" w:sz="8" w:color="0000FF"/>
            </w:tcBorders>
            <w:gridSpan w:val="18"/>
          </w:tcPr>
          <w:p>
            <w:pPr>
              <w:spacing w:after="0" w:line="97" w:lineRule="exact"/>
              <w:rPr>
                <w:rFonts w:ascii="Times New Roman" w:cs="Times New Roman" w:eastAsia="Times New Roman" w:hAnsi="Times New Roman"/>
                <w:sz w:val="11"/>
                <w:szCs w:val="11"/>
                <w:color w:val="0000FF"/>
              </w:rPr>
            </w:pPr>
            <w:hyperlink r:id="rId98">
              <w:r>
                <w:rPr>
                  <w:rFonts w:ascii="Times New Roman" w:cs="Times New Roman" w:eastAsia="Times New Roman" w:hAnsi="Times New Roman"/>
                  <w:sz w:val="11"/>
                  <w:szCs w:val="11"/>
                  <w:color w:val="0000FF"/>
                </w:rPr>
                <w:t>the investors named therein, dated November 26, 2013.</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9"/>
              </w:rPr>
              <w:t>Description of Capital Stock of the registrant.</w:t>
            </w:r>
          </w:p>
        </w:tc>
        <w:tc>
          <w:tcPr>
            <w:tcW w:w="460" w:type="dxa"/>
            <w:vAlign w:val="bottom"/>
            <w:tcBorders>
              <w:top w:val="single" w:sz="8" w:color="0000FF"/>
            </w:tcBorders>
            <w:gridSpan w:val="2"/>
          </w:tcPr>
          <w:p>
            <w:pPr>
              <w:spacing w:after="0"/>
              <w:rPr>
                <w:sz w:val="12"/>
                <w:szCs w:val="12"/>
                <w:color w:val="auto"/>
              </w:rPr>
            </w:pPr>
          </w:p>
        </w:tc>
        <w:tc>
          <w:tcPr>
            <w:tcW w:w="1640" w:type="dxa"/>
            <w:vAlign w:val="bottom"/>
            <w:gridSpan w:val="15"/>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Industrial Lease, by and between the registrant and 50 Castilian Drive, LLC, effective</w:t>
              </w:r>
            </w:hyperlink>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12/11/2019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tcBorders>
              <w:top w:val="single" w:sz="8" w:color="0000FF"/>
            </w:tcBorders>
            <w:gridSpan w:val="21"/>
          </w:tcPr>
          <w:p>
            <w:pPr>
              <w:spacing w:after="0" w:line="97" w:lineRule="exact"/>
              <w:rPr>
                <w:rFonts w:ascii="Times New Roman" w:cs="Times New Roman" w:eastAsia="Times New Roman" w:hAnsi="Times New Roman"/>
                <w:sz w:val="11"/>
                <w:szCs w:val="11"/>
                <w:color w:val="0000FF"/>
              </w:rPr>
            </w:pPr>
            <w:hyperlink r:id="rId99">
              <w:r>
                <w:rPr>
                  <w:rFonts w:ascii="Times New Roman" w:cs="Times New Roman" w:eastAsia="Times New Roman" w:hAnsi="Times New Roman"/>
                  <w:sz w:val="11"/>
                  <w:szCs w:val="11"/>
                  <w:color w:val="0000FF"/>
                </w:rPr>
                <w:t>December 6, 2019 (50 Castilian Drive, Goleta, CA 93117)</w:t>
              </w:r>
              <w:r>
                <w:rPr>
                  <w:rFonts w:ascii="Times New Roman" w:cs="Times New Roman" w:eastAsia="Times New Roman" w:hAnsi="Times New Roman"/>
                  <w:sz w:val="11"/>
                  <w:szCs w:val="11"/>
                  <w:color w:val="000000"/>
                </w:rPr>
                <w:t>.</w:t>
              </w:r>
            </w:hyperlink>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10.2</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Industrial Lease, by and between the registrant and 50 Castilian Drive, LLC, effective</w:t>
              </w:r>
            </w:hyperlink>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12/11/2019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tcBorders>
              <w:top w:val="single" w:sz="8" w:color="0000FF"/>
            </w:tcBorders>
            <w:gridSpan w:val="21"/>
          </w:tcPr>
          <w:p>
            <w:pPr>
              <w:spacing w:after="0" w:line="97" w:lineRule="exact"/>
              <w:rPr>
                <w:rFonts w:ascii="Times New Roman" w:cs="Times New Roman" w:eastAsia="Times New Roman" w:hAnsi="Times New Roman"/>
                <w:sz w:val="11"/>
                <w:szCs w:val="11"/>
                <w:color w:val="0000FF"/>
              </w:rPr>
            </w:pPr>
            <w:hyperlink r:id="rId100">
              <w:r>
                <w:rPr>
                  <w:rFonts w:ascii="Times New Roman" w:cs="Times New Roman" w:eastAsia="Times New Roman" w:hAnsi="Times New Roman"/>
                  <w:sz w:val="11"/>
                  <w:szCs w:val="11"/>
                  <w:color w:val="0000FF"/>
                </w:rPr>
                <w:t>December 6, 2019 (70 Castilian Drive, Goleta, CA 93117)</w:t>
              </w:r>
              <w:r>
                <w:rPr>
                  <w:rFonts w:ascii="Times New Roman" w:cs="Times New Roman" w:eastAsia="Times New Roman" w:hAnsi="Times New Roman"/>
                  <w:sz w:val="11"/>
                  <w:szCs w:val="11"/>
                  <w:color w:val="000000"/>
                </w:rPr>
                <w:t>.</w:t>
              </w:r>
            </w:hyperlink>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10.3</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Industrial Lease, by and between the registrant and 50 Castilian Drive, LLC, effective</w:t>
              </w:r>
            </w:hyperlink>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12/11/2019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tcBorders>
              <w:top w:val="single" w:sz="8" w:color="0000FF"/>
            </w:tcBorders>
            <w:gridSpan w:val="21"/>
          </w:tcPr>
          <w:p>
            <w:pPr>
              <w:spacing w:after="0" w:line="97"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December 6, 2019 (90 Castilian Drive, Goleta, CA 93117)</w:t>
              </w:r>
              <w:r>
                <w:rPr>
                  <w:rFonts w:ascii="Times New Roman" w:cs="Times New Roman" w:eastAsia="Times New Roman" w:hAnsi="Times New Roman"/>
                  <w:sz w:val="11"/>
                  <w:szCs w:val="11"/>
                  <w:color w:val="000000"/>
                </w:rPr>
                <w:t>.</w:t>
              </w:r>
            </w:hyperlink>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10.4</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First Amendment to Industrial Lease, by and between the registrant and 50 Castilian</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20" w:type="dxa"/>
            <w:vAlign w:val="bottom"/>
            <w:tcBorders>
              <w:top w:val="single" w:sz="8" w:color="0000FF"/>
              <w:bottom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Drive, LLC, effective February 10, 2022 (50 Castilian Drive, Goleta, CA 93117).</w:t>
              </w:r>
            </w:hyperlink>
          </w:p>
        </w:tc>
        <w:tc>
          <w:tcPr>
            <w:tcW w:w="160" w:type="dxa"/>
            <w:vAlign w:val="bottom"/>
            <w:tcBorders>
              <w:top w:val="single" w:sz="8" w:color="0000FF"/>
            </w:tcBorders>
            <w:gridSpan w:val="4"/>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10.5</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First Amendment to Industrial Lease, by and between the registrant and 50 Castilian</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20" w:type="dxa"/>
            <w:vAlign w:val="bottom"/>
            <w:tcBorders>
              <w:top w:val="single" w:sz="8" w:color="0000FF"/>
              <w:bottom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Drive, LLC, effective February 10, 2022 (70 Castilian Drive, Goleta, CA 93117).</w:t>
              </w:r>
            </w:hyperlink>
          </w:p>
        </w:tc>
        <w:tc>
          <w:tcPr>
            <w:tcW w:w="160" w:type="dxa"/>
            <w:vAlign w:val="bottom"/>
            <w:tcBorders>
              <w:top w:val="single" w:sz="8" w:color="0000FF"/>
            </w:tcBorders>
            <w:gridSpan w:val="4"/>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10.6</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First Amendment to Industrial Lease, by and between the registrant and 50 Castilian</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80" w:type="dxa"/>
            <w:vAlign w:val="bottom"/>
            <w:tcBorders>
              <w:top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Drive, LLC, effective February 10, 2022 (90 Castilian Drive, Goleta, CA 93117).</w:t>
              </w:r>
            </w:hyperlink>
          </w:p>
        </w:tc>
        <w:tc>
          <w:tcPr>
            <w:tcW w:w="2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10.7</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Sublease, by and between the registrant and Google LLC, effective July 10, 2023 (50</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10/27/2023</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Castilian Drive, Goleta, CA 93117).</w:t>
              </w:r>
            </w:hyperlink>
          </w:p>
        </w:tc>
        <w:tc>
          <w:tcPr>
            <w:tcW w:w="2360" w:type="dxa"/>
            <w:vAlign w:val="bottom"/>
            <w:tcBorders>
              <w:top w:val="single" w:sz="8" w:color="0000FF"/>
            </w:tcBorders>
            <w:gridSpan w:val="15"/>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2"/>
                <w:szCs w:val="12"/>
                <w:color w:val="auto"/>
              </w:rPr>
            </w:pPr>
          </w:p>
        </w:tc>
        <w:tc>
          <w:tcPr>
            <w:tcW w:w="2700" w:type="dxa"/>
            <w:vAlign w:val="bottom"/>
            <w:tcBorders>
              <w:bottom w:val="single" w:sz="8" w:color="0000FF"/>
            </w:tcBorders>
            <w:gridSpan w:val="9"/>
          </w:tcPr>
          <w:p>
            <w:pPr>
              <w:spacing w:after="0"/>
              <w:rPr>
                <w:rFonts w:ascii="Times New Roman" w:cs="Times New Roman" w:eastAsia="Times New Roman" w:hAnsi="Times New Roman"/>
                <w:sz w:val="12"/>
                <w:szCs w:val="12"/>
                <w:color w:val="0000FF"/>
                <w:w w:val="99"/>
              </w:rPr>
            </w:pPr>
            <w:hyperlink r:id="rId106">
              <w:r>
                <w:rPr>
                  <w:rFonts w:ascii="Times New Roman" w:cs="Times New Roman" w:eastAsia="Times New Roman" w:hAnsi="Times New Roman"/>
                  <w:sz w:val="12"/>
                  <w:szCs w:val="12"/>
                  <w:color w:val="0000FF"/>
                  <w:w w:val="99"/>
                </w:rPr>
                <w:t>2015 Stock Incentive Plan and related form agreements.</w:t>
              </w:r>
            </w:hyperlink>
          </w:p>
        </w:tc>
        <w:tc>
          <w:tcPr>
            <w:tcW w:w="1600" w:type="dxa"/>
            <w:vAlign w:val="bottom"/>
            <w:gridSpan w:val="14"/>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333-204262</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6/4/2015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1"/>
                <w:szCs w:val="11"/>
                <w:color w:val="auto"/>
              </w:rPr>
            </w:pPr>
          </w:p>
        </w:tc>
        <w:tc>
          <w:tcPr>
            <w:tcW w:w="4300" w:type="dxa"/>
            <w:vAlign w:val="bottom"/>
            <w:gridSpan w:val="23"/>
          </w:tcPr>
          <w:p>
            <w:pPr>
              <w:spacing w:after="0" w:line="133" w:lineRule="exact"/>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Form of Restricted Stock Unit Award Agreement (New Hire) under 2015 Stock</w:t>
              </w:r>
            </w:hyperlink>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10.16</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tcBorders>
              <w:top w:val="single" w:sz="8" w:color="0000FF"/>
            </w:tcBorders>
            <w:gridSpan w:val="13"/>
          </w:tcPr>
          <w:p>
            <w:pPr>
              <w:spacing w:after="0" w:line="97" w:lineRule="exact"/>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Incentive Plan</w:t>
              </w:r>
              <w:r>
                <w:rPr>
                  <w:rFonts w:ascii="Times New Roman" w:cs="Times New Roman" w:eastAsia="Times New Roman" w:hAnsi="Times New Roman"/>
                  <w:sz w:val="11"/>
                  <w:szCs w:val="11"/>
                  <w:color w:val="000000"/>
                </w:rPr>
                <w:t>.</w:t>
              </w:r>
            </w:hyperlink>
          </w:p>
        </w:tc>
        <w:tc>
          <w:tcPr>
            <w:tcW w:w="220" w:type="dxa"/>
            <w:vAlign w:val="bottom"/>
            <w:gridSpan w:val="4"/>
          </w:tcPr>
          <w:p>
            <w:pPr>
              <w:spacing w:after="0"/>
              <w:rPr>
                <w:sz w:val="8"/>
                <w:szCs w:val="8"/>
                <w:color w:val="auto"/>
              </w:rPr>
            </w:pPr>
          </w:p>
        </w:tc>
        <w:tc>
          <w:tcPr>
            <w:tcW w:w="260" w:type="dxa"/>
            <w:vAlign w:val="bottom"/>
            <w:gridSpan w:val="6"/>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10.10#</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Form of Restricted Stock Unit Award Agreement (Refresh) under 2015 Stock</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tcBorders>
              <w:top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Incentive Plan</w:t>
              </w:r>
              <w:r>
                <w:rPr>
                  <w:rFonts w:ascii="Times New Roman" w:cs="Times New Roman" w:eastAsia="Times New Roman" w:hAnsi="Times New Roman"/>
                  <w:sz w:val="11"/>
                  <w:szCs w:val="11"/>
                  <w:color w:val="000000"/>
                </w:rPr>
                <w:t>.</w:t>
              </w:r>
            </w:hyperlink>
          </w:p>
        </w:tc>
        <w:tc>
          <w:tcPr>
            <w:tcW w:w="320" w:type="dxa"/>
            <w:vAlign w:val="bottom"/>
            <w:gridSpan w:val="5"/>
          </w:tcPr>
          <w:p>
            <w:pPr>
              <w:spacing w:after="0"/>
              <w:rPr>
                <w:sz w:val="8"/>
                <w:szCs w:val="8"/>
                <w:color w:val="auto"/>
              </w:rPr>
            </w:pPr>
          </w:p>
        </w:tc>
        <w:tc>
          <w:tcPr>
            <w:tcW w:w="260" w:type="dxa"/>
            <w:vAlign w:val="bottom"/>
            <w:gridSpan w:val="6"/>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10.11#</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Form of Restricted Stock Unit Award Agreement (PSU) under 2015 Stock Incentive</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tcBorders>
              <w:top w:val="single" w:sz="8" w:color="0000FF"/>
            </w:tcBorders>
            <w:gridSpan w:val="17"/>
          </w:tcPr>
          <w:p>
            <w:pPr>
              <w:spacing w:after="0" w:line="97"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Plan</w:t>
              </w:r>
              <w:r>
                <w:rPr>
                  <w:rFonts w:ascii="Times New Roman" w:cs="Times New Roman" w:eastAsia="Times New Roman" w:hAnsi="Times New Roman"/>
                  <w:sz w:val="11"/>
                  <w:szCs w:val="11"/>
                  <w:color w:val="000000"/>
                </w:rPr>
                <w:t>.</w:t>
              </w:r>
            </w:hyperlink>
          </w:p>
        </w:tc>
        <w:tc>
          <w:tcPr>
            <w:tcW w:w="260" w:type="dxa"/>
            <w:vAlign w:val="bottom"/>
            <w:gridSpan w:val="6"/>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860" w:type="dxa"/>
            <w:vAlign w:val="bottom"/>
            <w:gridSpan w:val="19"/>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10.12#</w:t>
            </w:r>
          </w:p>
        </w:tc>
        <w:tc>
          <w:tcPr>
            <w:tcW w:w="100" w:type="dxa"/>
            <w:vAlign w:val="bottom"/>
          </w:tcPr>
          <w:p>
            <w:pPr>
              <w:spacing w:after="0"/>
              <w:rPr>
                <w:sz w:val="12"/>
                <w:szCs w:val="12"/>
                <w:color w:val="auto"/>
              </w:rPr>
            </w:pPr>
          </w:p>
        </w:tc>
        <w:tc>
          <w:tcPr>
            <w:tcW w:w="4300" w:type="dxa"/>
            <w:vAlign w:val="bottom"/>
            <w:gridSpan w:val="23"/>
          </w:tcPr>
          <w:p>
            <w:pPr>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2025 Omnibus Incentive Plan</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7/26/2024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655"/>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90" w:right="2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gridSpan w:val="25"/>
          </w:tcPr>
          <w:p>
            <w:pPr>
              <w:ind w:left="6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File No.</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Filed Herewith</w:t>
            </w:r>
          </w:p>
        </w:tc>
      </w:tr>
      <w:tr>
        <w:trPr>
          <w:trHeight w:val="115"/>
        </w:trPr>
        <w:tc>
          <w:tcPr>
            <w:tcW w:w="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6"/>
              </w:rPr>
              <w:t>10.13#</w:t>
            </w: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160" w:type="dxa"/>
            <w:vAlign w:val="bottom"/>
            <w:tcBorders>
              <w:top w:val="single" w:sz="8" w:color="auto"/>
            </w:tcBorders>
            <w:gridSpan w:val="33"/>
          </w:tcPr>
          <w:p>
            <w:pPr>
              <w:spacing w:after="0" w:line="115" w:lineRule="exact"/>
              <w:rPr>
                <w:sz w:val="20"/>
                <w:szCs w:val="20"/>
                <w:color w:val="auto"/>
              </w:rPr>
            </w:pPr>
            <w:r>
              <w:rPr>
                <w:rFonts w:ascii="Times New Roman" w:cs="Times New Roman" w:eastAsia="Times New Roman" w:hAnsi="Times New Roman"/>
                <w:sz w:val="12"/>
                <w:szCs w:val="12"/>
                <w:color w:val="0000FF"/>
              </w:rPr>
              <w:t>Form of Restricted Stock Unit Award Agreement (New Hire) under 2025 Omnibus</w:t>
            </w: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1"/>
              </w:rPr>
              <w:t>X</w:t>
            </w:r>
          </w:p>
        </w:tc>
        <w:tc>
          <w:tcPr>
            <w:tcW w:w="4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940" w:type="dxa"/>
            <w:vAlign w:val="bottom"/>
            <w:tcBorders>
              <w:top w:val="single" w:sz="8" w:color="0000FF"/>
            </w:tcBorders>
            <w:gridSpan w:val="24"/>
          </w:tcPr>
          <w:p>
            <w:pPr>
              <w:spacing w:after="0" w:line="97" w:lineRule="exact"/>
              <w:rPr>
                <w:sz w:val="20"/>
                <w:szCs w:val="20"/>
                <w:color w:val="auto"/>
              </w:rPr>
            </w:pPr>
            <w:r>
              <w:rPr>
                <w:rFonts w:ascii="Times New Roman" w:cs="Times New Roman" w:eastAsia="Times New Roman" w:hAnsi="Times New Roman"/>
                <w:sz w:val="11"/>
                <w:szCs w:val="11"/>
                <w:color w:val="0000FF"/>
              </w:rPr>
              <w:t>Incentive Plan.</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Form of Restricted Stock Unit Award Agreement (Refresh) under 2025 Omnibus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60" w:type="dxa"/>
            <w:vAlign w:val="bottom"/>
            <w:tcBorders>
              <w:top w:val="single" w:sz="8" w:color="0000FF"/>
            </w:tcBorders>
            <w:gridSpan w:val="21"/>
          </w:tcPr>
          <w:p>
            <w:pPr>
              <w:spacing w:after="0" w:line="97" w:lineRule="exact"/>
              <w:rPr>
                <w:sz w:val="20"/>
                <w:szCs w:val="20"/>
                <w:color w:val="auto"/>
              </w:rPr>
            </w:pPr>
            <w:r>
              <w:rPr>
                <w:rFonts w:ascii="Times New Roman" w:cs="Times New Roman" w:eastAsia="Times New Roman" w:hAnsi="Times New Roman"/>
                <w:sz w:val="11"/>
                <w:szCs w:val="11"/>
                <w:color w:val="0000FF"/>
              </w:rPr>
              <w:t>Incentive Plan Incentive Plan.</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Form of Restricted Stock Unit Award Agreement (PSU) under 2025 Omnibus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700" w:type="dxa"/>
            <w:vAlign w:val="bottom"/>
            <w:tcBorders>
              <w:top w:val="single" w:sz="8" w:color="0000FF"/>
            </w:tcBorders>
            <w:gridSpan w:val="20"/>
          </w:tcPr>
          <w:p>
            <w:pPr>
              <w:spacing w:after="0" w:line="97" w:lineRule="exact"/>
              <w:rPr>
                <w:sz w:val="20"/>
                <w:szCs w:val="20"/>
                <w:color w:val="auto"/>
              </w:rPr>
            </w:pPr>
            <w:r>
              <w:rPr>
                <w:rFonts w:ascii="Times New Roman" w:cs="Times New Roman" w:eastAsia="Times New Roman" w:hAnsi="Times New Roman"/>
                <w:sz w:val="11"/>
                <w:szCs w:val="11"/>
                <w:color w:val="0000FF"/>
              </w:rPr>
              <w:t>Incentive Plan.</w:t>
            </w:r>
          </w:p>
        </w:tc>
        <w:tc>
          <w:tcPr>
            <w:tcW w:w="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Borders>
              <w:bottom w:val="single" w:sz="8" w:color="0000FF"/>
            </w:tcBorders>
            <w:gridSpan w:val="10"/>
          </w:tcPr>
          <w:p>
            <w:pPr>
              <w:spacing w:after="0"/>
              <w:rPr>
                <w:rFonts w:ascii="Times New Roman" w:cs="Times New Roman" w:eastAsia="Times New Roman" w:hAnsi="Times New Roman"/>
                <w:sz w:val="12"/>
                <w:szCs w:val="12"/>
                <w:color w:val="0000FF"/>
                <w:w w:val="97"/>
              </w:rPr>
            </w:pPr>
            <w:r>
              <w:rPr>
                <w:rFonts w:ascii="Times New Roman" w:cs="Times New Roman" w:eastAsia="Times New Roman" w:hAnsi="Times New Roman"/>
                <w:sz w:val="12"/>
                <w:szCs w:val="12"/>
                <w:color w:val="0000FF"/>
                <w:w w:val="97"/>
              </w:rPr>
              <w:t xml:space="preserve">2025 </w:t>
            </w:r>
            <w:hyperlink r:id="rId113">
              <w:r>
                <w:rPr>
                  <w:rFonts w:ascii="Times New Roman" w:cs="Times New Roman" w:eastAsia="Times New Roman" w:hAnsi="Times New Roman"/>
                  <w:sz w:val="12"/>
                  <w:szCs w:val="12"/>
                  <w:color w:val="0000FF"/>
                  <w:w w:val="97"/>
                </w:rPr>
                <w:t>Employee Stock Purchase Plan</w:t>
              </w:r>
            </w:hyperlink>
          </w:p>
        </w:tc>
        <w:tc>
          <w:tcPr>
            <w:tcW w:w="2520" w:type="dxa"/>
            <w:vAlign w:val="bottom"/>
            <w:gridSpan w:val="24"/>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7/26/2024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10.17#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60" w:type="dxa"/>
            <w:vAlign w:val="bottom"/>
            <w:gridSpan w:val="34"/>
          </w:tcPr>
          <w:p>
            <w:pPr>
              <w:spacing w:after="0" w:line="133"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Transition and Separation Agreement, dated March 1, 2023, by and between Jason</w:t>
              </w:r>
            </w:hyperlink>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4/28/2023</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920" w:type="dxa"/>
            <w:vAlign w:val="bottom"/>
            <w:tcBorders>
              <w:top w:val="single" w:sz="8" w:color="0000FF"/>
            </w:tcBorders>
            <w:gridSpan w:val="23"/>
          </w:tcPr>
          <w:p>
            <w:pPr>
              <w:spacing w:after="0" w:line="97"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Randall and the registrant</w:t>
              </w:r>
            </w:hyperlink>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Employment agreement, dated March 1, 2023, between the registrant and William</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4/28/2023</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w w:val="99"/>
              </w:rPr>
            </w:pPr>
            <w:hyperlink r:id="rId115">
              <w:r>
                <w:rPr>
                  <w:rFonts w:ascii="Times New Roman" w:cs="Times New Roman" w:eastAsia="Times New Roman" w:hAnsi="Times New Roman"/>
                  <w:sz w:val="11"/>
                  <w:szCs w:val="11"/>
                  <w:color w:val="0000FF"/>
                  <w:w w:val="99"/>
                </w:rPr>
                <w:t>Shane Trigg</w:t>
              </w:r>
            </w:hyperlink>
          </w:p>
        </w:tc>
        <w:tc>
          <w:tcPr>
            <w:tcW w:w="3340" w:type="dxa"/>
            <w:vAlign w:val="bottom"/>
            <w:tcBorders>
              <w:top w:val="single" w:sz="8" w:color="0000FF"/>
            </w:tcBorders>
            <w:gridSpan w:val="19"/>
          </w:tcPr>
          <w:p>
            <w:pPr>
              <w:spacing w:after="0"/>
              <w:rPr>
                <w:sz w:val="8"/>
                <w:szCs w:val="8"/>
                <w:color w:val="auto"/>
              </w:rPr>
            </w:pPr>
          </w:p>
        </w:tc>
        <w:tc>
          <w:tcPr>
            <w:tcW w:w="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Employment agreement between the registrant and Fay Sien Goon</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11/8/2021</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60" w:type="dxa"/>
            <w:vAlign w:val="bottom"/>
            <w:gridSpan w:val="34"/>
          </w:tcPr>
          <w:p>
            <w:pPr>
              <w:spacing w:after="0" w:line="133" w:lineRule="exact"/>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Separation Agreement, dated November 8, 2024, between the registrant and Fay Sien</w:t>
              </w:r>
            </w:hyperlink>
          </w:p>
        </w:tc>
        <w:tc>
          <w:tcPr>
            <w:tcW w:w="9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11/21/2024</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80" w:type="dxa"/>
            <w:vAlign w:val="bottom"/>
            <w:tcBorders>
              <w:top w:val="single" w:sz="8" w:color="0000FF"/>
            </w:tcBorders>
            <w:gridSpan w:val="29"/>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Goon</w:t>
              </w:r>
              <w:r>
                <w:rPr>
                  <w:rFonts w:ascii="Times New Roman" w:cs="Times New Roman" w:eastAsia="Times New Roman" w:hAnsi="Times New Roman"/>
                  <w:sz w:val="11"/>
                  <w:szCs w:val="11"/>
                  <w:color w:val="000000"/>
                </w:rPr>
                <w:t>.</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20" w:type="dxa"/>
            <w:vAlign w:val="bottom"/>
            <w:tcBorders>
              <w:bottom w:val="single" w:sz="8" w:color="0000FF"/>
            </w:tcBorders>
            <w:gridSpan w:val="13"/>
          </w:tcPr>
          <w:p>
            <w:pPr>
              <w:spacing w:after="0"/>
              <w:rPr>
                <w:rFonts w:ascii="Times New Roman" w:cs="Times New Roman" w:eastAsia="Times New Roman" w:hAnsi="Times New Roman"/>
                <w:sz w:val="12"/>
                <w:szCs w:val="12"/>
                <w:color w:val="0000FF"/>
                <w:w w:val="97"/>
              </w:rPr>
            </w:pPr>
            <w:hyperlink r:id="rId118">
              <w:r>
                <w:rPr>
                  <w:rFonts w:ascii="Times New Roman" w:cs="Times New Roman" w:eastAsia="Times New Roman" w:hAnsi="Times New Roman"/>
                  <w:sz w:val="12"/>
                  <w:szCs w:val="12"/>
                  <w:color w:val="0000FF"/>
                  <w:w w:val="97"/>
                </w:rPr>
                <w:t>Nonemployee Director Deferred Compensation Plan.</w:t>
              </w:r>
            </w:hyperlink>
          </w:p>
        </w:tc>
        <w:tc>
          <w:tcPr>
            <w:tcW w:w="1740" w:type="dxa"/>
            <w:vAlign w:val="bottom"/>
            <w:gridSpan w:val="21"/>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10.19</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60" w:type="dxa"/>
            <w:vAlign w:val="bottom"/>
            <w:gridSpan w:val="34"/>
          </w:tcPr>
          <w:p>
            <w:pPr>
              <w:spacing w:after="0" w:line="133" w:lineRule="exact"/>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Related form of Deferral Election under Nonemployee Director Deferred</w:t>
              </w:r>
            </w:hyperlink>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10.20</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19">
              <w:r>
                <w:rPr>
                  <w:rFonts w:ascii="Times New Roman" w:cs="Times New Roman" w:eastAsia="Times New Roman" w:hAnsi="Times New Roman"/>
                  <w:sz w:val="11"/>
                  <w:szCs w:val="11"/>
                  <w:color w:val="0000FF"/>
                </w:rPr>
                <w:t>Compensation Plan.</w:t>
              </w:r>
            </w:hyperlink>
          </w:p>
        </w:tc>
        <w:tc>
          <w:tcPr>
            <w:tcW w:w="2540" w:type="dxa"/>
            <w:vAlign w:val="bottom"/>
            <w:tcBorders>
              <w:top w:val="single" w:sz="8" w:color="0000FF"/>
            </w:tcBorders>
            <w:gridSpan w:val="13"/>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6"/>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Form of Indemnification Agreement by and between the registrant and certain of its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0" w:type="dxa"/>
            <w:vAlign w:val="bottom"/>
            <w:tcBorders>
              <w:top w:val="single" w:sz="8" w:color="0000FF"/>
            </w:tcBorders>
            <w:gridSpan w:val="26"/>
          </w:tcPr>
          <w:p>
            <w:pPr>
              <w:spacing w:after="0" w:line="97" w:lineRule="exact"/>
              <w:rPr>
                <w:sz w:val="20"/>
                <w:szCs w:val="20"/>
                <w:color w:val="auto"/>
              </w:rPr>
            </w:pPr>
            <w:r>
              <w:rPr>
                <w:rFonts w:ascii="Times New Roman" w:cs="Times New Roman" w:eastAsia="Times New Roman" w:hAnsi="Times New Roman"/>
                <w:sz w:val="11"/>
                <w:szCs w:val="11"/>
                <w:color w:val="0000FF"/>
              </w:rPr>
              <w:t>senior employees and directors.</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6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10.24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60" w:type="dxa"/>
            <w:vAlign w:val="bottom"/>
            <w:gridSpan w:val="34"/>
          </w:tcPr>
          <w:p>
            <w:pPr>
              <w:spacing w:after="0"/>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Agreement and Plan of Merger, dated October 22, 2024, among the registrant, Lilac</w:t>
              </w:r>
            </w:hyperlink>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10/22/2024</w:t>
            </w:r>
          </w:p>
        </w:tc>
        <w:tc>
          <w:tcPr>
            <w:tcW w:w="10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77"/>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tcBorders>
              <w:top w:val="single" w:sz="8" w:color="0000FF"/>
            </w:tcBorders>
            <w:gridSpan w:val="9"/>
          </w:tcPr>
          <w:p>
            <w:pPr>
              <w:spacing w:after="0" w:line="77" w:lineRule="exact"/>
              <w:rPr>
                <w:rFonts w:ascii="Times New Roman" w:cs="Times New Roman" w:eastAsia="Times New Roman" w:hAnsi="Times New Roman"/>
                <w:sz w:val="8"/>
                <w:szCs w:val="8"/>
                <w:color w:val="0000FF"/>
              </w:rPr>
            </w:pPr>
            <w:hyperlink r:id="rId120">
              <w:r>
                <w:rPr>
                  <w:rFonts w:ascii="Times New Roman" w:cs="Times New Roman" w:eastAsia="Times New Roman" w:hAnsi="Times New Roman"/>
                  <w:sz w:val="8"/>
                  <w:szCs w:val="8"/>
                  <w:color w:val="0000FF"/>
                </w:rPr>
                <w:t>Merger Sub, Inc., Move EZ, Inc.</w:t>
              </w:r>
            </w:hyperlink>
          </w:p>
        </w:tc>
        <w:tc>
          <w:tcPr>
            <w:tcW w:w="2480" w:type="dxa"/>
            <w:vAlign w:val="bottom"/>
            <w:tcBorders>
              <w:top w:val="single" w:sz="8" w:color="0000FF"/>
            </w:tcBorders>
            <w:gridSpan w:val="16"/>
          </w:tcPr>
          <w:p>
            <w:pPr>
              <w:ind w:left="60"/>
              <w:spacing w:after="0" w:line="77" w:lineRule="exact"/>
              <w:rPr>
                <w:rFonts w:ascii="Times New Roman" w:cs="Times New Roman" w:eastAsia="Times New Roman" w:hAnsi="Times New Roman"/>
                <w:sz w:val="8"/>
                <w:szCs w:val="8"/>
                <w:color w:val="0000FF"/>
              </w:rPr>
            </w:pPr>
            <w:hyperlink r:id="rId120">
              <w:r>
                <w:rPr>
                  <w:rFonts w:ascii="Times New Roman" w:cs="Times New Roman" w:eastAsia="Times New Roman" w:hAnsi="Times New Roman"/>
                  <w:sz w:val="8"/>
                  <w:szCs w:val="8"/>
                  <w:color w:val="0000FF"/>
                </w:rPr>
                <w:t>and WT Representative, LLC</w:t>
              </w:r>
              <w:r>
                <w:rPr>
                  <w:rFonts w:ascii="Times New Roman" w:cs="Times New Roman" w:eastAsia="Times New Roman" w:hAnsi="Times New Roman"/>
                  <w:sz w:val="8"/>
                  <w:szCs w:val="8"/>
                  <w:color w:val="000000"/>
                </w:rPr>
                <w:t>.</w:t>
              </w:r>
            </w:hyperlink>
          </w:p>
        </w:tc>
        <w:tc>
          <w:tcPr>
            <w:tcW w:w="4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Employment Agreement, dated February 6, 2025, between the registrant and Matthew</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120" w:type="dxa"/>
            <w:vAlign w:val="bottom"/>
            <w:tcBorders>
              <w:top w:val="single" w:sz="8" w:color="0000FF"/>
            </w:tcBorders>
            <w:gridSpan w:val="31"/>
          </w:tcPr>
          <w:p>
            <w:pPr>
              <w:spacing w:after="0" w:line="97" w:lineRule="exact"/>
              <w:rPr>
                <w:sz w:val="20"/>
                <w:szCs w:val="20"/>
                <w:color w:val="auto"/>
              </w:rPr>
            </w:pPr>
            <w:r>
              <w:rPr>
                <w:rFonts w:ascii="Times New Roman" w:cs="Times New Roman" w:eastAsia="Times New Roman" w:hAnsi="Times New Roman"/>
                <w:sz w:val="11"/>
                <w:szCs w:val="11"/>
                <w:color w:val="0000FF"/>
              </w:rPr>
              <w:t>S. Mazza.</w:t>
            </w: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u w:val="single" w:color="auto"/>
                <w:color w:val="0000FF"/>
              </w:rPr>
              <w:t>Insider</w:t>
            </w:r>
            <w:r>
              <w:rPr>
                <w:rFonts w:ascii="Times New Roman" w:cs="Times New Roman" w:eastAsia="Times New Roman" w:hAnsi="Times New Roman"/>
                <w:sz w:val="12"/>
                <w:szCs w:val="12"/>
                <w:color w:val="0000FF"/>
              </w:rPr>
              <w:t xml:space="preserve"> Trading Policy of the registrant</w:t>
            </w:r>
            <w:r>
              <w:rPr>
                <w:rFonts w:ascii="Times New Roman" w:cs="Times New Roman" w:eastAsia="Times New Roman" w:hAnsi="Times New Roman"/>
                <w:sz w:val="12"/>
                <w:szCs w:val="12"/>
                <w:color w:val="000000"/>
              </w:rPr>
              <w: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Borders>
              <w:bottom w:val="single" w:sz="8" w:color="0000FF"/>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FF"/>
                <w:w w:val="96"/>
              </w:rPr>
              <w:t>Subsidiaries of the registrant.</w:t>
            </w:r>
          </w:p>
        </w:tc>
        <w:tc>
          <w:tcPr>
            <w:tcW w:w="2860" w:type="dxa"/>
            <w:vAlign w:val="bottom"/>
            <w:gridSpan w:val="27"/>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23.1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60" w:type="dxa"/>
            <w:vAlign w:val="bottom"/>
            <w:tcBorders>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FF"/>
                <w:w w:val="97"/>
              </w:rPr>
              <w:t>Consent of independent registered public accounting firm.</w:t>
            </w:r>
          </w:p>
        </w:tc>
        <w:tc>
          <w:tcPr>
            <w:tcW w:w="1500" w:type="dxa"/>
            <w:vAlign w:val="bottom"/>
            <w:gridSpan w:val="20"/>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24.1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40" w:type="dxa"/>
            <w:vAlign w:val="bottom"/>
            <w:tcBorders>
              <w:bottom w:val="single" w:sz="8" w:color="0000FF"/>
            </w:tcBorders>
            <w:gridSpan w:val="19"/>
          </w:tcPr>
          <w:p>
            <w:pPr>
              <w:spacing w:after="0" w:line="133" w:lineRule="exact"/>
              <w:rPr>
                <w:sz w:val="20"/>
                <w:szCs w:val="20"/>
                <w:color w:val="auto"/>
              </w:rPr>
            </w:pPr>
            <w:r>
              <w:rPr>
                <w:rFonts w:ascii="Times New Roman" w:cs="Times New Roman" w:eastAsia="Times New Roman" w:hAnsi="Times New Roman"/>
                <w:sz w:val="12"/>
                <w:szCs w:val="12"/>
                <w:color w:val="0000FF"/>
                <w:w w:val="98"/>
              </w:rPr>
              <w:t>Power of Attorney (included on the signature page of this Annual Report).</w:t>
            </w:r>
          </w:p>
        </w:tc>
        <w:tc>
          <w:tcPr>
            <w:tcW w:w="720" w:type="dxa"/>
            <w:vAlign w:val="bottom"/>
            <w:gridSpan w:val="15"/>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31.1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60" w:type="dxa"/>
            <w:vAlign w:val="bottom"/>
            <w:gridSpan w:val="34"/>
          </w:tcPr>
          <w:p>
            <w:pPr>
              <w:spacing w:after="0" w:line="133" w:lineRule="exact"/>
              <w:rPr>
                <w:sz w:val="20"/>
                <w:szCs w:val="20"/>
                <w:color w:val="auto"/>
              </w:rPr>
            </w:pPr>
            <w:r>
              <w:rPr>
                <w:rFonts w:ascii="Times New Roman" w:cs="Times New Roman" w:eastAsia="Times New Roman" w:hAnsi="Times New Roman"/>
                <w:sz w:val="12"/>
                <w:szCs w:val="12"/>
                <w:color w:val="0000FF"/>
              </w:rPr>
              <w:t>Certification of Chief Executive Officer pursuant to Rule 13a-14(a) or Rule 15d-14(a)</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320" w:type="dxa"/>
            <w:vAlign w:val="bottom"/>
            <w:tcBorders>
              <w:top w:val="single" w:sz="8" w:color="0000FF"/>
              <w:bottom w:val="single" w:sz="8" w:color="0000FF"/>
            </w:tcBorders>
            <w:gridSpan w:val="17"/>
          </w:tcPr>
          <w:p>
            <w:pPr>
              <w:spacing w:after="0" w:line="97" w:lineRule="exact"/>
              <w:rPr>
                <w:sz w:val="20"/>
                <w:szCs w:val="20"/>
                <w:color w:val="auto"/>
              </w:rPr>
            </w:pPr>
            <w:r>
              <w:rPr>
                <w:rFonts w:ascii="Times New Roman" w:cs="Times New Roman" w:eastAsia="Times New Roman" w:hAnsi="Times New Roman"/>
                <w:sz w:val="11"/>
                <w:szCs w:val="11"/>
                <w:color w:val="0000FF"/>
              </w:rPr>
              <w:t>promulgated under the Securities Exchange Act of 1934, as amended.</w:t>
            </w:r>
          </w:p>
        </w:tc>
        <w:tc>
          <w:tcPr>
            <w:tcW w:w="780" w:type="dxa"/>
            <w:vAlign w:val="bottom"/>
            <w:tcBorders>
              <w:top w:val="single" w:sz="8" w:color="0000FF"/>
            </w:tcBorders>
            <w:gridSpan w:val="13"/>
          </w:tcPr>
          <w:p>
            <w:pPr>
              <w:spacing w:after="0"/>
              <w:rPr>
                <w:sz w:val="8"/>
                <w:szCs w:val="8"/>
                <w:color w:val="auto"/>
              </w:rPr>
            </w:pPr>
          </w:p>
        </w:tc>
        <w:tc>
          <w:tcPr>
            <w:tcW w:w="40" w:type="dxa"/>
            <w:vAlign w:val="bottom"/>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31.2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13a-14(a) or Rule 15d-14(a)</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320" w:type="dxa"/>
            <w:vAlign w:val="bottom"/>
            <w:tcBorders>
              <w:top w:val="single" w:sz="8" w:color="0000FF"/>
              <w:bottom w:val="single" w:sz="8" w:color="0000FF"/>
            </w:tcBorders>
            <w:gridSpan w:val="17"/>
          </w:tcPr>
          <w:p>
            <w:pPr>
              <w:spacing w:after="0" w:line="97" w:lineRule="exact"/>
              <w:rPr>
                <w:sz w:val="20"/>
                <w:szCs w:val="20"/>
                <w:color w:val="auto"/>
              </w:rPr>
            </w:pPr>
            <w:r>
              <w:rPr>
                <w:rFonts w:ascii="Times New Roman" w:cs="Times New Roman" w:eastAsia="Times New Roman" w:hAnsi="Times New Roman"/>
                <w:sz w:val="11"/>
                <w:szCs w:val="11"/>
                <w:color w:val="0000FF"/>
              </w:rPr>
              <w:t>promulgated under the Securities Exchange Act of 1934, as amended.</w:t>
            </w:r>
          </w:p>
        </w:tc>
        <w:tc>
          <w:tcPr>
            <w:tcW w:w="740" w:type="dxa"/>
            <w:vAlign w:val="bottom"/>
            <w:tcBorders>
              <w:top w:val="single" w:sz="8" w:color="0000FF"/>
            </w:tcBorders>
            <w:gridSpan w:val="11"/>
          </w:tcPr>
          <w:p>
            <w:pPr>
              <w:spacing w:after="0"/>
              <w:rPr>
                <w:sz w:val="8"/>
                <w:szCs w:val="8"/>
                <w:color w:val="auto"/>
              </w:rPr>
            </w:pPr>
          </w:p>
        </w:tc>
        <w:tc>
          <w:tcPr>
            <w:tcW w:w="80" w:type="dxa"/>
            <w:vAlign w:val="bottom"/>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32.1*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Certifications of Chief Executive Officer and Chief Financial Officer, pursuant to 18</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20" w:type="dxa"/>
            <w:vAlign w:val="bottom"/>
            <w:tcBorders>
              <w:top w:val="single" w:sz="8" w:color="0000FF"/>
            </w:tcBorders>
            <w:gridSpan w:val="27"/>
          </w:tcPr>
          <w:p>
            <w:pPr>
              <w:spacing w:after="0" w:line="97" w:lineRule="exact"/>
              <w:rPr>
                <w:sz w:val="20"/>
                <w:szCs w:val="20"/>
                <w:color w:val="auto"/>
              </w:rPr>
            </w:pPr>
            <w:r>
              <w:rPr>
                <w:rFonts w:ascii="Times New Roman" w:cs="Times New Roman" w:eastAsia="Times New Roman" w:hAnsi="Times New Roman"/>
                <w:sz w:val="11"/>
                <w:szCs w:val="11"/>
                <w:color w:val="0000FF"/>
              </w:rPr>
              <w:t>U.S.C. Section 1350, as adopted pursuant to Section 906 of the Sarbanes-Oxley Act</w:t>
            </w:r>
          </w:p>
        </w:tc>
        <w:tc>
          <w:tcPr>
            <w:tcW w:w="240" w:type="dxa"/>
            <w:vAlign w:val="bottom"/>
            <w:gridSpan w:val="7"/>
          </w:tcPr>
          <w:p>
            <w:pPr>
              <w:spacing w:after="0" w:line="97" w:lineRule="exact"/>
              <w:rPr>
                <w:sz w:val="20"/>
                <w:szCs w:val="20"/>
                <w:color w:val="auto"/>
              </w:rPr>
            </w:pPr>
            <w:r>
              <w:rPr>
                <w:rFonts w:ascii="Times New Roman" w:cs="Times New Roman" w:eastAsia="Times New Roman" w:hAnsi="Times New Roman"/>
                <w:sz w:val="11"/>
                <w:szCs w:val="11"/>
                <w:color w:val="0000FF"/>
              </w:rPr>
              <w:t>of</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6"/>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top w:val="single" w:sz="8" w:color="0000FF"/>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81"/>
              </w:rPr>
              <w:t>2002.</w:t>
            </w:r>
          </w:p>
        </w:tc>
        <w:tc>
          <w:tcPr>
            <w:tcW w:w="2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97.1#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60" w:type="dxa"/>
            <w:vAlign w:val="bottom"/>
            <w:gridSpan w:val="34"/>
          </w:tcPr>
          <w:p>
            <w:pPr>
              <w:spacing w:after="0" w:line="133"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Executive Compensation Recovery Policy</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97.1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2/1/2024</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00" w:type="dxa"/>
            <w:vAlign w:val="bottom"/>
            <w:gridSpan w:val="12"/>
            <w:shd w:val="clear" w:color="auto" w:fill="0000FF"/>
          </w:tcPr>
          <w:p>
            <w:pPr>
              <w:spacing w:after="0" w:line="20" w:lineRule="exact"/>
              <w:rPr>
                <w:sz w:val="1"/>
                <w:szCs w:val="1"/>
                <w:color w:val="auto"/>
              </w:rPr>
            </w:pPr>
          </w:p>
        </w:tc>
        <w:tc>
          <w:tcPr>
            <w:tcW w:w="2260" w:type="dxa"/>
            <w:vAlign w:val="bottom"/>
            <w:gridSpan w:val="2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101.SCH</w:t>
            </w:r>
          </w:p>
        </w:tc>
        <w:tc>
          <w:tcPr>
            <w:tcW w:w="40" w:type="dxa"/>
            <w:vAlign w:val="bottom"/>
          </w:tcPr>
          <w:p>
            <w:pPr>
              <w:spacing w:after="0"/>
              <w:rPr>
                <w:sz w:val="14"/>
                <w:szCs w:val="14"/>
                <w:color w:val="auto"/>
              </w:rPr>
            </w:pPr>
          </w:p>
        </w:tc>
        <w:tc>
          <w:tcPr>
            <w:tcW w:w="4260" w:type="dxa"/>
            <w:vAlign w:val="bottom"/>
            <w:gridSpan w:val="34"/>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648"/>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67" w:name="page68"/>
    <w:bookmarkEnd w:id="67"/>
    <w:tbl>
      <w:tblPr>
        <w:tblLayout w:type="fixed"/>
        <w:tblInd w:w="16" w:type="dxa"/>
        <w:tblCellMar>
          <w:top w:w="0" w:type="dxa"/>
          <w:left w:w="0" w:type="dxa"/>
          <w:bottom w:w="0" w:type="dxa"/>
          <w:right w:w="0" w:type="dxa"/>
        </w:tblCellMar>
      </w:tblPr>
      <w:tr>
        <w:trPr>
          <w:trHeight w:val="159"/>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2"/>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4300" w:type="dxa"/>
            <w:vAlign w:val="bottom"/>
            <w:gridSpan w:val="2"/>
          </w:tcPr>
          <w:p>
            <w:pPr>
              <w:ind w:left="160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Form</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File No.</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1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Filed Herewith</w:t>
            </w:r>
          </w:p>
        </w:tc>
      </w:tr>
      <w:tr>
        <w:trPr>
          <w:trHeight w:val="140"/>
        </w:trPr>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101.CAL</w:t>
            </w:r>
          </w:p>
        </w:tc>
        <w:tc>
          <w:tcPr>
            <w:tcW w:w="100" w:type="dxa"/>
            <w:vAlign w:val="bottom"/>
          </w:tcPr>
          <w:p>
            <w:pPr>
              <w:spacing w:after="0"/>
              <w:rPr>
                <w:sz w:val="12"/>
                <w:szCs w:val="12"/>
                <w:color w:val="auto"/>
              </w:rPr>
            </w:pPr>
          </w:p>
        </w:tc>
        <w:tc>
          <w:tcPr>
            <w:tcW w:w="4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5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101.DEF</w:t>
            </w:r>
          </w:p>
        </w:tc>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5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101.LAB</w:t>
            </w:r>
          </w:p>
        </w:tc>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5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101.PRE</w:t>
            </w:r>
          </w:p>
        </w:tc>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19"/>
        </w:trPr>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104</w:t>
            </w:r>
          </w:p>
        </w:tc>
        <w:tc>
          <w:tcPr>
            <w:tcW w:w="100" w:type="dxa"/>
            <w:vAlign w:val="bottom"/>
          </w:tcPr>
          <w:p>
            <w:pPr>
              <w:spacing w:after="0"/>
              <w:rPr>
                <w:sz w:val="10"/>
                <w:szCs w:val="10"/>
                <w:color w:val="auto"/>
              </w:rPr>
            </w:pPr>
          </w:p>
        </w:tc>
        <w:tc>
          <w:tcPr>
            <w:tcW w:w="43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1"/>
              </w:rPr>
              <w:t>X</w:t>
            </w: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86" w:lineRule="exact"/>
        <w:rPr>
          <w:sz w:val="20"/>
          <w:szCs w:val="20"/>
          <w:color w:val="auto"/>
        </w:rPr>
      </w:pPr>
    </w:p>
    <w:p>
      <w:pPr>
        <w:ind w:left="1096" w:hanging="1096"/>
        <w:spacing w:after="0"/>
        <w:tabs>
          <w:tab w:leader="none" w:pos="1096"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 management contract or compensatory plan or arrangement</w:t>
      </w:r>
    </w:p>
    <w:p>
      <w:pPr>
        <w:spacing w:after="0" w:line="17" w:lineRule="exact"/>
        <w:rPr>
          <w:sz w:val="20"/>
          <w:szCs w:val="20"/>
          <w:color w:val="auto"/>
        </w:rPr>
      </w:pPr>
    </w:p>
    <w:p>
      <w:pPr>
        <w:ind w:left="1096" w:right="60" w:hanging="1096"/>
        <w:spacing w:after="0" w:line="224" w:lineRule="auto"/>
        <w:tabs>
          <w:tab w:leader="none" w:pos="109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attached as Exhibit 32.1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708025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56"/>
          </w:cols>
          <w:pgMar w:left="304" w:top="881" w:right="3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480" w:type="dxa"/>
            <w:vAlign w:val="bottom"/>
            <w:gridSpan w:val="3"/>
          </w:tcPr>
          <w:p>
            <w:pPr>
              <w:ind w:left="1280"/>
              <w:spacing w:after="0"/>
              <w:rPr>
                <w:sz w:val="20"/>
                <w:szCs w:val="20"/>
                <w:color w:val="auto"/>
              </w:rPr>
            </w:pPr>
            <w:r>
              <w:rPr>
                <w:rFonts w:ascii="Times New Roman" w:cs="Times New Roman" w:eastAsia="Times New Roman" w:hAnsi="Times New Roman"/>
                <w:sz w:val="12"/>
                <w:szCs w:val="12"/>
                <w:b w:val="1"/>
                <w:bCs w:val="1"/>
                <w:color w:val="auto"/>
              </w:rPr>
              <w:t>AppFolio, Inc.</w:t>
            </w:r>
          </w:p>
        </w:tc>
      </w:tr>
      <w:tr>
        <w:trPr>
          <w:trHeight w:val="396"/>
        </w:trPr>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Date:</w:t>
            </w:r>
          </w:p>
        </w:tc>
        <w:tc>
          <w:tcPr>
            <w:tcW w:w="2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February 6, 2025</w:t>
            </w:r>
          </w:p>
        </w:tc>
        <w:tc>
          <w:tcPr>
            <w:tcW w:w="8480" w:type="dxa"/>
            <w:vAlign w:val="bottom"/>
            <w:gridSpan w:val="3"/>
          </w:tcPr>
          <w:p>
            <w:pPr>
              <w:ind w:left="1640"/>
              <w:spacing w:after="0"/>
              <w:rPr>
                <w:sz w:val="20"/>
                <w:szCs w:val="20"/>
                <w:color w:val="auto"/>
              </w:rPr>
            </w:pPr>
            <w:r>
              <w:rPr>
                <w:rFonts w:ascii="Times New Roman" w:cs="Times New Roman" w:eastAsia="Times New Roman" w:hAnsi="Times New Roman"/>
                <w:sz w:val="12"/>
                <w:szCs w:val="12"/>
                <w:color w:val="auto"/>
              </w:rPr>
              <w:t>By: /s/ Shane Trigg</w:t>
            </w:r>
          </w:p>
        </w:tc>
      </w:tr>
      <w:tr>
        <w:trPr>
          <w:trHeight w:val="140"/>
        </w:trPr>
        <w:tc>
          <w:tcPr>
            <w:tcW w:w="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Shane Trigg</w:t>
            </w:r>
          </w:p>
        </w:tc>
        <w:tc>
          <w:tcPr>
            <w:tcW w:w="2540" w:type="dxa"/>
            <w:vAlign w:val="bottom"/>
          </w:tcPr>
          <w:p>
            <w:pPr>
              <w:spacing w:after="0"/>
              <w:rPr>
                <w:sz w:val="12"/>
                <w:szCs w:val="12"/>
                <w:color w:val="auto"/>
              </w:rPr>
            </w:pPr>
          </w:p>
        </w:tc>
      </w:tr>
      <w:tr>
        <w:trPr>
          <w:trHeight w:val="153"/>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324"/>
        </w:trPr>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Date:</w:t>
            </w:r>
          </w:p>
        </w:tc>
        <w:tc>
          <w:tcPr>
            <w:tcW w:w="2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February 6, 2025</w:t>
            </w:r>
          </w:p>
        </w:tc>
        <w:tc>
          <w:tcPr>
            <w:tcW w:w="8480" w:type="dxa"/>
            <w:vAlign w:val="bottom"/>
            <w:gridSpan w:val="3"/>
          </w:tcPr>
          <w:p>
            <w:pPr>
              <w:ind w:left="1640"/>
              <w:spacing w:after="0"/>
              <w:rPr>
                <w:sz w:val="20"/>
                <w:szCs w:val="20"/>
                <w:color w:val="auto"/>
              </w:rPr>
            </w:pPr>
            <w:r>
              <w:rPr>
                <w:rFonts w:ascii="Times New Roman" w:cs="Times New Roman" w:eastAsia="Times New Roman" w:hAnsi="Times New Roman"/>
                <w:sz w:val="12"/>
                <w:szCs w:val="12"/>
                <w:color w:val="auto"/>
              </w:rPr>
              <w:t>By: /s/ Tim Eaton</w:t>
            </w:r>
          </w:p>
        </w:tc>
      </w:tr>
      <w:tr>
        <w:trPr>
          <w:trHeight w:val="140"/>
        </w:trPr>
        <w:tc>
          <w:tcPr>
            <w:tcW w:w="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Tim Eaton</w:t>
            </w:r>
          </w:p>
        </w:tc>
        <w:tc>
          <w:tcPr>
            <w:tcW w:w="2540" w:type="dxa"/>
            <w:vAlign w:val="bottom"/>
          </w:tcPr>
          <w:p>
            <w:pPr>
              <w:spacing w:after="0"/>
              <w:rPr>
                <w:sz w:val="12"/>
                <w:szCs w:val="12"/>
                <w:color w:val="auto"/>
              </w:rPr>
            </w:pPr>
          </w:p>
        </w:tc>
      </w:tr>
      <w:tr>
        <w:trPr>
          <w:trHeight w:val="153"/>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Interim Chief Financial Officer</w:t>
            </w:r>
          </w:p>
        </w:tc>
      </w:tr>
      <w:tr>
        <w:trPr>
          <w:trHeight w:val="155"/>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(Principal Financial and Accounting Officer)</w:t>
            </w:r>
          </w:p>
        </w:tc>
      </w:tr>
      <w:tr>
        <w:trPr>
          <w:trHeight w:val="1449"/>
        </w:trPr>
        <w:tc>
          <w:tcPr>
            <w:tcW w:w="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constitutes and appoints Shane Trigg, Tim Eaton, and Matthew Mazza, his or her lawful attorneys-in-fact and agents, for such person in any and all capacities, to sign any and all amendments to this report and to file the same, with all exhibits thereto and other documents in connection therewith, with the Securities and Exchange Commission, hereby ratifying and confirming all that each of said attorneys-in-fact and agents, or substitute or substitutes, may do or cause to be done by virtue hereof.</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00"/>
          </w:cols>
          <w:pgMar w:left="300" w:top="101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22885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26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Shane Trigg</w:t>
      </w:r>
    </w:p>
    <w:p>
      <w:pPr>
        <w:spacing w:after="0" w:line="30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Tim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1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Tim Eaton</w:t>
      </w:r>
    </w:p>
    <w:p>
      <w:pPr>
        <w:spacing w:after="0" w:line="16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1"/>
          <w:szCs w:val="11"/>
          <w:color w:val="auto"/>
        </w:rPr>
        <w:t>/s/ Andreas von Blottnitz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222885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3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Andreas von Blottnitz</w:t>
      </w:r>
    </w:p>
    <w:p>
      <w:pPr>
        <w:spacing w:after="0" w:line="17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Timothy 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22288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2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Timothy Bliss</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1"/>
          <w:szCs w:val="11"/>
          <w:color w:val="auto"/>
        </w:rPr>
        <w:t>/s/ Agnes Bundy Scanlan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22885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1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Agnes Bundy Scanlan</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Janet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Janet Kerr</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Olivia Nottebohm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222885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2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Olivia Nottebohm</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Winifred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Winifred Webb</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Alexander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Alexander Wolf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8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DATE</w:t>
            </w:r>
          </w:p>
        </w:tc>
      </w:tr>
      <w:tr>
        <w:trPr>
          <w:trHeight w:val="241"/>
        </w:trPr>
        <w:tc>
          <w:tcPr>
            <w:tcW w:w="5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c>
          <w:tcPr>
            <w:tcW w:w="2240" w:type="dxa"/>
            <w:vAlign w:val="bottom"/>
          </w:tcPr>
          <w:p>
            <w:pPr>
              <w:spacing w:after="0"/>
              <w:rPr>
                <w:sz w:val="20"/>
                <w:szCs w:val="20"/>
                <w:color w:val="auto"/>
              </w:rPr>
            </w:pPr>
          </w:p>
        </w:tc>
      </w:tr>
      <w:tr>
        <w:trPr>
          <w:trHeight w:val="162"/>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41"/>
        </w:trPr>
        <w:tc>
          <w:tcPr>
            <w:tcW w:w="5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Interim Chief Financial Officer</w:t>
            </w:r>
          </w:p>
        </w:tc>
        <w:tc>
          <w:tcPr>
            <w:tcW w:w="2240" w:type="dxa"/>
            <w:vAlign w:val="bottom"/>
          </w:tcPr>
          <w:p>
            <w:pPr>
              <w:spacing w:after="0"/>
              <w:rPr>
                <w:sz w:val="24"/>
                <w:szCs w:val="24"/>
                <w:color w:val="auto"/>
              </w:rPr>
            </w:pPr>
          </w:p>
        </w:tc>
      </w:tr>
      <w:tr>
        <w:trPr>
          <w:trHeight w:val="162"/>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(Principal Financial and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95"/>
        </w:trPr>
        <w:tc>
          <w:tcPr>
            <w:tcW w:w="5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95"/>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59"/>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59"/>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77"/>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59"/>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r>
        <w:trPr>
          <w:trHeight w:val="459"/>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6, 2025</w:t>
            </w:r>
          </w:p>
        </w:tc>
      </w:tr>
    </w:tbl>
    <w:p>
      <w:pPr>
        <w:sectPr>
          <w:pgSz w:w="11900" w:h="16838" w:orient="portrait"/>
          <w:cols w:equalWidth="0" w:num="2">
            <w:col w:w="3000" w:space="720"/>
            <w:col w:w="7580"/>
          </w:cols>
          <w:pgMar w:left="300" w:top="1016" w:right="299" w:bottom="1440" w:gutter="0" w:footer="0" w:header="0"/>
          <w:type w:val="continuous"/>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INDEMNIFICATION AGREEMENT</w:t>
      </w:r>
    </w:p>
    <w:p>
      <w:pPr>
        <w:spacing w:after="0" w:line="112" w:lineRule="exact"/>
        <w:rPr>
          <w:sz w:val="20"/>
          <w:szCs w:val="20"/>
          <w:color w:val="auto"/>
        </w:rPr>
      </w:pPr>
    </w:p>
    <w:p>
      <w:pPr>
        <w:ind w:left="420"/>
        <w:spacing w:after="0"/>
        <w:tabs>
          <w:tab w:leader="none" w:pos="800" w:val="left"/>
          <w:tab w:leader="none" w:pos="1820" w:val="left"/>
          <w:tab w:leader="none" w:pos="2580" w:val="left"/>
          <w:tab w:leader="none" w:pos="2960" w:val="left"/>
          <w:tab w:leader="none" w:pos="3960" w:val="left"/>
          <w:tab w:leader="none" w:pos="4400" w:val="left"/>
          <w:tab w:leader="none" w:pos="5120" w:val="left"/>
          <w:tab w:leader="none" w:pos="5580" w:val="left"/>
          <w:tab w:leader="none" w:pos="5820" w:val="left"/>
          <w:tab w:leader="none" w:pos="6100" w:val="left"/>
          <w:tab w:leader="none" w:pos="6440" w:val="left"/>
          <w:tab w:leader="none" w:pos="7040" w:val="left"/>
          <w:tab w:leader="none" w:pos="7760" w:val="left"/>
          <w:tab w:leader="none" w:pos="8140" w:val="left"/>
          <w:tab w:leader="none" w:pos="8340" w:val="left"/>
          <w:tab w:leader="none" w:pos="9020" w:val="left"/>
          <w:tab w:leader="none" w:pos="9800" w:val="left"/>
          <w:tab w:leader="none" w:pos="10160" w:val="left"/>
          <w:tab w:leader="none" w:pos="11080" w:val="left"/>
        </w:tabs>
        <w:rPr>
          <w:sz w:val="20"/>
          <w:szCs w:val="20"/>
          <w:color w:val="auto"/>
        </w:rPr>
      </w:pPr>
      <w:r>
        <w:rPr>
          <w:rFonts w:ascii="Times New Roman" w:cs="Times New Roman" w:eastAsia="Times New Roman" w:hAnsi="Times New Roman"/>
          <w:sz w:val="14"/>
          <w:szCs w:val="14"/>
          <w:color w:val="auto"/>
        </w:rPr>
        <w:t>This</w:t>
        <w:tab/>
        <w:t>Indemnification</w:t>
        <w:tab/>
        <w:t>Agreement</w:t>
        <w:tab/>
        <w:t>(this</w:t>
        <w:tab/>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w:t>
        <w:tab/>
        <w:t>dated</w:t>
        <w:tab/>
        <w:t>________,</w:t>
        <w:tab/>
        <w:t>2022,</w:t>
        <w:tab/>
        <w:t>is</w:t>
        <w:tab/>
        <w:t>by</w:t>
        <w:tab/>
        <w:t>and</w:t>
        <w:tab/>
        <w:t>between</w:t>
        <w:tab/>
        <w:t>AppFolio,</w:t>
        <w:tab/>
        <w:t>Inc.,</w:t>
        <w:tab/>
        <w:t>a</w:t>
        <w:tab/>
        <w:t>Delaware</w:t>
        <w:tab/>
        <w:t>corporation</w:t>
        <w:tab/>
        <w:t>(the</w:t>
        <w:tab/>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and</w:t>
      </w:r>
    </w:p>
    <w:p>
      <w:pPr>
        <w:spacing w:after="0" w:line="214" w:lineRule="auto"/>
        <w:rPr>
          <w:sz w:val="20"/>
          <w:szCs w:val="20"/>
          <w:color w:val="auto"/>
        </w:rPr>
      </w:pPr>
      <w:r>
        <w:rPr>
          <w:rFonts w:ascii="Times New Roman" w:cs="Times New Roman" w:eastAsia="Times New Roman" w:hAnsi="Times New Roman"/>
          <w:sz w:val="14"/>
          <w:szCs w:val="14"/>
          <w:color w:val="auto"/>
        </w:rPr>
        <w:t>_________________________________ (“</w:t>
      </w:r>
      <w:r>
        <w:rPr>
          <w:rFonts w:ascii="Times New Roman" w:cs="Times New Roman" w:eastAsia="Times New Roman" w:hAnsi="Times New Roman"/>
          <w:sz w:val="14"/>
          <w:szCs w:val="14"/>
          <w:b w:val="1"/>
          <w:bCs w:val="1"/>
          <w:color w:val="auto"/>
        </w:rPr>
        <w:t>Indemnitee</w:t>
      </w:r>
      <w:r>
        <w:rPr>
          <w:rFonts w:ascii="Times New Roman" w:cs="Times New Roman" w:eastAsia="Times New Roman" w:hAnsi="Times New Roman"/>
          <w:sz w:val="14"/>
          <w:szCs w:val="14"/>
          <w:color w:val="auto"/>
        </w:rPr>
        <w:t>”). This Agreement supersedes and replaces any and all previous Agreements between the Company and Indemnitee covering the subject</w:t>
      </w:r>
    </w:p>
    <w:p>
      <w:pPr>
        <w:spacing w:after="0"/>
        <w:rPr>
          <w:sz w:val="20"/>
          <w:szCs w:val="20"/>
          <w:color w:val="auto"/>
        </w:rPr>
      </w:pPr>
      <w:r>
        <w:rPr>
          <w:rFonts w:ascii="Times New Roman" w:cs="Times New Roman" w:eastAsia="Times New Roman" w:hAnsi="Times New Roman"/>
          <w:sz w:val="14"/>
          <w:szCs w:val="14"/>
          <w:color w:val="auto"/>
        </w:rPr>
        <w:t>matter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20" w:lineRule="exact"/>
        <w:rPr>
          <w:sz w:val="20"/>
          <w:szCs w:val="20"/>
          <w:color w:val="auto"/>
        </w:rPr>
      </w:pPr>
    </w:p>
    <w:p>
      <w:pPr>
        <w:ind w:left="400" w:hanging="278"/>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is a director or an officer of the Company.</w:t>
      </w:r>
    </w:p>
    <w:p>
      <w:pPr>
        <w:spacing w:after="0" w:line="116" w:lineRule="exact"/>
        <w:rPr>
          <w:rFonts w:ascii="Times New Roman" w:cs="Times New Roman" w:eastAsia="Times New Roman" w:hAnsi="Times New Roman"/>
          <w:sz w:val="14"/>
          <w:szCs w:val="14"/>
          <w:color w:val="auto"/>
        </w:rPr>
      </w:pPr>
    </w:p>
    <w:p>
      <w:pPr>
        <w:ind w:firstLine="139"/>
        <w:spacing w:after="0" w:line="247" w:lineRule="auto"/>
        <w:tabs>
          <w:tab w:leader="none" w:pos="41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has determined that enhancing the ability of the Company to retain and attract as directors and officers the most capable persons is in the best interests of the Company and that the Company therefore should seek to assure such persons that indemnification is available.</w:t>
      </w:r>
    </w:p>
    <w:p>
      <w:pPr>
        <w:spacing w:after="0" w:line="93" w:lineRule="exact"/>
        <w:rPr>
          <w:rFonts w:ascii="Times New Roman" w:cs="Times New Roman" w:eastAsia="Times New Roman" w:hAnsi="Times New Roman"/>
          <w:sz w:val="14"/>
          <w:szCs w:val="14"/>
          <w:color w:val="auto"/>
        </w:rPr>
      </w:pPr>
    </w:p>
    <w:p>
      <w:pPr>
        <w:jc w:val="both"/>
        <w:ind w:firstLine="163"/>
        <w:spacing w:after="0" w:line="217" w:lineRule="auto"/>
        <w:tabs>
          <w:tab w:leader="none" w:pos="469"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recognition of the need to provide Indemnitee with substantial protection against personal liability, in order to procure Indemnitee’s service or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 w:cs="Times New Roman" w:eastAsia="Times New Roman" w:hAnsi="Times New Roman"/>
          <w:sz w:val="14"/>
          <w:szCs w:val="14"/>
          <w:b w:val="1"/>
          <w:bCs w:val="1"/>
          <w:color w:val="auto"/>
        </w:rPr>
        <w:t>Constituent Documents</w:t>
      </w:r>
      <w:r>
        <w:rPr>
          <w:rFonts w:ascii="Times New Roman" w:cs="Times New Roman" w:eastAsia="Times New Roman" w:hAnsi="Times New Roman"/>
          <w:sz w:val="14"/>
          <w:szCs w:val="14"/>
          <w:color w:val="auto"/>
        </w:rPr>
        <w:t>”), any change in the composition of the Board or any change in control or business combination transaction relating to the Company), the Company wishes to provide in this Agreement for the indemnification of, and the advancement of Expenses (as defined in Section 2 below) to, Indemnitee as set forth in this Agreement and, to the extent insurance is maintained, for the continued coverage of Indemnitee under the Company’s directors’ and officers’ liability insurance policies.</w:t>
      </w:r>
    </w:p>
    <w:p>
      <w:pPr>
        <w:spacing w:after="0" w:line="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NOW, THEREFORE, in consideration of the foregoing and the Indemnitee’s agreement to serve or continue to provide services to the Company, the parties hereby agree as follows:</w:t>
      </w:r>
    </w:p>
    <w:p>
      <w:pPr>
        <w:spacing w:after="0" w:line="118" w:lineRule="exact"/>
        <w:rPr>
          <w:sz w:val="20"/>
          <w:szCs w:val="20"/>
          <w:color w:val="auto"/>
        </w:rPr>
      </w:pPr>
    </w:p>
    <w:p>
      <w:pPr>
        <w:jc w:val="both"/>
        <w:ind w:firstLine="424"/>
        <w:spacing w:after="0" w:line="214" w:lineRule="auto"/>
        <w:tabs>
          <w:tab w:leader="none" w:pos="82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Services to the Company</w:t>
      </w:r>
      <w:r>
        <w:rPr>
          <w:rFonts w:ascii="Times New Roman" w:cs="Times New Roman" w:eastAsia="Times New Roman" w:hAnsi="Times New Roman"/>
          <w:sz w:val="14"/>
          <w:szCs w:val="14"/>
          <w:color w:val="auto"/>
        </w:rPr>
        <w:t>. Indemnitee agrees to serve or continue to serve as a director or officer of the Company for so long as Indemnitee is duly elected or appointed, until Indemnitee tenders Indemnitee’s resignation or until Indemnitee is terminated by the Company, as applicable. This Agreement shall not be deemed an employment agreement between the Company (or any of its subsidiaries or another Enterprise) and Indemnitee. Indemnitee specifically acknowledges that Indemnitee’s service to the Company or any of its subsidiaries or another Enterprise (as defined in Section 2 below) is at will and the Indemnitee may be discharged at any time for any reason, with or without cause, except as may be otherwise provided in any written employment agreement between Indemnitee and the Company (or any of its subsidiaries or another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defined in Section 2 below).</w:t>
      </w:r>
    </w:p>
    <w:p>
      <w:pPr>
        <w:spacing w:after="0" w:line="111" w:lineRule="exact"/>
        <w:rPr>
          <w:rFonts w:ascii="Times New Roman" w:cs="Times New Roman" w:eastAsia="Times New Roman" w:hAnsi="Times New Roman"/>
          <w:sz w:val="14"/>
          <w:szCs w:val="14"/>
          <w:color w:val="auto"/>
        </w:rPr>
      </w:pPr>
    </w:p>
    <w:p>
      <w:pPr>
        <w:ind w:left="820" w:hanging="396"/>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 Agreement, the following terms shall have the following meanings:</w:t>
      </w:r>
    </w:p>
    <w:p>
      <w:pPr>
        <w:spacing w:after="0" w:line="116"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shall have the meaning ascribed to it in the prefatory language above.</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14"/>
          <w:szCs w:val="14"/>
          <w:color w:val="auto"/>
        </w:rPr>
        <w:t>” has the meaning given to the term “beneficial owner” in Rule 13d-3 under the Exchange Act.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980" w:right="299" w:bottom="1440" w:gutter="0" w:footer="0" w:header="0"/>
        </w:sectPr>
      </w:pPr>
    </w:p>
    <w:bookmarkStart w:id="96" w:name="page97"/>
    <w:bookmarkEnd w:id="96"/>
    <w:p>
      <w:pPr>
        <w:ind w:left="1240" w:hanging="384"/>
        <w:spacing w:after="0"/>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shall have the meaning ascribed to it in the Recitals above.</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Combination</w:t>
      </w:r>
      <w:r>
        <w:rPr>
          <w:rFonts w:ascii="Times New Roman" w:cs="Times New Roman" w:eastAsia="Times New Roman" w:hAnsi="Times New Roman"/>
          <w:sz w:val="14"/>
          <w:szCs w:val="14"/>
          <w:color w:val="auto"/>
        </w:rPr>
        <w:t>” means a reorganization, a merger or a consolidation.</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4"/>
          <w:szCs w:val="14"/>
          <w:color w:val="auto"/>
        </w:rPr>
        <w:t>” means the occurrence after the date of this Agreement of any of the following events:</w:t>
      </w:r>
    </w:p>
    <w:p>
      <w:pPr>
        <w:spacing w:after="0" w:line="123" w:lineRule="exact"/>
        <w:rPr>
          <w:rFonts w:ascii="Times New Roman" w:cs="Times New Roman" w:eastAsia="Times New Roman" w:hAnsi="Times New Roman"/>
          <w:sz w:val="14"/>
          <w:szCs w:val="14"/>
          <w:color w:val="auto"/>
        </w:rPr>
      </w:pPr>
    </w:p>
    <w:p>
      <w:pPr>
        <w:jc w:val="both"/>
        <w:ind w:firstLine="1288"/>
        <w:spacing w:after="0" w:line="231" w:lineRule="auto"/>
        <w:tabs>
          <w:tab w:leader="none" w:pos="1684"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 of Stock by Third Party</w:t>
      </w:r>
      <w:r>
        <w:rPr>
          <w:rFonts w:ascii="Times New Roman" w:cs="Times New Roman" w:eastAsia="Times New Roman" w:hAnsi="Times New Roman"/>
          <w:sz w:val="14"/>
          <w:szCs w:val="14"/>
          <w:color w:val="auto"/>
        </w:rPr>
        <w:t>. Any Person (as defined below) becomes hereafter the Beneficial Owner, directly or indirectly, of securities of the Company representing thirty percent (30%) or more of the Company’s Voting Securities, unless the change in the relative Beneficial Ownership of the Company’s securities by any Person results solely from a reduction in the aggregate number of outstanding Voting Securities;</w:t>
      </w:r>
    </w:p>
    <w:p>
      <w:pPr>
        <w:spacing w:after="0" w:line="102" w:lineRule="exact"/>
        <w:rPr>
          <w:rFonts w:ascii="Times New Roman" w:cs="Times New Roman" w:eastAsia="Times New Roman" w:hAnsi="Times New Roman"/>
          <w:sz w:val="14"/>
          <w:szCs w:val="14"/>
          <w:color w:val="auto"/>
        </w:rPr>
      </w:pPr>
    </w:p>
    <w:p>
      <w:pPr>
        <w:jc w:val="both"/>
        <w:ind w:firstLine="1288"/>
        <w:spacing w:after="0" w:line="225" w:lineRule="auto"/>
        <w:tabs>
          <w:tab w:leader="none" w:pos="168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Transactions</w:t>
      </w:r>
      <w:r>
        <w:rPr>
          <w:rFonts w:ascii="Times New Roman" w:cs="Times New Roman" w:eastAsia="Times New Roman" w:hAnsi="Times New Roman"/>
          <w:sz w:val="14"/>
          <w:szCs w:val="14"/>
          <w:color w:val="auto"/>
        </w:rPr>
        <w:t>. The consummation of a Business Combination, unless immediately following such Business Combination, (1) the Beneficial Owners of the Voting Securities of the Company immediately prior to such transaction beneficially own, directly or indirectly, more than fifty percent (50%) of the combined voting power of the outstanding Voting Securities of the entity resulting from such transaction, (2) no Person (excluding any corporation resulting from such Business Combination) is the Beneficial Owner, directly or indirectly, of twenty percent (20%)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(as defined below), at the time of the execution of the initial agreement or of the action of the Board, providing for such Business Combination;</w:t>
      </w:r>
    </w:p>
    <w:p>
      <w:pPr>
        <w:spacing w:after="0" w:line="10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Board of Directors</w:t>
      </w:r>
      <w:r>
        <w:rPr>
          <w:rFonts w:ascii="Times New Roman" w:cs="Times New Roman" w:eastAsia="Times New Roman" w:hAnsi="Times New Roman"/>
          <w:sz w:val="14"/>
          <w:szCs w:val="14"/>
          <w:color w:val="auto"/>
        </w:rPr>
        <w:t>. The Continuing Directors cease for any reason to constitute at least a majority of the members of the Board; or</w:t>
      </w:r>
    </w:p>
    <w:p>
      <w:pPr>
        <w:spacing w:after="0" w:line="125" w:lineRule="exact"/>
        <w:rPr>
          <w:rFonts w:ascii="Times New Roman" w:cs="Times New Roman" w:eastAsia="Times New Roman" w:hAnsi="Times New Roman"/>
          <w:sz w:val="14"/>
          <w:szCs w:val="14"/>
          <w:color w:val="auto"/>
        </w:rPr>
      </w:pPr>
    </w:p>
    <w:p>
      <w:pPr>
        <w:jc w:val="both"/>
        <w:ind w:firstLine="1288"/>
        <w:spacing w:after="0" w:line="229" w:lineRule="auto"/>
        <w:tabs>
          <w:tab w:leader="none" w:pos="1684"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Liquidation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stockholders of the Company approve a plan of complete liquidation or dissolution of the Company or 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w:t>
      </w:r>
    </w:p>
    <w:p>
      <w:pPr>
        <w:spacing w:after="0" w:line="97" w:lineRule="exact"/>
        <w:rPr>
          <w:rFonts w:ascii="Times New Roman" w:cs="Times New Roman" w:eastAsia="Times New Roman" w:hAnsi="Times New Roman"/>
          <w:sz w:val="14"/>
          <w:szCs w:val="14"/>
          <w:color w:val="auto"/>
        </w:rPr>
      </w:pPr>
    </w:p>
    <w:p>
      <w:pPr>
        <w:ind w:left="1260" w:hanging="404"/>
        <w:spacing w:after="0"/>
        <w:tabs>
          <w:tab w:leader="none" w:pos="1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 means: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threatened, pending or completed action, suit, claim, counterclaim, crossclaim, demand, proceeding, arbitration, mediation, alternative dispute resolution mechanism, investigation, inquiry,</w:t>
      </w:r>
    </w:p>
    <w:p>
      <w:pPr>
        <w:jc w:val="both"/>
        <w:spacing w:after="0" w:line="216" w:lineRule="auto"/>
        <w:rPr>
          <w:sz w:val="20"/>
          <w:szCs w:val="20"/>
          <w:color w:val="auto"/>
        </w:rPr>
      </w:pPr>
      <w:r>
        <w:rPr>
          <w:rFonts w:ascii="Times New Roman" w:cs="Times New Roman" w:eastAsia="Times New Roman" w:hAnsi="Times New Roman"/>
          <w:sz w:val="14"/>
          <w:szCs w:val="14"/>
          <w:color w:val="auto"/>
        </w:rPr>
        <w:t>administrative hearing or any other actual, threatened or completed proceeding, whether brought in the right of the Corporation or otherwise and whether civil, criminal, administrative, arbitrative, investigative (formal or informal), legislative, regulatory or other, including any appeal therefrom, and whether made pursuant to federal, state or other law. Any situation that the Indemnitee determines in good faith might lead to the institution of a Claim shall be considered a Claim under this Agreement.</w:t>
      </w:r>
    </w:p>
    <w:p>
      <w:pPr>
        <w:spacing w:after="0" w:line="105" w:lineRule="exact"/>
        <w:rPr>
          <w:sz w:val="20"/>
          <w:szCs w:val="20"/>
          <w:color w:val="auto"/>
        </w:rPr>
      </w:pPr>
    </w:p>
    <w:p>
      <w:pPr>
        <w:ind w:left="1240" w:hanging="384"/>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shall have the meaning ascribed to it in the prefatory language above.</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Constituent Documents</w:t>
      </w:r>
      <w:r>
        <w:rPr>
          <w:rFonts w:ascii="Times New Roman" w:cs="Times New Roman" w:eastAsia="Times New Roman" w:hAnsi="Times New Roman"/>
          <w:sz w:val="14"/>
          <w:szCs w:val="14"/>
          <w:color w:val="auto"/>
        </w:rPr>
        <w:t>” shall have the meaning ascribed to it in the Recitals above.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980" w:right="299" w:bottom="1440" w:gutter="0" w:footer="0" w:header="0"/>
        </w:sectPr>
      </w:pPr>
    </w:p>
    <w:bookmarkStart w:id="97" w:name="page98"/>
    <w:bookmarkEnd w:id="97"/>
    <w:p>
      <w:pPr>
        <w:jc w:val="both"/>
        <w:ind w:firstLine="856"/>
        <w:spacing w:after="0" w:line="229" w:lineRule="auto"/>
        <w:tabs>
          <w:tab w:leader="none" w:pos="12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Continuing Directors</w:t>
      </w:r>
      <w:r>
        <w:rPr>
          <w:rFonts w:ascii="Times New Roman" w:cs="Times New Roman" w:eastAsia="Times New Roman" w:hAnsi="Times New Roman"/>
          <w:sz w:val="14"/>
          <w:szCs w:val="14"/>
          <w:color w:val="auto"/>
        </w:rPr>
        <w:t>” means, during a period of two consecutive years, not including any period prior to the execution of this Agreement, the individuals collectively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w:t>
      </w:r>
    </w:p>
    <w:p>
      <w:pPr>
        <w:spacing w:after="0" w:line="106"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Delaware Court</w:t>
      </w:r>
      <w:r>
        <w:rPr>
          <w:rFonts w:ascii="Times New Roman" w:cs="Times New Roman" w:eastAsia="Times New Roman" w:hAnsi="Times New Roman"/>
          <w:sz w:val="14"/>
          <w:szCs w:val="14"/>
          <w:color w:val="auto"/>
        </w:rPr>
        <w:t>” means the Court of Chancery of the State of Delaware.</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Disinterested Director</w:t>
      </w:r>
      <w:r>
        <w:rPr>
          <w:rFonts w:ascii="Times New Roman" w:cs="Times New Roman" w:eastAsia="Times New Roman" w:hAnsi="Times New Roman"/>
          <w:sz w:val="14"/>
          <w:szCs w:val="14"/>
          <w:color w:val="auto"/>
        </w:rPr>
        <w:t>” means a director of the Company who is not and was not a party to the Claim in respect of which indemnification is sought by Indemnitee.</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Enterprise</w:t>
      </w:r>
      <w:r>
        <w:rPr>
          <w:rFonts w:ascii="Times New Roman" w:cs="Times New Roman" w:eastAsia="Times New Roman" w:hAnsi="Times New Roman"/>
          <w:sz w:val="14"/>
          <w:szCs w:val="14"/>
          <w:color w:val="auto"/>
        </w:rPr>
        <w:t>” means, any corporation, limited liability company, partnership, joint venture, trust or other entity.</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Expense Advance</w:t>
      </w:r>
      <w:r>
        <w:rPr>
          <w:rFonts w:ascii="Times New Roman" w:cs="Times New Roman" w:eastAsia="Times New Roman" w:hAnsi="Times New Roman"/>
          <w:sz w:val="14"/>
          <w:szCs w:val="14"/>
          <w:color w:val="auto"/>
        </w:rPr>
        <w:t>” means any payment of Expenses advanced to Indemnitee by the Company pursuant to Section 4 or Section 5 hereof.</w:t>
      </w:r>
    </w:p>
    <w:p>
      <w:pPr>
        <w:spacing w:after="0" w:line="127" w:lineRule="exact"/>
        <w:rPr>
          <w:rFonts w:ascii="Times New Roman" w:cs="Times New Roman" w:eastAsia="Times New Roman" w:hAnsi="Times New Roman"/>
          <w:sz w:val="14"/>
          <w:szCs w:val="14"/>
          <w:color w:val="auto"/>
        </w:rPr>
      </w:pPr>
    </w:p>
    <w:p>
      <w:pPr>
        <w:jc w:val="both"/>
        <w:ind w:firstLine="856"/>
        <w:spacing w:after="0" w:line="218" w:lineRule="auto"/>
        <w:tabs>
          <w:tab w:leader="none" w:pos="1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Expenses</w:t>
      </w:r>
      <w:r>
        <w:rPr>
          <w:rFonts w:ascii="Times New Roman" w:cs="Times New Roman" w:eastAsia="Times New Roman" w:hAnsi="Times New Roman"/>
          <w:sz w:val="14"/>
          <w:szCs w:val="14"/>
          <w:color w:val="auto"/>
        </w:rPr>
        <w:t xml:space="preserve">” means any and all reasonable attorneys’ fees and retainers, experts’ and other professionals’ fees, witness fees, court costs, transcript costs, travel expenses, duplicating, printing and binding costs, telephone charges, postage, delivery service fees and all other costs and expenses of the types customarily incurred in connection with, or as a result of, investigating, prosecuting, defending, being a witness or deponent in or otherwise participating in (including on appeal), or preparing to prosecute or defend, be a witness or deponent or otherwise participate in, any Claim. Expenses also shall include (i) Expenses incurred in connection with any appeal resulting from any Claim, including without limitation the premium, security for, and other costs relating to any cost bond, supersedes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w:t>
      </w:r>
      <w:r>
        <w:rPr>
          <w:rFonts w:ascii="Times New Roman" w:cs="Times New Roman" w:eastAsia="Times New Roman" w:hAnsi="Times New Roman"/>
          <w:sz w:val="13"/>
          <w:szCs w:val="13"/>
          <w:color w:val="auto"/>
        </w:rPr>
        <w:t>and (iii)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00" w:lineRule="exact"/>
        <w:rPr>
          <w:rFonts w:ascii="Times New Roman" w:cs="Times New Roman" w:eastAsia="Times New Roman" w:hAnsi="Times New Roman"/>
          <w:sz w:val="14"/>
          <w:szCs w:val="14"/>
          <w:color w:val="auto"/>
        </w:rPr>
      </w:pPr>
    </w:p>
    <w:p>
      <w:pPr>
        <w:jc w:val="both"/>
        <w:ind w:firstLine="856"/>
        <w:spacing w:after="0" w:line="225" w:lineRule="auto"/>
        <w:tabs>
          <w:tab w:leader="none" w:pos="126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Indemnifiable Event</w:t>
      </w:r>
      <w:r>
        <w:rPr>
          <w:rFonts w:ascii="Times New Roman" w:cs="Times New Roman" w:eastAsia="Times New Roman" w:hAnsi="Times New Roman"/>
          <w:sz w:val="14"/>
          <w:szCs w:val="14"/>
          <w:color w:val="auto"/>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another Enterprise or by reason of an action or inaction by Indemnitee in any such capacity (whether or not serving in such capacity at the time any Loss (as defined below) is incurred for which indemnification can be provided under this Agreement).</w:t>
      </w:r>
    </w:p>
    <w:p>
      <w:pPr>
        <w:spacing w:after="0" w:line="98"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Indemnitee</w:t>
      </w:r>
      <w:r>
        <w:rPr>
          <w:rFonts w:ascii="Times New Roman" w:cs="Times New Roman" w:eastAsia="Times New Roman" w:hAnsi="Times New Roman"/>
          <w:sz w:val="14"/>
          <w:szCs w:val="14"/>
          <w:color w:val="auto"/>
        </w:rPr>
        <w:t>” shall have the meaning ascribed to it in the prefatory language above.</w:t>
      </w:r>
    </w:p>
    <w:p>
      <w:pPr>
        <w:spacing w:after="0" w:line="127" w:lineRule="exact"/>
        <w:rPr>
          <w:rFonts w:ascii="Times New Roman" w:cs="Times New Roman" w:eastAsia="Times New Roman" w:hAnsi="Times New Roman"/>
          <w:sz w:val="14"/>
          <w:szCs w:val="14"/>
          <w:color w:val="auto"/>
        </w:rPr>
      </w:pPr>
    </w:p>
    <w:p>
      <w:pPr>
        <w:jc w:val="both"/>
        <w:ind w:firstLine="856"/>
        <w:spacing w:after="0" w:line="234" w:lineRule="auto"/>
        <w:tabs>
          <w:tab w:leader="none" w:pos="1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Independent Counsel</w:t>
      </w:r>
      <w:r>
        <w:rPr>
          <w:rFonts w:ascii="Times New Roman" w:cs="Times New Roman" w:eastAsia="Times New Roman" w:hAnsi="Times New Roman"/>
          <w:sz w:val="14"/>
          <w:szCs w:val="14"/>
          <w:color w:val="auto"/>
        </w:rPr>
        <w:t>” means a law firm, or a member of a law firm, that is experienced in matters of corporate law and neither presently performs, nor in the past five (5) years has performed, services for either: (i) the Company or Indemnitee (other than in connection with matters concerning other indemnitees under similar agreements) or (ii) any other party to the Claim giving rise to a claim for indemnification hereunder. Notwithstanding the foregoing, the term “Independent Counsel” shall not include any person who, under the applicable standards 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980"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color w:val="auto"/>
        </w:rPr>
        <w:t>professional conduct then prevailing, would have a conflict of interest in representing either the Company or Indemnitee in an action to determine Indemnitee’s rights under this Agreement.</w:t>
      </w:r>
    </w:p>
    <w:p>
      <w:pPr>
        <w:spacing w:after="0" w:line="116" w:lineRule="exact"/>
        <w:rPr>
          <w:sz w:val="20"/>
          <w:szCs w:val="20"/>
          <w:color w:val="auto"/>
        </w:rPr>
      </w:pPr>
    </w:p>
    <w:p>
      <w:pPr>
        <w:jc w:val="both"/>
        <w:ind w:firstLine="856"/>
        <w:spacing w:after="0" w:line="225" w:lineRule="auto"/>
        <w:tabs>
          <w:tab w:leader="none" w:pos="1268"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Losses</w:t>
      </w:r>
      <w:r>
        <w:rPr>
          <w:rFonts w:ascii="Times New Roman" w:cs="Times New Roman" w:eastAsia="Times New Roman" w:hAnsi="Times New Roman"/>
          <w:sz w:val="14"/>
          <w:szCs w:val="14"/>
          <w:color w:val="auto"/>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prosecuting, defending, being a witness or deponent in or otherwise participating in (including on appeal), or preparing to prosecute, defend, be a witness or deponent or otherwise participate in, any Claim.</w:t>
      </w:r>
    </w:p>
    <w:p>
      <w:pPr>
        <w:spacing w:after="0" w:line="98"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Notification Date</w:t>
      </w:r>
      <w:r>
        <w:rPr>
          <w:rFonts w:ascii="Times New Roman" w:cs="Times New Roman" w:eastAsia="Times New Roman" w:hAnsi="Times New Roman"/>
          <w:sz w:val="14"/>
          <w:szCs w:val="14"/>
          <w:color w:val="auto"/>
        </w:rPr>
        <w:t>” shall have the meaning ascribed to it in Section 10(c) below.</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Other Indemnity Provisions</w:t>
      </w:r>
      <w:r>
        <w:rPr>
          <w:rFonts w:ascii="Times New Roman" w:cs="Times New Roman" w:eastAsia="Times New Roman" w:hAnsi="Times New Roman"/>
          <w:sz w:val="14"/>
          <w:szCs w:val="14"/>
          <w:color w:val="auto"/>
        </w:rPr>
        <w:t>” shall have the meaning ascribed to it in Section 14 below.</w:t>
      </w:r>
    </w:p>
    <w:p>
      <w:pPr>
        <w:spacing w:after="0" w:line="127" w:lineRule="exact"/>
        <w:rPr>
          <w:rFonts w:ascii="Times New Roman" w:cs="Times New Roman" w:eastAsia="Times New Roman" w:hAnsi="Times New Roman"/>
          <w:sz w:val="14"/>
          <w:szCs w:val="14"/>
          <w:color w:val="auto"/>
        </w:rPr>
      </w:pPr>
    </w:p>
    <w:p>
      <w:pPr>
        <w:ind w:right="20" w:firstLine="856"/>
        <w:spacing w:after="0" w:line="247" w:lineRule="auto"/>
        <w:tabs>
          <w:tab w:leader="none" w:pos="1257"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100"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Standard of Conduct Determination</w:t>
      </w:r>
      <w:r>
        <w:rPr>
          <w:rFonts w:ascii="Times New Roman" w:cs="Times New Roman" w:eastAsia="Times New Roman" w:hAnsi="Times New Roman"/>
          <w:sz w:val="14"/>
          <w:szCs w:val="14"/>
          <w:color w:val="auto"/>
        </w:rPr>
        <w:t>” shall have the meaning ascribed to it in Section 10(b) below.</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Voting Securities</w:t>
      </w:r>
      <w:r>
        <w:rPr>
          <w:rFonts w:ascii="Times New Roman" w:cs="Times New Roman" w:eastAsia="Times New Roman" w:hAnsi="Times New Roman"/>
          <w:sz w:val="14"/>
          <w:szCs w:val="14"/>
          <w:color w:val="auto"/>
        </w:rPr>
        <w:t>” means any securities of the Company that vote generally in the election of directors.</w:t>
      </w:r>
    </w:p>
    <w:p>
      <w:pPr>
        <w:spacing w:after="0" w:line="123" w:lineRule="exact"/>
        <w:rPr>
          <w:rFonts w:ascii="Times New Roman" w:cs="Times New Roman" w:eastAsia="Times New Roman" w:hAnsi="Times New Roman"/>
          <w:sz w:val="14"/>
          <w:szCs w:val="14"/>
          <w:color w:val="auto"/>
        </w:rPr>
      </w:pPr>
    </w:p>
    <w:p>
      <w:pPr>
        <w:jc w:val="both"/>
        <w:ind w:firstLine="424"/>
        <w:spacing w:after="0" w:line="225" w:lineRule="auto"/>
        <w:tabs>
          <w:tab w:leader="none" w:pos="82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xml:space="preserve">. Subject to the terms of this Agreement, the Company shall indemnify Indemnitee, to the fullest extent permitted by law, against any and all Losses actually and reasonably incurred by Indemnitee or on Indemnitee’s behalf in connection with a Claim </w:t>
      </w:r>
      <w:r>
        <w:rPr>
          <w:rFonts w:ascii="Times New Roman" w:cs="Times New Roman" w:eastAsia="Times New Roman" w:hAnsi="Times New Roman"/>
          <w:sz w:val="13"/>
          <w:szCs w:val="13"/>
          <w:color w:val="auto"/>
        </w:rPr>
        <w:t>if Indemnitee was or is or becomes a party to or participant in, or is threatened to be made a party to or participant in, 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 xml:space="preserve">Claim by reason of or arising in part out of an Indemnifiable Event, including, without limitation, Claims brought by or in the right of the Company, Claims brought by third parties, and Claims in which the Indemnitee is solely a witness or deponent. </w:t>
      </w:r>
      <w:r>
        <w:rPr>
          <w:rFonts w:ascii="Times New Roman" w:cs="Times New Roman" w:eastAsia="Times New Roman" w:hAnsi="Times New Roman"/>
          <w:sz w:val="14"/>
          <w:szCs w:val="14"/>
          <w:color w:val="auto"/>
        </w:rPr>
        <w:t>The parties hereto intend that this Agreement shall provide to the fullest extent permitted by law for indemnification in excess of that expressly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permitted by statute, including, without limitation, any indemnification provided by the Constituent Documents, vote of the Company’s stockholders or disinterested directors or applicable law.</w:t>
      </w:r>
    </w:p>
    <w:p>
      <w:pPr>
        <w:spacing w:after="0" w:line="105" w:lineRule="exact"/>
        <w:rPr>
          <w:rFonts w:ascii="Times New Roman" w:cs="Times New Roman" w:eastAsia="Times New Roman" w:hAnsi="Times New Roman"/>
          <w:sz w:val="14"/>
          <w:szCs w:val="14"/>
          <w:color w:val="auto"/>
        </w:rPr>
      </w:pPr>
    </w:p>
    <w:p>
      <w:pPr>
        <w:jc w:val="both"/>
        <w:ind w:firstLine="424"/>
        <w:spacing w:after="0" w:line="213" w:lineRule="auto"/>
        <w:tabs>
          <w:tab w:leader="none" w:pos="82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Advancement of Expenses</w:t>
      </w:r>
      <w:r>
        <w:rPr>
          <w:rFonts w:ascii="Times New Roman" w:cs="Times New Roman" w:eastAsia="Times New Roman" w:hAnsi="Times New Roman"/>
          <w:sz w:val="14"/>
          <w:szCs w:val="14"/>
          <w:color w:val="auto"/>
        </w:rPr>
        <w:t>. Indemnitee shall have the right to advancement of expenses, to the fullest extent permitted by law,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twenty (20) calendar days after any receipt by the Company of a statement or statements requesting such advances from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Execution and delivery to the Company of this Agreement by Indemnitee constitutes an undertaking by the Indemnitee, pursuant to which Indemnitee hereby agrees, to repay any amounts paid, advanced or reimbursed by the Company pursuant to this Section 4 in respect of Expenses relating to, arising out of or resulting from any Claim in respect of which it shall be determined,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982" w:right="299" w:bottom="1440" w:gutter="0" w:footer="0" w:header="0"/>
        </w:sectPr>
      </w:pPr>
    </w:p>
    <w:bookmarkStart w:id="99" w:name="page100"/>
    <w:bookmarkEnd w:id="99"/>
    <w:p>
      <w:pPr>
        <w:spacing w:after="0" w:line="235" w:lineRule="auto"/>
        <w:rPr>
          <w:sz w:val="20"/>
          <w:szCs w:val="20"/>
          <w:color w:val="auto"/>
        </w:rPr>
      </w:pPr>
      <w:r>
        <w:rPr>
          <w:rFonts w:ascii="Times New Roman" w:cs="Times New Roman" w:eastAsia="Times New Roman" w:hAnsi="Times New Roman"/>
          <w:sz w:val="14"/>
          <w:szCs w:val="14"/>
          <w:color w:val="auto"/>
        </w:rPr>
        <w:t>pursuant to Section 10, following the final disposition of such Claim, that Indemnitee is not entitled to indemnification hereunder. No other form of undertaking shall be required other than the execution of this Agreement. Indemnitee’s obligation to reimburse the Company for Expense Advances shall be unsecured and no interest shall be charged thereon.</w:t>
      </w:r>
    </w:p>
    <w:p>
      <w:pPr>
        <w:spacing w:after="0" w:line="108" w:lineRule="exact"/>
        <w:rPr>
          <w:sz w:val="20"/>
          <w:szCs w:val="20"/>
          <w:color w:val="auto"/>
        </w:rPr>
      </w:pPr>
    </w:p>
    <w:p>
      <w:pPr>
        <w:jc w:val="both"/>
        <w:ind w:firstLine="424"/>
        <w:spacing w:after="0" w:line="214" w:lineRule="auto"/>
        <w:tabs>
          <w:tab w:leader="none" w:pos="83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for Expenses in Enforcing Rights</w:t>
      </w:r>
      <w:r>
        <w:rPr>
          <w:rFonts w:ascii="Times New Roman" w:cs="Times New Roman" w:eastAsia="Times New Roman" w:hAnsi="Times New Roman"/>
          <w:sz w:val="14"/>
          <w:szCs w:val="14"/>
          <w:color w:val="auto"/>
        </w:rPr>
        <w:t>. To the fullest extent allowable under applicable law, the Company shall also indemnify against, and, if requested by Indemnitee, shall advance to Indemnitee (within ten days after receipt by the Company of a written request therefor) subject to and in accordance with Section 4,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Section 5 shall be repaid.</w:t>
      </w:r>
    </w:p>
    <w:p>
      <w:pPr>
        <w:spacing w:after="0" w:line="110" w:lineRule="exact"/>
        <w:rPr>
          <w:rFonts w:ascii="Times New Roman" w:cs="Times New Roman" w:eastAsia="Times New Roman" w:hAnsi="Times New Roman"/>
          <w:sz w:val="14"/>
          <w:szCs w:val="14"/>
          <w:color w:val="auto"/>
        </w:rPr>
      </w:pPr>
    </w:p>
    <w:p>
      <w:pPr>
        <w:ind w:right="20" w:firstLine="424"/>
        <w:spacing w:after="0" w:line="235" w:lineRule="auto"/>
        <w:tabs>
          <w:tab w:leader="none" w:pos="83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Indemnity</w:t>
      </w:r>
      <w:r>
        <w:rPr>
          <w:rFonts w:ascii="Times New Roman" w:cs="Times New Roman" w:eastAsia="Times New Roman" w:hAnsi="Times New Roman"/>
          <w:sz w:val="14"/>
          <w:szCs w:val="14"/>
          <w:color w:val="auto"/>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spacing w:after="0" w:line="98" w:lineRule="exact"/>
        <w:rPr>
          <w:rFonts w:ascii="Times New Roman" w:cs="Times New Roman" w:eastAsia="Times New Roman" w:hAnsi="Times New Roman"/>
          <w:sz w:val="14"/>
          <w:szCs w:val="14"/>
          <w:color w:val="auto"/>
        </w:rPr>
      </w:pPr>
    </w:p>
    <w:p>
      <w:pPr>
        <w:jc w:val="both"/>
        <w:ind w:firstLine="424"/>
        <w:spacing w:after="0" w:line="217" w:lineRule="auto"/>
        <w:tabs>
          <w:tab w:leader="none" w:pos="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 in the Event of Joint Liability</w:t>
      </w:r>
      <w:r>
        <w:rPr>
          <w:rFonts w:ascii="Times New Roman" w:cs="Times New Roman" w:eastAsia="Times New Roman" w:hAnsi="Times New Roman"/>
          <w:sz w:val="14"/>
          <w:szCs w:val="14"/>
          <w:color w:val="auto"/>
        </w:rPr>
        <w:t>. To the fullest extent permissible under applicable law, if the indemnification and hold harmless rights provided for in this Agreement are unavailable to Indemnitee in whole or in part for any reason whatsoever, the Company, in lieu of indemnifying and holding harmless Indemnitee, shall contribute to the amount incurred by Indemnitee the entire amount incurred by Indemnitee, whether for judgments, liabilities, fines, penalties, amounts paid or to be paid in settlement and/or for Expenses, in connection with any Claim relating to an Indemnifiable Event, in such proportion as is deemed fair and reasonable in light of all of the circumstances of such Indemnifiable Event in order to reflect (i) the relative benefits received by the Company and Indemnitee as a result of the event(s) and/or transaction(s) giving cause to such proceeding; and/or (ii) the relative fault of the Company (and its directors, officers, employees, trustees, fiduciaries and agents) and Indemnitee in connection with such event(s) and/or transaction(s).</w:t>
      </w:r>
    </w:p>
    <w:p>
      <w:pPr>
        <w:spacing w:after="0" w:line="98" w:lineRule="exact"/>
        <w:rPr>
          <w:rFonts w:ascii="Times New Roman" w:cs="Times New Roman" w:eastAsia="Times New Roman" w:hAnsi="Times New Roman"/>
          <w:sz w:val="14"/>
          <w:szCs w:val="14"/>
          <w:color w:val="auto"/>
        </w:rPr>
      </w:pPr>
    </w:p>
    <w:p>
      <w:pPr>
        <w:ind w:left="820" w:hanging="396"/>
        <w:spacing w:after="0"/>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Notification and Defense of Claims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856"/>
        <w:spacing w:after="0" w:line="221" w:lineRule="auto"/>
        <w:tabs>
          <w:tab w:leader="none" w:pos="1267"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Notification of Claims</w:t>
      </w:r>
      <w:r>
        <w:rPr>
          <w:rFonts w:ascii="Times New Roman" w:cs="Times New Roman" w:eastAsia="Times New Roman" w:hAnsi="Times New Roman"/>
          <w:sz w:val="14"/>
          <w:szCs w:val="14"/>
          <w:color w:val="auto"/>
        </w:rPr>
        <w:t>. Indemnitee shall notify the Company in writing of any Claim which could relate to an Indemnifiable Event or for which Indemnitee could seek Expense Advances as soon as practicable following receipt by Indemnitee of written notice thereof. The written notification to the Company shall include a brief description (based upon information then available to Indemnitee) of the nature of, and the facts underlying, such Claim. The failure by Indemnitee to timely notify the Company hereunder shall not relieve the Company from any liability hereunder other than to the extent the Company’s ability to participate in the defense of such claim was materially and adversely prejudiced by such failure.</w:t>
      </w:r>
    </w:p>
    <w:p>
      <w:pPr>
        <w:spacing w:after="0" w:line="109" w:lineRule="exact"/>
        <w:rPr>
          <w:rFonts w:ascii="Times New Roman" w:cs="Times New Roman" w:eastAsia="Times New Roman" w:hAnsi="Times New Roman"/>
          <w:sz w:val="14"/>
          <w:szCs w:val="14"/>
          <w:color w:val="auto"/>
        </w:rPr>
      </w:pPr>
    </w:p>
    <w:p>
      <w:pPr>
        <w:jc w:val="both"/>
        <w:ind w:right="20" w:firstLine="856"/>
        <w:spacing w:after="0" w:line="221" w:lineRule="auto"/>
        <w:tabs>
          <w:tab w:leader="none" w:pos="1257"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Defense of Claims</w:t>
      </w:r>
      <w:r>
        <w:rPr>
          <w:rFonts w:ascii="Times New Roman" w:cs="Times New Roman" w:eastAsia="Times New Roman" w:hAnsi="Times New Roman"/>
          <w:sz w:val="14"/>
          <w:szCs w:val="14"/>
          <w:color w:val="auto"/>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982" w:right="299" w:bottom="1440" w:gutter="0" w:footer="0" w:header="0"/>
        </w:sectPr>
      </w:pPr>
    </w:p>
    <w:bookmarkStart w:id="100" w:name="page101"/>
    <w:bookmarkEnd w:id="100"/>
    <w:p>
      <w:pPr>
        <w:jc w:val="both"/>
        <w:spacing w:after="0" w:line="236" w:lineRule="auto"/>
        <w:rPr>
          <w:sz w:val="20"/>
          <w:szCs w:val="20"/>
          <w:color w:val="auto"/>
        </w:rPr>
      </w:pPr>
      <w:r>
        <w:rPr>
          <w:rFonts w:ascii="Times New Roman" w:cs="Times New Roman" w:eastAsia="Times New Roman" w:hAnsi="Times New Roman"/>
          <w:sz w:val="13"/>
          <w:szCs w:val="13"/>
          <w:color w:val="auto"/>
        </w:rPr>
        <w:t>Claim, but all Expenses related to such counsel incurred after notice from the Company of its assumption of the defense shall be at Indemnitee’s own expense; provided, however, that if (i) Indemnitee’s employment of its own legal counsel has been authorized by the Company, (ii) Indemnitee’s counsel has reasonably determined that there may be a conflict of interest between Indemnitee and the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spacing w:after="0" w:line="107" w:lineRule="exact"/>
        <w:rPr>
          <w:sz w:val="20"/>
          <w:szCs w:val="20"/>
          <w:color w:val="auto"/>
        </w:rPr>
      </w:pPr>
    </w:p>
    <w:p>
      <w:pPr>
        <w:jc w:val="both"/>
        <w:ind w:firstLine="424"/>
        <w:spacing w:after="0" w:line="221" w:lineRule="auto"/>
        <w:tabs>
          <w:tab w:leader="none" w:pos="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 Upon Application for Indemnification</w:t>
      </w:r>
      <w:r>
        <w:rPr>
          <w:rFonts w:ascii="Times New Roman" w:cs="Times New Roman" w:eastAsia="Times New Roman" w:hAnsi="Times New Roman"/>
          <w:sz w:val="14"/>
          <w:szCs w:val="14"/>
          <w:color w:val="auto"/>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Section 10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982" w:right="299" w:bottom="1440" w:gutter="0" w:footer="0" w:header="0"/>
        </w:sectPr>
      </w:pPr>
    </w:p>
    <w:bookmarkStart w:id="101" w:name="page102"/>
    <w:bookmarkEnd w:id="101"/>
    <w:p>
      <w:pPr>
        <w:ind w:left="820" w:hanging="396"/>
        <w:spacing w:after="0"/>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Determination of Right to Indemnification</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Indemnification; Indemnification as a Witness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25" w:lineRule="auto"/>
        <w:tabs>
          <w:tab w:leader="none" w:pos="1684"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Indemnification</w:t>
      </w:r>
      <w:r>
        <w:rPr>
          <w:rFonts w:ascii="Times New Roman" w:cs="Times New Roman" w:eastAsia="Times New Roman" w:hAnsi="Times New Roman"/>
          <w:sz w:val="14"/>
          <w:szCs w:val="14"/>
          <w:color w:val="auto"/>
        </w:rPr>
        <w:t>. Notwithstanding any other provisions of this Agreement, to the extent that Indemnitee shall have been successful on the merits or otherwise in defense of any Claim relating to an Indemnifiable Event or in defense of any issue or matter therein, in whole or in part, including without limitation the termination of any Claim by dismissal with or without prejudice, Indemnitee shall be indemnified against all Losses relating to such successfully resolved Claim or such successfully resolved issue or matter therein, as applicable, to the fullest extent allowable by law.</w:t>
      </w:r>
    </w:p>
    <w:p>
      <w:pPr>
        <w:spacing w:after="0" w:line="98" w:lineRule="exact"/>
        <w:rPr>
          <w:rFonts w:ascii="Times New Roman" w:cs="Times New Roman" w:eastAsia="Times New Roman" w:hAnsi="Times New Roman"/>
          <w:sz w:val="14"/>
          <w:szCs w:val="14"/>
          <w:color w:val="auto"/>
        </w:rPr>
      </w:pPr>
    </w:p>
    <w:p>
      <w:pPr>
        <w:jc w:val="both"/>
        <w:ind w:firstLine="1288"/>
        <w:spacing w:after="0" w:line="233" w:lineRule="auto"/>
        <w:tabs>
          <w:tab w:leader="none" w:pos="1688"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as a Witness</w:t>
      </w:r>
      <w:r>
        <w:rPr>
          <w:rFonts w:ascii="Times New Roman" w:cs="Times New Roman" w:eastAsia="Times New Roman" w:hAnsi="Times New Roman"/>
          <w:sz w:val="14"/>
          <w:szCs w:val="14"/>
          <w:color w:val="auto"/>
        </w:rPr>
        <w:t>. Notwithstanding any other provisions of this Agreement, to the extent that Indemnitee’s involvement in a Claim relating to an Indemnifiable Event is to prepare to serve and serve as a witness, is or was made (or asked to respond to discovery requests) or is otherwise asked to participate in a Claim, in each case, to which Indemnitee is not a party, the Indemnitee shall be indemnified against all Losses actually and reasonably incurred in connection therewith to the fullest extent allowable by law.</w:t>
      </w:r>
    </w:p>
    <w:p>
      <w:pPr>
        <w:spacing w:after="0" w:line="98" w:lineRule="exact"/>
        <w:rPr>
          <w:rFonts w:ascii="Times New Roman" w:cs="Times New Roman" w:eastAsia="Times New Roman" w:hAnsi="Times New Roman"/>
          <w:sz w:val="14"/>
          <w:szCs w:val="14"/>
          <w:color w:val="auto"/>
        </w:rPr>
      </w:pPr>
    </w:p>
    <w:p>
      <w:pPr>
        <w:jc w:val="both"/>
        <w:ind w:firstLine="856"/>
        <w:spacing w:after="0" w:line="228" w:lineRule="auto"/>
        <w:tabs>
          <w:tab w:leader="none" w:pos="1266"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Standard of Conduct</w:t>
      </w:r>
      <w:r>
        <w:rPr>
          <w:rFonts w:ascii="Times New Roman" w:cs="Times New Roman" w:eastAsia="Times New Roman" w:hAnsi="Times New Roman"/>
          <w:sz w:val="14"/>
          <w:szCs w:val="14"/>
          <w:color w:val="auto"/>
        </w:rPr>
        <w:t>. To the extent that the provisions of Section 10(a)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Times New Roman" w:cs="Times New Roman" w:eastAsia="Times New Roman" w:hAnsi="Times New Roman"/>
          <w:sz w:val="14"/>
          <w:szCs w:val="14"/>
          <w:b w:val="1"/>
          <w:bCs w:val="1"/>
          <w:color w:val="auto"/>
        </w:rPr>
        <w:t>Standard of Conduct Determination</w:t>
      </w:r>
      <w:r>
        <w:rPr>
          <w:rFonts w:ascii="Times New Roman" w:cs="Times New Roman" w:eastAsia="Times New Roman" w:hAnsi="Times New Roman"/>
          <w:sz w:val="14"/>
          <w:szCs w:val="14"/>
          <w:color w:val="auto"/>
        </w:rPr>
        <w:t>”) shall be made as follows:</w:t>
      </w:r>
    </w:p>
    <w:p>
      <w:pPr>
        <w:spacing w:after="0" w:line="108" w:lineRule="exact"/>
        <w:rPr>
          <w:rFonts w:ascii="Times New Roman" w:cs="Times New Roman" w:eastAsia="Times New Roman" w:hAnsi="Times New Roman"/>
          <w:sz w:val="14"/>
          <w:szCs w:val="14"/>
          <w:color w:val="auto"/>
        </w:rPr>
      </w:pPr>
    </w:p>
    <w:p>
      <w:pPr>
        <w:jc w:val="both"/>
        <w:ind w:firstLine="1288"/>
        <w:spacing w:after="0" w:line="228" w:lineRule="auto"/>
        <w:tabs>
          <w:tab w:leader="none" w:pos="1693"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 Change in Control has occurred, (A) by a majority vote of the Disinterested Directors, even if less than a quorum of the Board, (B) by a committee of Disinterested Directors designated by a majority vote of the Disinterested Directors, even though less than a quorum (C) if there are no such Disinterested Directors or if such Disinterested Directors so direct, by Independent Counsel in a written opinion addressed to the Board, a copy of which shall be delivered to Indemnitee or (D) if so directed by the Board, by the stockholders of the Company; and</w:t>
      </w:r>
    </w:p>
    <w:p>
      <w:pPr>
        <w:spacing w:after="0" w:line="99" w:lineRule="exact"/>
        <w:rPr>
          <w:rFonts w:ascii="Times New Roman" w:cs="Times New Roman" w:eastAsia="Times New Roman" w:hAnsi="Times New Roman"/>
          <w:sz w:val="14"/>
          <w:szCs w:val="14"/>
          <w:color w:val="auto"/>
        </w:rPr>
      </w:pPr>
    </w:p>
    <w:p>
      <w:pPr>
        <w:ind w:firstLine="1288"/>
        <w:spacing w:after="0" w:line="244" w:lineRule="auto"/>
        <w:tabs>
          <w:tab w:leader="none" w:pos="1688"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05"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14"/>
          <w:szCs w:val="14"/>
          <w:color w:val="auto"/>
        </w:rPr>
        <w:t>The Company shall indemnify and hold harmless Indemnitee against and, if requested by Indemnitee in writing, shall reimburse Indemnitee for, or advance to Indemnitee, within twenty (20) calendar days of such request, any and all Expenses actually and reasonably incurred by Indemnitee in cooperating with the Person or Persons making such Standard of Conduct Determination (irrespective of the determination as to Indemnitee’s entitlement to indemnification).</w:t>
      </w:r>
    </w:p>
    <w:p>
      <w:pPr>
        <w:spacing w:after="0" w:line="30"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4"/>
          <w:szCs w:val="14"/>
          <w:color w:val="auto"/>
        </w:rPr>
        <w:t>The Company promptly will advise Indemnitee in writing with respect to any determination that Indemnitee is or is not entitled to indemnification, including a description of any reason or basis for which indemnification has been denied.</w:t>
      </w:r>
    </w:p>
    <w:p>
      <w:pPr>
        <w:spacing w:after="0" w:line="23" w:lineRule="exact"/>
        <w:rPr>
          <w:sz w:val="20"/>
          <w:szCs w:val="20"/>
          <w:color w:val="auto"/>
        </w:rPr>
      </w:pPr>
    </w:p>
    <w:p>
      <w:pPr>
        <w:jc w:val="both"/>
        <w:ind w:firstLine="856"/>
        <w:spacing w:after="0" w:line="221" w:lineRule="auto"/>
        <w:tabs>
          <w:tab w:leader="none" w:pos="125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Making the Standard of Conduct Determination</w:t>
      </w:r>
      <w:r>
        <w:rPr>
          <w:rFonts w:ascii="Times New Roman" w:cs="Times New Roman" w:eastAsia="Times New Roman" w:hAnsi="Times New Roman"/>
          <w:sz w:val="14"/>
          <w:szCs w:val="14"/>
          <w:color w:val="auto"/>
        </w:rPr>
        <w:t>. The Company shall use its reasonable best efforts to cause any Standard of Conduct Determination required under Section 10(b) to be made as promptly as practicable. Subject to the last sentence of this Section 10(c), if the Person or Persons designated to make the Standard of Conduct Determination under Section 10(b) shall not have made a determination within thirty (30) calendar days after the later of (A) receipt by the Company of a written request from Indemnitee for indemnification pursuant to Section 9 (the date of such receipt being the “</w:t>
      </w:r>
      <w:r>
        <w:rPr>
          <w:rFonts w:ascii="Times New Roman" w:cs="Times New Roman" w:eastAsia="Times New Roman" w:hAnsi="Times New Roman"/>
          <w:sz w:val="14"/>
          <w:szCs w:val="14"/>
          <w:b w:val="1"/>
          <w:bCs w:val="1"/>
          <w:color w:val="auto"/>
        </w:rPr>
        <w:t>Notification Date</w:t>
      </w:r>
      <w:r>
        <w:rPr>
          <w:rFonts w:ascii="Times New Roman" w:cs="Times New Roman" w:eastAsia="Times New Roman" w:hAnsi="Times New Roman"/>
          <w:sz w:val="14"/>
          <w:szCs w:val="14"/>
          <w:color w:val="auto"/>
        </w:rPr>
        <w:t>”) and (B) the selection of an Independent Counsel, if such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982" w:right="299" w:bottom="1440" w:gutter="0" w:footer="0" w:header="0"/>
        </w:sectPr>
      </w:pPr>
    </w:p>
    <w:bookmarkStart w:id="102" w:name="page103"/>
    <w:bookmarkEnd w:id="102"/>
    <w:p>
      <w:pPr>
        <w:jc w:val="both"/>
        <w:spacing w:after="0" w:line="236" w:lineRule="auto"/>
        <w:rPr>
          <w:sz w:val="20"/>
          <w:szCs w:val="20"/>
          <w:color w:val="auto"/>
        </w:rPr>
      </w:pPr>
      <w:r>
        <w:rPr>
          <w:rFonts w:ascii="Times New Roman" w:cs="Times New Roman" w:eastAsia="Times New Roman" w:hAnsi="Times New Roman"/>
          <w:sz w:val="13"/>
          <w:szCs w:val="13"/>
          <w:color w:val="auto"/>
        </w:rPr>
        <w:t>determination is to be made by Independent Counsel, then Indemnitee shall be deemed to have satisfied the applicable standard of conduct, absent (i) a misstatement by Indemnitee of a material fact, or an omission of a material fact necessary to make Indemnitee’s statement not materially misleading, in connection with the request for indemnification, or (ii) a final judicial determination that any or all such</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4"/>
          <w:szCs w:val="14"/>
          <w:color w:val="auto"/>
        </w:rPr>
        <w:t>indemnification is expressly prohibited under applicable law; provided, however, that such thirty (30) calendar day period may be extended for a reasonable time, not to exceed an additional fifteen (15) calendar days, if the Person or Persons making such determination in good faith requires such additional time to obtain or evaluate information relating thereto and provided, further, that the foregoing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provisions of this Section 10(c) shall not apply (i) if the determination of entitlement to indemnification is to be made by the stockholders pursuant to Section 10(b)(i) of this Agreement and if (i)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(ii) a special meeting of stockholders is called within fifteen (15) days after such receipt for the purpose of making such determination, such meeting is held for such purpose within sixty (60) days after having been so called and such determination is made thereat</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4"/>
          <w:szCs w:val="14"/>
          <w:color w:val="auto"/>
        </w:rPr>
        <w:t>Notwithstanding anything in this Agreement to the contrary, no determination as to entitlement of Indemnitee to indemnification under this Agreement shall be required to be made prior to the final disposition of any Claim.</w:t>
      </w:r>
    </w:p>
    <w:p>
      <w:pPr>
        <w:spacing w:after="0" w:line="108" w:lineRule="exact"/>
        <w:rPr>
          <w:sz w:val="20"/>
          <w:szCs w:val="20"/>
          <w:color w:val="auto"/>
        </w:rPr>
      </w:pPr>
    </w:p>
    <w:p>
      <w:pPr>
        <w:ind w:left="1240" w:hanging="384"/>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Indemnification</w:t>
      </w:r>
      <w:r>
        <w:rPr>
          <w:rFonts w:ascii="Times New Roman" w:cs="Times New Roman" w:eastAsia="Times New Roman" w:hAnsi="Times New Roman"/>
          <w:sz w:val="14"/>
          <w:szCs w:val="14"/>
          <w:color w:val="auto"/>
        </w:rPr>
        <w:t>. If, in regard to any Losses:</w:t>
      </w:r>
    </w:p>
    <w:p>
      <w:pPr>
        <w:spacing w:after="0" w:line="12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shall be entitled to indemnification pursuant to Section 10(a);</w:t>
      </w:r>
    </w:p>
    <w:p>
      <w:pPr>
        <w:spacing w:after="0" w:line="12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Standard of Conduct Determination is legally required as a condition to indemnification of Indemnitee hereunder; or</w:t>
      </w:r>
    </w:p>
    <w:p>
      <w:pPr>
        <w:spacing w:after="0" w:line="12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has been determined or deemed pursuant to Section 10(b) or Section 10(c) to have satisfied the Standard of Conduct Determination,</w:t>
      </w:r>
    </w:p>
    <w:p>
      <w:pPr>
        <w:spacing w:after="0" w:line="127"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14"/>
          <w:szCs w:val="14"/>
          <w:color w:val="auto"/>
        </w:rPr>
        <w:t>then the Company shall pay to Indemnitee, within twenty (20) calendar days after the later of (A) the Notification Date or (B) the earliest date on which the applicable criterion specified in clause (i), (ii) or (iii) is satisfied, an amount equal to the Losses to which such Indemnitee is entitled.</w:t>
      </w:r>
    </w:p>
    <w:p>
      <w:pPr>
        <w:spacing w:after="0" w:line="27" w:lineRule="exact"/>
        <w:rPr>
          <w:sz w:val="20"/>
          <w:szCs w:val="20"/>
          <w:color w:val="auto"/>
        </w:rPr>
      </w:pPr>
    </w:p>
    <w:p>
      <w:pPr>
        <w:jc w:val="both"/>
        <w:ind w:firstLine="856"/>
        <w:spacing w:after="0" w:line="213" w:lineRule="auto"/>
        <w:tabs>
          <w:tab w:leader="none" w:pos="125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Selection of Independent Counsel for Standard of Conduct Determination</w:t>
      </w:r>
      <w:r>
        <w:rPr>
          <w:rFonts w:ascii="Times New Roman" w:cs="Times New Roman" w:eastAsia="Times New Roman" w:hAnsi="Times New Roman"/>
          <w:sz w:val="14"/>
          <w:szCs w:val="14"/>
          <w:color w:val="auto"/>
        </w:rPr>
        <w:t>. If a Standard of Conduct Determination is to be made by Independent Counsel pursuant to Section 10(b) (i), the Independent Counsel shall be selected by the Board of Directors, and the Company shall give written notice to Indemnitee advising Indemnitee of the identity of the Independent Counsel so selected. If a Standard of Conduct Determination is to be made by the Independent Counsel pursuant to Section 10(b)(ii), the Independent Counsel shall be selected by Indemnitee, and Indemnitee shall give written notice to the Company advising it of the identity of the Independent Counsel so selected. In either case, Indemnitee or the Company, as applicable, may, within ten (10) calendar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2, and the objection shall set forth with particularity the factual basis of such assertion. Absent a proper and timely objection, the individual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982" w:right="299" w:bottom="1440" w:gutter="0" w:footer="0" w:header="0"/>
        </w:sectPr>
      </w:pPr>
    </w:p>
    <w:bookmarkStart w:id="103" w:name="page104"/>
    <w:bookmarkEnd w:id="103"/>
    <w:p>
      <w:pPr>
        <w:jc w:val="both"/>
        <w:spacing w:after="0" w:line="219" w:lineRule="auto"/>
        <w:rPr>
          <w:sz w:val="20"/>
          <w:szCs w:val="20"/>
          <w:color w:val="auto"/>
        </w:rPr>
      </w:pPr>
      <w:r>
        <w:rPr>
          <w:rFonts w:ascii="Times New Roman" w:cs="Times New Roman" w:eastAsia="Times New Roman" w:hAnsi="Times New Roman"/>
          <w:sz w:val="14"/>
          <w:szCs w:val="14"/>
          <w:color w:val="auto"/>
        </w:rPr>
        <w:t>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10(e) to make the Standard of Conduct Determination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3"/>
          <w:szCs w:val="13"/>
          <w:color w:val="auto"/>
        </w:rPr>
        <w:t>shall have been selected within twenty (20) calendar days after the Company gives its initial notice pursuant to the first sentence of this Section 10(e) or Indemnitee gives its initial notice pursuant to the second sentence of this Section 10(e), as the case may be, either the Company or Indemnitee may petition the Delaware Court to resolve any objection which shall have been made by the Company or Indemnitee to the other’s selection of Independent Counsel and/or to appoint as Independent Counsel an individual or firm to be selected by the Court or such other person as the Court shall designate,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the individual or firm with respect to whom all objections are so resolved or the individual or firm so appointed will act as Independent Counsel. In all events, the Company shall pay all of the reasonable fees and expenses of the Independent Counsel incurred in connection with the Independent Counsel’s determination pursuant to Section 10(b) and shall fully indemnify and hold harmless such Independent Counsel against any and all expenses, claims, liabilities and damages arising out of or relating to this Agreement or its engagement pursuant hereto.</w:t>
      </w:r>
    </w:p>
    <w:p>
      <w:pPr>
        <w:spacing w:after="0" w:line="107" w:lineRule="exact"/>
        <w:rPr>
          <w:sz w:val="20"/>
          <w:szCs w:val="20"/>
          <w:color w:val="auto"/>
        </w:rPr>
      </w:pPr>
    </w:p>
    <w:p>
      <w:pPr>
        <w:ind w:left="1260" w:hanging="404"/>
        <w:spacing w:after="0"/>
        <w:tabs>
          <w:tab w:leader="none" w:pos="1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Presumptions and Defenses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288"/>
        <w:spacing w:after="0" w:line="214" w:lineRule="auto"/>
        <w:tabs>
          <w:tab w:leader="none" w:pos="1693"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Indemnitee’s Entitlement to Indemnification</w:t>
      </w:r>
      <w:r>
        <w:rPr>
          <w:rFonts w:ascii="Times New Roman" w:cs="Times New Roman" w:eastAsia="Times New Roman" w:hAnsi="Times New Roman"/>
          <w:sz w:val="14"/>
          <w:szCs w:val="14"/>
          <w:color w:val="auto"/>
        </w:rPr>
        <w:t>. In making any Standard of Conduct Determination, the Person or Persons making such determination shall presume, to the fullest extent permitted by law, that Indemnitee has satisfied the applicable standard of conduct and is entitled to indemnification under this Agreement if Indemnitee has submitted a request for indemnification in accordance with Section 9 of this Agreement, and the Company shall, to the fullest extent permitted by law,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or failure by the Company to reach such a determination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111" w:lineRule="exact"/>
        <w:rPr>
          <w:rFonts w:ascii="Times New Roman" w:cs="Times New Roman" w:eastAsia="Times New Roman" w:hAnsi="Times New Roman"/>
          <w:sz w:val="14"/>
          <w:szCs w:val="14"/>
          <w:color w:val="auto"/>
        </w:rPr>
      </w:pPr>
    </w:p>
    <w:p>
      <w:pPr>
        <w:jc w:val="both"/>
        <w:ind w:firstLine="1288"/>
        <w:spacing w:after="0" w:line="215" w:lineRule="auto"/>
        <w:tabs>
          <w:tab w:leader="none" w:pos="1697"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as a Safe Harbor</w:t>
      </w:r>
      <w:r>
        <w:rPr>
          <w:rFonts w:ascii="Times New Roman" w:cs="Times New Roman" w:eastAsia="Times New Roman" w:hAnsi="Times New Roman"/>
          <w:sz w:val="14"/>
          <w:szCs w:val="14"/>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 The provisions of this Section 10(f)(ii) shall not be deemed to be exclusive or to limit in any way the other circumstances in which the Indemnitee may be deemed to have met the applicable standard of conduct set forth in this Agreement.</w:t>
      </w:r>
    </w:p>
    <w:p>
      <w:pPr>
        <w:spacing w:after="0" w:line="106" w:lineRule="exact"/>
        <w:rPr>
          <w:rFonts w:ascii="Times New Roman" w:cs="Times New Roman" w:eastAsia="Times New Roman" w:hAnsi="Times New Roman"/>
          <w:sz w:val="14"/>
          <w:szCs w:val="14"/>
          <w:color w:val="auto"/>
        </w:rPr>
      </w:pPr>
    </w:p>
    <w:p>
      <w:pPr>
        <w:jc w:val="both"/>
        <w:ind w:firstLine="1288"/>
        <w:spacing w:after="0" w:line="233" w:lineRule="auto"/>
        <w:tabs>
          <w:tab w:leader="none" w:pos="1692"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Presumptions</w:t>
      </w:r>
      <w:r>
        <w:rPr>
          <w:rFonts w:ascii="Times New Roman" w:cs="Times New Roman" w:eastAsia="Times New Roman" w:hAnsi="Times New Roman"/>
          <w:sz w:val="14"/>
          <w:szCs w:val="14"/>
          <w:color w:val="auto"/>
        </w:rPr>
        <w:t>. For purposes of this Agreement, the termination of any Claim by judgment, order, settlement (whether with or without court approval) or conviction, or upon a plea of nolo contendere or its equivalent, will not (except as otherwise provided in this Agreement) of itself create a presumption that Indemnitee did not meet any applicable standard of conduct, or that indemnification hereunder is otherwise not permitted.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982" w:right="299" w:bottom="1440" w:gutter="0" w:footer="0" w:header="0"/>
        </w:sectPr>
      </w:pPr>
    </w:p>
    <w:bookmarkStart w:id="104" w:name="page105"/>
    <w:bookmarkEnd w:id="104"/>
    <w:p>
      <w:pPr>
        <w:jc w:val="both"/>
        <w:ind w:firstLine="1288"/>
        <w:spacing w:after="0" w:line="225" w:lineRule="auto"/>
        <w:tabs>
          <w:tab w:leader="none" w:pos="1693"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Defense to Indemnification and Burden of Proof</w:t>
      </w:r>
      <w:r>
        <w:rPr>
          <w:rFonts w:ascii="Times New Roman" w:cs="Times New Roman" w:eastAsia="Times New Roman" w:hAnsi="Times New Roman"/>
          <w:sz w:val="14"/>
          <w:szCs w:val="14"/>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spacing w:after="0" w:line="98" w:lineRule="exact"/>
        <w:rPr>
          <w:rFonts w:ascii="Times New Roman" w:cs="Times New Roman" w:eastAsia="Times New Roman" w:hAnsi="Times New Roman"/>
          <w:sz w:val="14"/>
          <w:szCs w:val="14"/>
          <w:color w:val="auto"/>
        </w:rPr>
      </w:pPr>
    </w:p>
    <w:p>
      <w:pPr>
        <w:ind w:left="820" w:hanging="396"/>
        <w:spacing w:after="0"/>
        <w:tabs>
          <w:tab w:leader="none" w:pos="8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Exclusions from Indemnification</w:t>
      </w:r>
      <w:r>
        <w:rPr>
          <w:rFonts w:ascii="Times New Roman" w:cs="Times New Roman" w:eastAsia="Times New Roman" w:hAnsi="Times New Roman"/>
          <w:sz w:val="14"/>
          <w:szCs w:val="14"/>
          <w:color w:val="auto"/>
        </w:rPr>
        <w:t>. Notwithstanding anything in this Agreement to the contrary, the Company shall not be obligated to:</w:t>
      </w:r>
    </w:p>
    <w:p>
      <w:pPr>
        <w:spacing w:after="0" w:line="118" w:lineRule="exact"/>
        <w:rPr>
          <w:rFonts w:ascii="Times New Roman" w:cs="Times New Roman" w:eastAsia="Times New Roman" w:hAnsi="Times New Roman"/>
          <w:sz w:val="14"/>
          <w:szCs w:val="14"/>
          <w:color w:val="auto"/>
        </w:rPr>
      </w:pPr>
    </w:p>
    <w:p>
      <w:pPr>
        <w:ind w:right="20" w:firstLine="856"/>
        <w:spacing w:after="0" w:line="244" w:lineRule="auto"/>
        <w:tabs>
          <w:tab w:leader="none" w:pos="125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or advance funds to Indemnitee for Expenses or Losses with respect to Claims initiated by Indemnitee, including any Claims against the Company or its directors, officers, employees or other indemnitees, except:</w:t>
      </w:r>
    </w:p>
    <w:p>
      <w:pPr>
        <w:spacing w:after="0" w:line="104"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proceedings referenced in Section 5 above;</w:t>
      </w:r>
    </w:p>
    <w:p>
      <w:pPr>
        <w:spacing w:after="0" w:line="12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Board has authorized the Claim prior to its initiation;</w:t>
      </w:r>
    </w:p>
    <w:p>
      <w:pPr>
        <w:spacing w:after="0" w:line="12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provides the indemnification, in its sole discretion, pursuant to the powers vested in the Company under applicable law; or</w:t>
      </w:r>
    </w:p>
    <w:p>
      <w:pPr>
        <w:spacing w:after="0" w:line="12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2"/>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payment arises in connection with any mandatory counterclaim or cross claim brought or raised by Indemnitee in any Claim.</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and advance funds Indemnitee if a final decision by a court of competent jurisdiction determines that such indemnification is prohibited by applicable law.</w:t>
      </w:r>
    </w:p>
    <w:p>
      <w:pPr>
        <w:spacing w:after="0" w:line="127" w:lineRule="exact"/>
        <w:rPr>
          <w:rFonts w:ascii="Times New Roman" w:cs="Times New Roman" w:eastAsia="Times New Roman" w:hAnsi="Times New Roman"/>
          <w:sz w:val="14"/>
          <w:szCs w:val="14"/>
          <w:color w:val="auto"/>
        </w:rPr>
      </w:pPr>
    </w:p>
    <w:p>
      <w:pPr>
        <w:ind w:right="20" w:firstLine="856"/>
        <w:spacing w:after="0" w:line="244" w:lineRule="auto"/>
        <w:tabs>
          <w:tab w:leader="none" w:pos="125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or advance funds Indemnitee for an accounting of profits arising from the purchase or sale by Indemnitee of securities of the Company in violation of Section 16(b) of the Exchange Act, or any similar successor statute, state law or other law.</w:t>
      </w:r>
    </w:p>
    <w:p>
      <w:pPr>
        <w:spacing w:after="0" w:line="95" w:lineRule="exact"/>
        <w:rPr>
          <w:rFonts w:ascii="Times New Roman" w:cs="Times New Roman" w:eastAsia="Times New Roman" w:hAnsi="Times New Roman"/>
          <w:sz w:val="14"/>
          <w:szCs w:val="14"/>
          <w:color w:val="auto"/>
        </w:rPr>
      </w:pPr>
    </w:p>
    <w:p>
      <w:pPr>
        <w:jc w:val="both"/>
        <w:ind w:firstLine="856"/>
        <w:spacing w:after="0" w:line="225" w:lineRule="auto"/>
        <w:tabs>
          <w:tab w:leader="none" w:pos="1257"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(the “Sarbanes-Oxley Act”) in connection with an accounting restatement of the Company or the payment to the Company of profits arising from the purchase or sale by Indemnitee of securities in violation of Section 306 of the Sarbanes-Oxley Act).</w:t>
      </w:r>
    </w:p>
    <w:p>
      <w:pPr>
        <w:spacing w:after="0" w:line="92" w:lineRule="exact"/>
        <w:rPr>
          <w:rFonts w:ascii="Times New Roman" w:cs="Times New Roman" w:eastAsia="Times New Roman" w:hAnsi="Times New Roman"/>
          <w:sz w:val="14"/>
          <w:szCs w:val="14"/>
          <w:color w:val="auto"/>
        </w:rPr>
      </w:pPr>
    </w:p>
    <w:p>
      <w:pPr>
        <w:ind w:right="80" w:firstLine="856"/>
        <w:spacing w:after="0" w:line="236" w:lineRule="auto"/>
        <w:tabs>
          <w:tab w:leader="none" w:pos="116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or advance funds to Indemnitee for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29" w:lineRule="exact"/>
        <w:rPr>
          <w:rFonts w:ascii="Times New Roman" w:cs="Times New Roman" w:eastAsia="Times New Roman" w:hAnsi="Times New Roman"/>
          <w:sz w:val="14"/>
          <w:szCs w:val="14"/>
          <w:color w:val="auto"/>
        </w:rPr>
      </w:pPr>
    </w:p>
    <w:p>
      <w:pPr>
        <w:ind w:right="20" w:firstLine="856"/>
        <w:spacing w:after="0" w:line="255" w:lineRule="auto"/>
        <w:tabs>
          <w:tab w:leader="none" w:pos="1191"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or advance funds for which payment has actually been made to or on behalf of Indemnitee under any insurance policy or other indemnity provision, except with respect to any excess beyond the amount paid under any insurance policy or other indemnity provision.</w:t>
      </w:r>
    </w:p>
    <w:p>
      <w:pPr>
        <w:spacing w:after="0" w:line="23" w:lineRule="exact"/>
        <w:rPr>
          <w:rFonts w:ascii="Times New Roman" w:cs="Times New Roman" w:eastAsia="Times New Roman" w:hAnsi="Times New Roman"/>
          <w:sz w:val="14"/>
          <w:szCs w:val="14"/>
          <w:color w:val="auto"/>
        </w:rPr>
      </w:pPr>
    </w:p>
    <w:p>
      <w:pPr>
        <w:ind w:right="20" w:firstLine="424"/>
        <w:spacing w:after="0" w:line="235" w:lineRule="auto"/>
        <w:tabs>
          <w:tab w:leader="none" w:pos="8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 of Claims</w:t>
      </w:r>
      <w:r>
        <w:rPr>
          <w:rFonts w:ascii="Times New Roman" w:cs="Times New Roman" w:eastAsia="Times New Roman" w:hAnsi="Times New Roman"/>
          <w:sz w:val="14"/>
          <w:szCs w:val="14"/>
          <w:color w:val="auto"/>
        </w:rPr>
        <w:t>. The Company shall not be liable to Indemnitee under this Agreement for any amounts paid in settlement of any threatened or pending Claim related to an Indemnifiable Event effected without the Company’s prior written consent, which shall not be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982" w:right="299" w:bottom="1440" w:gutter="0" w:footer="0" w:header="0"/>
        </w:sectPr>
      </w:pPr>
    </w:p>
    <w:bookmarkStart w:id="105" w:name="page106"/>
    <w:bookmarkEnd w:id="105"/>
    <w:p>
      <w:pPr>
        <w:spacing w:after="0" w:line="236" w:lineRule="auto"/>
        <w:rPr>
          <w:sz w:val="20"/>
          <w:szCs w:val="20"/>
          <w:color w:val="auto"/>
        </w:rPr>
      </w:pPr>
      <w:r>
        <w:rPr>
          <w:rFonts w:ascii="Times New Roman" w:cs="Times New Roman" w:eastAsia="Times New Roman" w:hAnsi="Times New Roman"/>
          <w:sz w:val="13"/>
          <w:szCs w:val="13"/>
          <w:color w:val="auto"/>
        </w:rPr>
        <w:t>unreasonably withheld. The Company shall not settle any Claim related to an Indemnifiable Event in any manner that would impose any Losses on the Indemnitee without the Indemnitee’s prior written consent. The Company shall not, without the prior written consent of Indemnitee, effect any settlement of any Claim relating to an Indemnifiable Event which the Indemnitee is or could have been a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such settlement solely involves the payment of money and includes a complete and unconditional release of the Indemnitee from all liability on all claims that are the subject matter of such Claim.</w:t>
      </w:r>
    </w:p>
    <w:p>
      <w:pPr>
        <w:spacing w:after="0" w:line="114" w:lineRule="exact"/>
        <w:rPr>
          <w:sz w:val="20"/>
          <w:szCs w:val="20"/>
          <w:color w:val="auto"/>
        </w:rPr>
      </w:pPr>
    </w:p>
    <w:p>
      <w:pPr>
        <w:jc w:val="both"/>
        <w:ind w:firstLine="424"/>
        <w:spacing w:after="0" w:line="217" w:lineRule="auto"/>
        <w:tabs>
          <w:tab w:leader="none" w:pos="82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w:t>
      </w:r>
      <w:r>
        <w:rPr>
          <w:rFonts w:ascii="Times New Roman" w:cs="Times New Roman" w:eastAsia="Times New Roman" w:hAnsi="Times New Roman"/>
          <w:sz w:val="14"/>
          <w:szCs w:val="14"/>
          <w:color w:val="auto"/>
        </w:rPr>
        <w:t>. All agreements and obligations of the Company contained herein shall continue during the period that Indemnitee is a director, officer, employee or agent of the Company or any subsidiary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03" w:lineRule="exact"/>
        <w:rPr>
          <w:rFonts w:ascii="Times New Roman" w:cs="Times New Roman" w:eastAsia="Times New Roman" w:hAnsi="Times New Roman"/>
          <w:sz w:val="14"/>
          <w:szCs w:val="14"/>
          <w:color w:val="auto"/>
        </w:rPr>
      </w:pPr>
    </w:p>
    <w:p>
      <w:pPr>
        <w:jc w:val="both"/>
        <w:ind w:firstLine="424"/>
        <w:spacing w:after="0" w:line="222" w:lineRule="auto"/>
        <w:tabs>
          <w:tab w:leader="none" w:pos="82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w:t>
      </w:r>
      <w:r>
        <w:rPr>
          <w:rFonts w:ascii="Times New Roman" w:cs="Times New Roman" w:eastAsia="Times New Roman" w:hAnsi="Times New Roman"/>
          <w:sz w:val="14"/>
          <w:szCs w:val="14"/>
          <w:color w:val="auto"/>
        </w:rPr>
        <w:t>. The rights of Indemnitee hereunder (i) shall not be deemed exclusive of any other rights to which Indemnitee may at any time be entitled under applicable law, the Constituent Documents, any agreement, a vote of stockholders or a resolution of directors, or otherwise and (ii) shall be interpreted independently of, and without reference to, any other such rights to which Indemnitee may at any time be entitled. No amendment, alteration or repeal of this Agreement or of any provision hereof shall limit or restrict any right of Indemnitee under this Agreement in respect of any action taken or omitted by Indemnitee that is an Indemnifiable Event prior to such amendment, alteration or repeal. To the extent that a change in Delaware law, whether by statute or judicial decision, permits greater indemnification or advancement of Expenses than would be afforded currently under the Constituent Documents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r>
        <w:rPr>
          <w:rFonts w:ascii="Times New Roman" w:cs="Times New Roman" w:eastAsia="Times New Roman" w:hAnsi="Times New Roman"/>
          <w:sz w:val="13"/>
          <w:szCs w:val="13"/>
          <w:color w:val="auto"/>
        </w:rPr>
        <w:t>.</w:t>
      </w:r>
    </w:p>
    <w:p>
      <w:pPr>
        <w:spacing w:after="0" w:line="110" w:lineRule="exact"/>
        <w:rPr>
          <w:rFonts w:ascii="Times New Roman" w:cs="Times New Roman" w:eastAsia="Times New Roman" w:hAnsi="Times New Roman"/>
          <w:sz w:val="14"/>
          <w:szCs w:val="14"/>
          <w:color w:val="auto"/>
        </w:rPr>
      </w:pPr>
    </w:p>
    <w:p>
      <w:pPr>
        <w:jc w:val="both"/>
        <w:ind w:firstLine="424"/>
        <w:spacing w:after="0" w:line="213" w:lineRule="auto"/>
        <w:tabs>
          <w:tab w:leader="none" w:pos="82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Liability Insurance</w:t>
      </w:r>
      <w:r>
        <w:rPr>
          <w:rFonts w:ascii="Times New Roman" w:cs="Times New Roman" w:eastAsia="Times New Roman" w:hAnsi="Times New Roman"/>
          <w:sz w:val="14"/>
          <w:szCs w:val="14"/>
          <w:color w:val="auto"/>
        </w:rPr>
        <w:t>. For the duration of Indemnitee’s service as a director or officer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policies of directors’ and officers’ liability insurance in effect on the date of this Agreement. The insurance provided pursuant to this Section 15 shall be primary insurance to the Indemnitee for any Indemnifiable Event and/or Expense to which such insurance applies.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spacing w:after="0" w:line="99" w:lineRule="exact"/>
        <w:rPr>
          <w:rFonts w:ascii="Times New Roman" w:cs="Times New Roman" w:eastAsia="Times New Roman" w:hAnsi="Times New Roman"/>
          <w:sz w:val="14"/>
          <w:szCs w:val="14"/>
          <w:color w:val="auto"/>
        </w:rPr>
      </w:pPr>
    </w:p>
    <w:p>
      <w:pPr>
        <w:ind w:firstLine="424"/>
        <w:spacing w:after="0" w:line="244" w:lineRule="auto"/>
        <w:tabs>
          <w:tab w:leader="none" w:pos="83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Duplication of Payments</w:t>
      </w:r>
      <w:r>
        <w:rPr>
          <w:rFonts w:ascii="Times New Roman" w:cs="Times New Roman" w:eastAsia="Times New Roman" w:hAnsi="Times New Roman"/>
          <w:sz w:val="14"/>
          <w:szCs w:val="14"/>
          <w:color w:val="auto"/>
        </w:rPr>
        <w:t>. The Company shall not be liable under this Agreement to make any payment to Indemnitee in respect of any Losses to the extent Indemnitee has otherwise received payment under any insurance policy, the Constituent Documents, Other Indemnity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982" w:right="299" w:bottom="1440" w:gutter="0" w:footer="0" w:header="0"/>
        </w:sectPr>
      </w:pPr>
    </w:p>
    <w:bookmarkStart w:id="106" w:name="page107"/>
    <w:bookmarkEnd w:id="106"/>
    <w:p>
      <w:pPr>
        <w:spacing w:after="0" w:line="235" w:lineRule="auto"/>
        <w:rPr>
          <w:sz w:val="20"/>
          <w:szCs w:val="20"/>
          <w:color w:val="auto"/>
        </w:rPr>
      </w:pPr>
      <w:r>
        <w:rPr>
          <w:rFonts w:ascii="Times New Roman" w:cs="Times New Roman" w:eastAsia="Times New Roman" w:hAnsi="Times New Roman"/>
          <w:sz w:val="14"/>
          <w:szCs w:val="14"/>
          <w:color w:val="auto"/>
        </w:rPr>
        <w:t>Provisions or otherwise of the amounts otherwise (including from another Enterprise) indemnifiable by the Company hereunder; provided that the foregoing shall not affect the rights of Indemnitee or the Fund Indemnitors (as defined below) as set forth in Section 17.</w:t>
      </w:r>
    </w:p>
    <w:p>
      <w:pPr>
        <w:spacing w:after="0" w:line="108" w:lineRule="exact"/>
        <w:rPr>
          <w:sz w:val="20"/>
          <w:szCs w:val="20"/>
          <w:color w:val="auto"/>
        </w:rPr>
      </w:pPr>
    </w:p>
    <w:p>
      <w:pPr>
        <w:jc w:val="both"/>
        <w:ind w:firstLine="424"/>
        <w:spacing w:after="0" w:line="211" w:lineRule="auto"/>
        <w:tabs>
          <w:tab w:leader="none" w:pos="82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Primacy of Indemnification</w:t>
      </w:r>
      <w:r>
        <w:rPr>
          <w:rFonts w:ascii="Times New Roman" w:cs="Times New Roman" w:eastAsia="Times New Roman" w:hAnsi="Times New Roman"/>
          <w:sz w:val="14"/>
          <w:szCs w:val="14"/>
          <w:color w:val="auto"/>
        </w:rPr>
        <w:t>. The Company hereby acknowledges that Indemnitee has or may have in the future certain rights to indemnification, advancement of expenses and/or insurance provided by Investment Group of Santa Barbara and certain of its affiliates (collectively, the “</w:t>
      </w:r>
      <w:r>
        <w:rPr>
          <w:rFonts w:ascii="Times New Roman" w:cs="Times New Roman" w:eastAsia="Times New Roman" w:hAnsi="Times New Roman"/>
          <w:sz w:val="14"/>
          <w:szCs w:val="14"/>
          <w:b w:val="1"/>
          <w:bCs w:val="1"/>
          <w:color w:val="auto"/>
        </w:rPr>
        <w:t>Fund Indemnitors</w:t>
      </w:r>
      <w:r>
        <w:rPr>
          <w:rFonts w:ascii="Times New Roman" w:cs="Times New Roman" w:eastAsia="Times New Roman" w:hAnsi="Times New Roman"/>
          <w:sz w:val="14"/>
          <w:szCs w:val="14"/>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(iii) that it shall be liable for the full amount of all Losses to the extent legally permitted and as required by the terms of this Agreement, the Constituent Documents and/or Other Indemnity Provisions,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17.</w:t>
      </w:r>
    </w:p>
    <w:p>
      <w:pPr>
        <w:spacing w:after="0" w:line="112" w:lineRule="exact"/>
        <w:rPr>
          <w:rFonts w:ascii="Times New Roman" w:cs="Times New Roman" w:eastAsia="Times New Roman" w:hAnsi="Times New Roman"/>
          <w:sz w:val="14"/>
          <w:szCs w:val="14"/>
          <w:color w:val="auto"/>
        </w:rPr>
      </w:pPr>
    </w:p>
    <w:p>
      <w:pPr>
        <w:jc w:val="both"/>
        <w:ind w:firstLine="424"/>
        <w:spacing w:after="0" w:line="224" w:lineRule="auto"/>
        <w:tabs>
          <w:tab w:leader="none" w:pos="8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Subrogation</w:t>
      </w:r>
      <w:r>
        <w:rPr>
          <w:rFonts w:ascii="Times New Roman" w:cs="Times New Roman" w:eastAsia="Times New Roman" w:hAnsi="Times New Roman"/>
          <w:sz w:val="14"/>
          <w:szCs w:val="14"/>
          <w:color w:val="auto"/>
        </w:rPr>
        <w:t>. In the event of payment to Indemnitee under this Agreement, the Company shall be subrogated to the extent of such payment to all of the rights of recovery of Indemnitee (other than against the Fund Indemnitors). Indemnitee shall execute all papers required and shall do everything that may be necessary to secure such rights, including the execution of such documents necessary to enable the Company effectively to bring suit to enforce such rights.</w:t>
      </w:r>
    </w:p>
    <w:p>
      <w:pPr>
        <w:spacing w:after="0" w:line="107" w:lineRule="exact"/>
        <w:rPr>
          <w:rFonts w:ascii="Times New Roman" w:cs="Times New Roman" w:eastAsia="Times New Roman" w:hAnsi="Times New Roman"/>
          <w:sz w:val="14"/>
          <w:szCs w:val="14"/>
          <w:color w:val="auto"/>
        </w:rPr>
      </w:pPr>
    </w:p>
    <w:p>
      <w:pPr>
        <w:jc w:val="both"/>
        <w:ind w:firstLine="424"/>
        <w:spacing w:after="0" w:line="221" w:lineRule="auto"/>
        <w:tabs>
          <w:tab w:leader="none" w:pos="8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Waivers</w:t>
      </w:r>
      <w:r>
        <w:rPr>
          <w:rFonts w:ascii="Times New Roman" w:cs="Times New Roman" w:eastAsia="Times New Roman" w:hAnsi="Times New Roman"/>
          <w:sz w:val="14"/>
          <w:szCs w:val="14"/>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00" w:lineRule="exact"/>
        <w:rPr>
          <w:rFonts w:ascii="Times New Roman" w:cs="Times New Roman" w:eastAsia="Times New Roman" w:hAnsi="Times New Roman"/>
          <w:sz w:val="14"/>
          <w:szCs w:val="14"/>
          <w:color w:val="auto"/>
        </w:rPr>
      </w:pPr>
    </w:p>
    <w:p>
      <w:pPr>
        <w:ind w:left="820" w:hanging="396"/>
        <w:spacing w:after="0"/>
        <w:tabs>
          <w:tab w:leader="none" w:pos="8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Enforcement and Binding Effect</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jc w:val="both"/>
        <w:ind w:firstLine="856"/>
        <w:spacing w:after="0" w:line="233" w:lineRule="auto"/>
        <w:tabs>
          <w:tab w:leader="none" w:pos="1267"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expressly confirms and agrees that it has entered into this Agreement and assumed the obligations imposed on it hereby in order to induce Indemnitee to serve or continue to service as a director or officer of the Company, and the Company acknowledges that Indemnitee is relying upon this Agreement in serving or continuing to serve as a director or officer of the Company.</w:t>
      </w:r>
    </w:p>
    <w:p>
      <w:pPr>
        <w:spacing w:after="0" w:line="98" w:lineRule="exact"/>
        <w:rPr>
          <w:rFonts w:ascii="Times New Roman" w:cs="Times New Roman" w:eastAsia="Times New Roman" w:hAnsi="Times New Roman"/>
          <w:sz w:val="14"/>
          <w:szCs w:val="14"/>
          <w:color w:val="auto"/>
        </w:rPr>
      </w:pPr>
    </w:p>
    <w:p>
      <w:pPr>
        <w:jc w:val="both"/>
        <w:ind w:firstLine="856"/>
        <w:spacing w:after="0" w:line="225" w:lineRule="auto"/>
        <w:tabs>
          <w:tab w:leader="none" w:pos="1257"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any of the rights of Indemnitee under any Other Indemnity Provisions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Constituent Documents, any directors’ and officers’ insurance maintained by the Company and applicable law, and shall not be deemed a substitute therefor, nor to diminish or abrogate any rights of Indemnitee thereunder</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982" w:right="299" w:bottom="1440" w:gutter="0" w:footer="0" w:header="0"/>
        </w:sectPr>
      </w:pPr>
    </w:p>
    <w:bookmarkStart w:id="107" w:name="page108"/>
    <w:bookmarkEnd w:id="107"/>
    <w:p>
      <w:pPr>
        <w:jc w:val="both"/>
        <w:ind w:firstLine="856"/>
        <w:spacing w:after="0" w:line="220" w:lineRule="auto"/>
        <w:tabs>
          <w:tab w:leader="none" w:pos="1258"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spacing w:after="0" w:line="99" w:lineRule="exact"/>
        <w:rPr>
          <w:rFonts w:ascii="Times New Roman" w:cs="Times New Roman" w:eastAsia="Times New Roman" w:hAnsi="Times New Roman"/>
          <w:sz w:val="14"/>
          <w:szCs w:val="14"/>
          <w:color w:val="auto"/>
        </w:rPr>
      </w:pPr>
    </w:p>
    <w:p>
      <w:pPr>
        <w:jc w:val="both"/>
        <w:ind w:firstLine="424"/>
        <w:spacing w:after="0" w:line="221" w:lineRule="auto"/>
        <w:tabs>
          <w:tab w:leader="none" w:pos="82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09" w:lineRule="exact"/>
        <w:rPr>
          <w:rFonts w:ascii="Times New Roman" w:cs="Times New Roman" w:eastAsia="Times New Roman" w:hAnsi="Times New Roman"/>
          <w:sz w:val="14"/>
          <w:szCs w:val="14"/>
          <w:color w:val="auto"/>
        </w:rPr>
      </w:pPr>
    </w:p>
    <w:p>
      <w:pPr>
        <w:ind w:firstLine="424"/>
        <w:spacing w:after="0" w:line="235" w:lineRule="auto"/>
        <w:tabs>
          <w:tab w:leader="none" w:pos="82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demands and other communications hereunder shall be in writing and shall be deemed to have been duly given if delivered by hand, against receipt, or mailed, by postage prepaid, certified or registered mail:</w:t>
      </w:r>
    </w:p>
    <w:p>
      <w:pPr>
        <w:spacing w:after="0" w:line="98"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Indemnitee, to the address set forth on the signature page hereto.</w:t>
      </w:r>
    </w:p>
    <w:p>
      <w:pPr>
        <w:spacing w:after="0" w:line="127" w:lineRule="exact"/>
        <w:rPr>
          <w:rFonts w:ascii="Times New Roman" w:cs="Times New Roman" w:eastAsia="Times New Roman" w:hAnsi="Times New Roman"/>
          <w:sz w:val="14"/>
          <w:szCs w:val="14"/>
          <w:color w:val="auto"/>
        </w:rPr>
      </w:pPr>
    </w:p>
    <w:p>
      <w:pPr>
        <w:ind w:left="1240" w:hanging="384"/>
        <w:spacing w:after="0"/>
        <w:tabs>
          <w:tab w:leader="none" w:pos="12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 to:</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AppFolio, Inc.</w:t>
      </w:r>
    </w:p>
    <w:p>
      <w:pPr>
        <w:ind w:left="1720"/>
        <w:spacing w:after="0" w:line="201" w:lineRule="auto"/>
        <w:rPr>
          <w:sz w:val="20"/>
          <w:szCs w:val="20"/>
          <w:color w:val="auto"/>
        </w:rPr>
      </w:pPr>
      <w:r>
        <w:rPr>
          <w:rFonts w:ascii="Times New Roman" w:cs="Times New Roman" w:eastAsia="Times New Roman" w:hAnsi="Times New Roman"/>
          <w:sz w:val="14"/>
          <w:szCs w:val="14"/>
          <w:color w:val="auto"/>
        </w:rPr>
        <w:t>Attn: Chief Legal Officer</w:t>
      </w:r>
    </w:p>
    <w:p>
      <w:pPr>
        <w:ind w:left="1720"/>
        <w:spacing w:after="0" w:line="201" w:lineRule="auto"/>
        <w:rPr>
          <w:sz w:val="20"/>
          <w:szCs w:val="20"/>
          <w:color w:val="auto"/>
        </w:rPr>
      </w:pPr>
      <w:r>
        <w:rPr>
          <w:rFonts w:ascii="Times New Roman" w:cs="Times New Roman" w:eastAsia="Times New Roman" w:hAnsi="Times New Roman"/>
          <w:sz w:val="14"/>
          <w:szCs w:val="14"/>
          <w:color w:val="auto"/>
        </w:rPr>
        <w:t>70 Castilian Drive</w:t>
      </w:r>
    </w:p>
    <w:p>
      <w:pPr>
        <w:ind w:left="1720"/>
        <w:spacing w:after="0"/>
        <w:rPr>
          <w:sz w:val="20"/>
          <w:szCs w:val="20"/>
          <w:color w:val="auto"/>
        </w:rPr>
      </w:pPr>
      <w:r>
        <w:rPr>
          <w:rFonts w:ascii="Times New Roman" w:cs="Times New Roman" w:eastAsia="Times New Roman" w:hAnsi="Times New Roman"/>
          <w:sz w:val="14"/>
          <w:szCs w:val="14"/>
          <w:color w:val="auto"/>
        </w:rPr>
        <w:t>Santa Barbara, California 93117</w:t>
      </w:r>
    </w:p>
    <w:p>
      <w:pPr>
        <w:spacing w:after="0" w:line="111" w:lineRule="exact"/>
        <w:rPr>
          <w:sz w:val="20"/>
          <w:szCs w:val="20"/>
          <w:color w:val="auto"/>
        </w:rPr>
      </w:pPr>
    </w:p>
    <w:p>
      <w:pPr>
        <w:ind w:firstLine="185"/>
        <w:spacing w:after="0" w:line="235" w:lineRule="auto"/>
        <w:rPr>
          <w:sz w:val="20"/>
          <w:szCs w:val="20"/>
          <w:color w:val="auto"/>
        </w:rPr>
      </w:pPr>
      <w:r>
        <w:rPr>
          <w:rFonts w:ascii="Times New Roman" w:cs="Times New Roman" w:eastAsia="Times New Roman" w:hAnsi="Times New Roman"/>
          <w:sz w:val="14"/>
          <w:szCs w:val="14"/>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pacing w:after="0" w:line="99" w:lineRule="exact"/>
        <w:rPr>
          <w:sz w:val="20"/>
          <w:szCs w:val="20"/>
          <w:color w:val="auto"/>
        </w:rPr>
      </w:pPr>
    </w:p>
    <w:p>
      <w:pPr>
        <w:jc w:val="both"/>
        <w:ind w:firstLine="424"/>
        <w:spacing w:after="0" w:line="220" w:lineRule="auto"/>
        <w:tabs>
          <w:tab w:leader="none" w:pos="82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and Forum</w:t>
      </w:r>
      <w:r>
        <w:rPr>
          <w:rFonts w:ascii="Times New Roman" w:cs="Times New Roman" w:eastAsia="Times New Roman" w:hAnsi="Times New Roman"/>
          <w:sz w:val="14"/>
          <w:szCs w:val="14"/>
          <w:color w:val="auto"/>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or any other country, (b) consent to submit to the exclusive jurisdiction of the Delaware Court for purposes of any action or proceeding arising out of or in connection with this Agreement and (c) waive, and agree not to plead or make, any claim that the Delaware Court lacks venue or that any such action or proceeding brought in the Delaware Court has been brought in an improper or inconvenient forum.</w:t>
      </w:r>
    </w:p>
    <w:p>
      <w:pPr>
        <w:spacing w:after="0" w:line="99" w:lineRule="exact"/>
        <w:rPr>
          <w:rFonts w:ascii="Times New Roman" w:cs="Times New Roman" w:eastAsia="Times New Roman" w:hAnsi="Times New Roman"/>
          <w:sz w:val="14"/>
          <w:szCs w:val="14"/>
          <w:color w:val="auto"/>
        </w:rPr>
      </w:pPr>
    </w:p>
    <w:p>
      <w:pPr>
        <w:ind w:firstLine="424"/>
        <w:spacing w:after="0" w:line="235" w:lineRule="auto"/>
        <w:tabs>
          <w:tab w:leader="none" w:pos="83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sections and paragraphs of this Agreement are inserted for convenience only and shall not be deemed to constitute part of this Agreement or to affect the construction or interpretation thereof.</w:t>
      </w:r>
    </w:p>
    <w:p>
      <w:pPr>
        <w:spacing w:after="0" w:line="107" w:lineRule="exact"/>
        <w:rPr>
          <w:rFonts w:ascii="Times New Roman" w:cs="Times New Roman" w:eastAsia="Times New Roman" w:hAnsi="Times New Roman"/>
          <w:sz w:val="14"/>
          <w:szCs w:val="14"/>
          <w:color w:val="auto"/>
        </w:rPr>
      </w:pPr>
    </w:p>
    <w:p>
      <w:pPr>
        <w:ind w:firstLine="424"/>
        <w:spacing w:after="0" w:line="235" w:lineRule="auto"/>
        <w:tabs>
          <w:tab w:leader="none" w:pos="82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one or more counterparts, each of which shall for all purposes be deemed to be an original, but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982" w:right="29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 Signature Page Follows]</w:t>
      </w:r>
    </w:p>
    <w:p>
      <w:pPr>
        <w:sectPr>
          <w:pgSz w:w="11900" w:h="16838" w:orient="portrait"/>
          <w:cols w:equalWidth="0" w:num="1">
            <w:col w:w="9019"/>
          </w:cols>
          <w:pgMar w:left="1440" w:top="9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-14-</w:t>
      </w:r>
    </w:p>
    <w:p>
      <w:pPr>
        <w:sectPr>
          <w:pgSz w:w="11900" w:h="16838" w:orient="portrait"/>
          <w:cols w:equalWidth="0" w:num="1">
            <w:col w:w="9019"/>
          </w:cols>
          <w:pgMar w:left="1440" w:top="980" w:right="1440"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color w:val="auto"/>
        </w:rPr>
        <w:t>IN WITNESS WHEREOF, the parties hereto have executed this Agreement as of the date first above written.</w:t>
      </w:r>
    </w:p>
    <w:p>
      <w:pPr>
        <w:spacing w:after="0" w:line="27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APPFOLIO, INC.</w:t>
      </w:r>
    </w:p>
    <w:p>
      <w:pPr>
        <w:spacing w:after="0" w:line="26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-7620</wp:posOffset>
            </wp:positionV>
            <wp:extent cx="8763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87630" cy="5715"/>
                    </a:xfrm>
                    <a:prstGeom prst="rect">
                      <a:avLst/>
                    </a:prstGeom>
                    <a:noFill/>
                  </pic:spPr>
                </pic:pic>
              </a:graphicData>
            </a:graphic>
          </wp:anchor>
        </w:drawing>
      </w:r>
    </w:p>
    <w:p>
      <w:pPr>
        <w:spacing w:after="0" w:line="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-7620</wp:posOffset>
            </wp:positionV>
            <wp:extent cx="8763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87630" cy="5715"/>
                    </a:xfrm>
                    <a:prstGeom prst="rect">
                      <a:avLst/>
                    </a:prstGeom>
                    <a:noFill/>
                  </pic:spPr>
                </pic:pic>
              </a:graphicData>
            </a:graphic>
          </wp:anchor>
        </w:drawing>
      </w:r>
    </w:p>
    <w:p>
      <w:pPr>
        <w:spacing w:after="0" w:line="1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8763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87630" cy="5715"/>
                    </a:xfrm>
                    <a:prstGeom prst="rect">
                      <a:avLst/>
                    </a:prstGeom>
                    <a:noFill/>
                  </pic:spPr>
                </pic:pic>
              </a:graphicData>
            </a:graphic>
          </wp:anchor>
        </w:drawing>
      </w:r>
    </w:p>
    <w:p>
      <w:pPr>
        <w:spacing w:after="0" w:line="24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375920</wp:posOffset>
            </wp:positionV>
            <wp:extent cx="8763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876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-93345</wp:posOffset>
            </wp:positionV>
            <wp:extent cx="8763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87630" cy="5715"/>
                    </a:xfrm>
                    <a:prstGeom prst="rect">
                      <a:avLst/>
                    </a:prstGeom>
                    <a:noFill/>
                  </pic:spPr>
                </pic:pic>
              </a:graphicData>
            </a:graphic>
          </wp:anchor>
        </w:drawing>
      </w:r>
    </w:p>
    <w:p>
      <w:pPr>
        <w:spacing w:after="0" w:line="96"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14"/>
          <w:szCs w:val="14"/>
          <w:b w:val="1"/>
          <w:bCs w:val="1"/>
          <w:i w:val="1"/>
          <w:iCs w:val="1"/>
          <w:color w:val="auto"/>
        </w:rPr>
        <w:t>Address:</w:t>
      </w:r>
      <w:r>
        <w:rPr>
          <w:sz w:val="20"/>
          <w:szCs w:val="20"/>
          <w:color w:val="auto"/>
        </w:rPr>
        <w:tab/>
      </w:r>
      <w:r>
        <w:rPr>
          <w:rFonts w:ascii="Times New Roman" w:cs="Times New Roman" w:eastAsia="Times New Roman" w:hAnsi="Times New Roman"/>
          <w:sz w:val="13"/>
          <w:szCs w:val="13"/>
          <w:b w:val="1"/>
          <w:bCs w:val="1"/>
          <w:i w:val="1"/>
          <w:iCs w:val="1"/>
          <w:color w:val="auto"/>
        </w:rPr>
        <w:t>70 Castilian Drive</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i w:val="1"/>
          <w:iCs w:val="1"/>
          <w:color w:val="auto"/>
        </w:rPr>
        <w:t>Santa Barbara, CA 93117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2"/>
          <w:szCs w:val="12"/>
          <w:i w:val="1"/>
          <w:iCs w:val="1"/>
          <w:color w:val="auto"/>
        </w:rPr>
        <w:t>[Signature Page to Indemnification Agreement]</w:t>
      </w:r>
    </w:p>
    <w:p>
      <w:pPr>
        <w:sectPr>
          <w:pgSz w:w="11900" w:h="16838" w:orient="portrait"/>
          <w:cols w:equalWidth="0" w:num="1">
            <w:col w:w="9739"/>
          </w:cols>
          <w:pgMar w:left="720" w:top="982" w:right="1440" w:bottom="1440"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68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w w:val="99"/>
              </w:rPr>
              <w:t>Exhibit 21.1</w:t>
            </w:r>
          </w:p>
        </w:tc>
      </w:tr>
      <w:tr>
        <w:trPr>
          <w:trHeight w:val="459"/>
        </w:trPr>
        <w:tc>
          <w:tcPr>
            <w:tcW w:w="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List of Subsidiaries of the Registrant</w:t>
            </w:r>
          </w:p>
        </w:tc>
      </w:tr>
      <w:tr>
        <w:trPr>
          <w:trHeight w:val="667"/>
        </w:trPr>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w w:val="97"/>
              </w:rPr>
              <w:t>Name of Subsidiary</w:t>
            </w:r>
          </w:p>
        </w:tc>
        <w:tc>
          <w:tcPr>
            <w:tcW w:w="2120" w:type="dxa"/>
            <w:vAlign w:val="bottom"/>
          </w:tcPr>
          <w:p>
            <w:pPr>
              <w:spacing w:after="0"/>
              <w:rPr>
                <w:sz w:val="24"/>
                <w:szCs w:val="24"/>
                <w:color w:val="auto"/>
              </w:rPr>
            </w:pPr>
          </w:p>
        </w:tc>
        <w:tc>
          <w:tcPr>
            <w:tcW w:w="770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Jurisdiction of Incorporation or Organization</w:t>
            </w:r>
          </w:p>
        </w:tc>
      </w:tr>
      <w:tr>
        <w:trPr>
          <w:trHeight w:val="20"/>
        </w:trPr>
        <w:tc>
          <w:tcPr>
            <w:tcW w:w="9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8"/>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AppFolio Insurance Services,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California</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AppFolio Investment Management,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California</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Move EZ,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Delaware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Terra Mar Insurance Company,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Hawaii</w:t>
            </w:r>
          </w:p>
        </w:tc>
      </w:tr>
      <w:tr>
        <w:trPr>
          <w:trHeight w:val="155"/>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Home Concierge Move Easy Private Limited</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India</w:t>
            </w:r>
          </w:p>
        </w:tc>
      </w:tr>
    </w:tbl>
    <w:p>
      <w:pPr>
        <w:sectPr>
          <w:pgSz w:w="11900" w:h="16838" w:orient="portrait"/>
          <w:cols w:equalWidth="0" w:num="1">
            <w:col w:w="10780"/>
          </w:cols>
          <w:pgMar w:left="820" w:top="920" w:right="2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63" w:lineRule="exact"/>
        <w:rPr>
          <w:sz w:val="20"/>
          <w:szCs w:val="20"/>
          <w:color w:val="auto"/>
        </w:rPr>
      </w:pPr>
    </w:p>
    <w:p>
      <w:pPr>
        <w:jc w:val="center"/>
        <w:spacing w:after="0"/>
        <w:rPr>
          <w:sz w:val="20"/>
          <w:szCs w:val="20"/>
          <w:color w:val="auto"/>
        </w:rPr>
      </w:pPr>
      <w:r>
        <w:rPr>
          <w:rFonts w:ascii="Georgia" w:cs="Georgia" w:eastAsia="Georgia" w:hAnsi="Georgia"/>
          <w:sz w:val="12"/>
          <w:szCs w:val="12"/>
          <w:color w:val="auto"/>
        </w:rPr>
        <w:t>CONSENT OF INDEPENDENT REGISTERED PUBLIC ACCOUNTING FIRM</w:t>
      </w:r>
    </w:p>
    <w:p>
      <w:pPr>
        <w:spacing w:after="0" w:line="242" w:lineRule="exact"/>
        <w:rPr>
          <w:sz w:val="20"/>
          <w:szCs w:val="20"/>
          <w:color w:val="auto"/>
        </w:rPr>
      </w:pPr>
    </w:p>
    <w:p>
      <w:pPr>
        <w:jc w:val="both"/>
        <w:spacing w:after="0" w:line="245" w:lineRule="auto"/>
        <w:rPr>
          <w:sz w:val="20"/>
          <w:szCs w:val="20"/>
          <w:color w:val="auto"/>
        </w:rPr>
      </w:pPr>
      <w:r>
        <w:rPr>
          <w:rFonts w:ascii="Georgia" w:cs="Georgia" w:eastAsia="Georgia" w:hAnsi="Georgia"/>
          <w:sz w:val="12"/>
          <w:szCs w:val="12"/>
          <w:color w:val="auto"/>
        </w:rPr>
        <w:t>We hereby consent to the incorporation by reference in the Registration Statements on Form S-8 (No. 333-281024, No. 333-276819, No. 333-269664, No. 333-263096, No. 333-236818, No. 333-229970, No. 333-223231, No. 333-216274, No. 333-209792, and No. 333-206179) of AppFolio, Inc. of our report dated February 6, 2025 relating to the financial statements and the effectiveness of internal control over financial reporting which appears in this Form 10-K.</w:t>
      </w:r>
    </w:p>
    <w:p>
      <w:pPr>
        <w:spacing w:after="0" w:line="148" w:lineRule="exact"/>
        <w:rPr>
          <w:sz w:val="20"/>
          <w:szCs w:val="20"/>
          <w:color w:val="auto"/>
        </w:rPr>
      </w:pPr>
    </w:p>
    <w:p>
      <w:pPr>
        <w:spacing w:after="0"/>
        <w:rPr>
          <w:sz w:val="20"/>
          <w:szCs w:val="20"/>
          <w:color w:val="auto"/>
        </w:rPr>
      </w:pPr>
      <w:r>
        <w:rPr>
          <w:rFonts w:ascii="Georgia" w:cs="Georgia" w:eastAsia="Georgia" w:hAnsi="Georgia"/>
          <w:sz w:val="12"/>
          <w:szCs w:val="12"/>
          <w:color w:val="auto"/>
        </w:rPr>
        <w:t>/s/ PricewaterhouseCoopers LLP</w:t>
      </w:r>
    </w:p>
    <w:p>
      <w:pPr>
        <w:spacing w:after="0" w:line="237" w:lineRule="auto"/>
        <w:rPr>
          <w:sz w:val="20"/>
          <w:szCs w:val="20"/>
          <w:color w:val="auto"/>
        </w:rPr>
      </w:pPr>
      <w:r>
        <w:rPr>
          <w:rFonts w:ascii="Georgia" w:cs="Georgia" w:eastAsia="Georgia" w:hAnsi="Georgia"/>
          <w:sz w:val="12"/>
          <w:szCs w:val="12"/>
          <w:color w:val="auto"/>
        </w:rPr>
        <w:t>Los Angeles, California</w:t>
      </w:r>
    </w:p>
    <w:p>
      <w:pPr>
        <w:spacing w:after="0"/>
        <w:rPr>
          <w:sz w:val="20"/>
          <w:szCs w:val="20"/>
          <w:color w:val="auto"/>
        </w:rPr>
      </w:pPr>
      <w:r>
        <w:rPr>
          <w:rFonts w:ascii="Georgia" w:cs="Georgia" w:eastAsia="Georgia" w:hAnsi="Georgia"/>
          <w:sz w:val="12"/>
          <w:szCs w:val="12"/>
          <w:color w:val="auto"/>
        </w:rPr>
        <w:t>February 6, 2025</w:t>
      </w:r>
    </w:p>
    <w:p>
      <w:pPr>
        <w:sectPr>
          <w:pgSz w:w="11900" w:h="16838" w:orient="portrait"/>
          <w:cols w:equalWidth="0" w:num="1">
            <w:col w:w="11300"/>
          </w:cols>
          <w:pgMar w:left="300" w:top="638" w:right="2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Shane Trigg, certify that:</w:t>
      </w:r>
    </w:p>
    <w:p>
      <w:pPr>
        <w:spacing w:after="0" w:line="96" w:lineRule="exact"/>
        <w:rPr>
          <w:sz w:val="20"/>
          <w:szCs w:val="20"/>
          <w:color w:val="auto"/>
        </w:rPr>
      </w:pPr>
    </w:p>
    <w:p>
      <w:pPr>
        <w:ind w:left="1100" w:hanging="1096"/>
        <w:spacing w:after="0"/>
        <w:tabs>
          <w:tab w:leader="none" w:pos="11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AppFolio, Inc.;</w:t>
      </w:r>
    </w:p>
    <w:p>
      <w:pPr>
        <w:spacing w:after="0" w:line="87" w:lineRule="exact"/>
        <w:rPr>
          <w:rFonts w:ascii="Times New Roman" w:cs="Times New Roman" w:eastAsia="Times New Roman" w:hAnsi="Times New Roman"/>
          <w:sz w:val="12"/>
          <w:szCs w:val="12"/>
          <w:color w:val="auto"/>
        </w:rPr>
      </w:pPr>
    </w:p>
    <w:p>
      <w:pPr>
        <w:ind w:left="1100" w:right="20" w:hanging="1096"/>
        <w:spacing w:after="0" w:line="248" w:lineRule="auto"/>
        <w:tabs>
          <w:tab w:leader="none" w:pos="11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79" w:lineRule="exact"/>
        <w:rPr>
          <w:rFonts w:ascii="Times New Roman" w:cs="Times New Roman" w:eastAsia="Times New Roman" w:hAnsi="Times New Roman"/>
          <w:sz w:val="12"/>
          <w:szCs w:val="12"/>
          <w:color w:val="auto"/>
        </w:rPr>
      </w:pPr>
    </w:p>
    <w:p>
      <w:pPr>
        <w:ind w:left="2300" w:right="40" w:hanging="528"/>
        <w:spacing w:after="0" w:line="248" w:lineRule="auto"/>
        <w:tabs>
          <w:tab w:leader="none" w:pos="230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2"/>
          <w:szCs w:val="12"/>
          <w:color w:val="auto"/>
        </w:rPr>
      </w:pPr>
    </w:p>
    <w:p>
      <w:pPr>
        <w:ind w:left="2300" w:right="300" w:hanging="528"/>
        <w:spacing w:after="0" w:line="275" w:lineRule="auto"/>
        <w:tabs>
          <w:tab w:leader="none" w:pos="2300" w:val="left"/>
        </w:tabs>
        <w:numPr>
          <w:ilvl w:val="2"/>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1"/>
          <w:szCs w:val="11"/>
          <w:color w:val="auto"/>
        </w:rPr>
      </w:pPr>
    </w:p>
    <w:p>
      <w:pPr>
        <w:ind w:left="2300" w:right="40" w:hanging="528"/>
        <w:spacing w:after="0" w:line="236" w:lineRule="auto"/>
        <w:tabs>
          <w:tab w:leader="none" w:pos="230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2"/>
          <w:szCs w:val="12"/>
          <w:color w:val="auto"/>
        </w:rPr>
      </w:pPr>
    </w:p>
    <w:p>
      <w:pPr>
        <w:ind w:left="2300" w:right="40" w:hanging="528"/>
        <w:spacing w:after="0" w:line="248" w:lineRule="auto"/>
        <w:tabs>
          <w:tab w:leader="none" w:pos="2300" w:val="left"/>
        </w:tabs>
        <w:numPr>
          <w:ilvl w:val="2"/>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2"/>
          <w:szCs w:val="12"/>
          <w:color w:val="auto"/>
        </w:rPr>
      </w:pPr>
    </w:p>
    <w:p>
      <w:pPr>
        <w:ind w:left="2280" w:right="20" w:hanging="530"/>
        <w:spacing w:after="0" w:line="236" w:lineRule="auto"/>
        <w:tabs>
          <w:tab w:leader="none" w:pos="2280"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12"/>
          <w:szCs w:val="12"/>
          <w:color w:val="auto"/>
        </w:rPr>
      </w:pPr>
    </w:p>
    <w:p>
      <w:pPr>
        <w:ind w:left="2280" w:hanging="530"/>
        <w:spacing w:after="0"/>
        <w:tabs>
          <w:tab w:leader="none" w:pos="2280"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spacing w:after="0"/>
        <w:tabs>
          <w:tab w:leader="none" w:pos="680" w:val="left"/>
          <w:tab w:leader="none" w:pos="588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6, 2025</w:t>
      </w:r>
      <w:r>
        <w:rPr>
          <w:sz w:val="20"/>
          <w:szCs w:val="20"/>
          <w:color w:val="auto"/>
        </w:rPr>
        <w:tab/>
      </w:r>
      <w:r>
        <w:rPr>
          <w:rFonts w:ascii="Times New Roman" w:cs="Times New Roman" w:eastAsia="Times New Roman" w:hAnsi="Times New Roman"/>
          <w:sz w:val="12"/>
          <w:szCs w:val="12"/>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10795</wp:posOffset>
            </wp:positionV>
            <wp:extent cx="34004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3400425" cy="5715"/>
                    </a:xfrm>
                    <a:prstGeom prst="rect">
                      <a:avLst/>
                    </a:prstGeom>
                    <a:noFill/>
                  </pic:spPr>
                </pic:pic>
              </a:graphicData>
            </a:graphic>
          </wp:anchor>
        </w:drawing>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Shane Trigg</w:t>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300"/>
          </w:cols>
          <w:pgMar w:left="300" w:top="989" w:right="29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Tim Eaton, certify that:</w:t>
      </w:r>
    </w:p>
    <w:p>
      <w:pPr>
        <w:spacing w:after="0" w:line="96" w:lineRule="exact"/>
        <w:rPr>
          <w:sz w:val="20"/>
          <w:szCs w:val="20"/>
          <w:color w:val="auto"/>
        </w:rPr>
      </w:pPr>
    </w:p>
    <w:p>
      <w:pPr>
        <w:ind w:left="1120" w:hanging="1116"/>
        <w:spacing w:after="0"/>
        <w:tabs>
          <w:tab w:leader="none" w:pos="11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AppFolio, Inc.;</w:t>
      </w:r>
    </w:p>
    <w:p>
      <w:pPr>
        <w:spacing w:after="0" w:line="87" w:lineRule="exact"/>
        <w:rPr>
          <w:rFonts w:ascii="Times New Roman" w:cs="Times New Roman" w:eastAsia="Times New Roman" w:hAnsi="Times New Roman"/>
          <w:sz w:val="12"/>
          <w:szCs w:val="12"/>
          <w:color w:val="auto"/>
        </w:rPr>
      </w:pPr>
    </w:p>
    <w:p>
      <w:pPr>
        <w:ind w:left="1100" w:right="20" w:hanging="1096"/>
        <w:spacing w:after="0" w:line="248" w:lineRule="auto"/>
        <w:tabs>
          <w:tab w:leader="none" w:pos="11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96" w:lineRule="exact"/>
        <w:rPr>
          <w:rFonts w:ascii="Times New Roman" w:cs="Times New Roman" w:eastAsia="Times New Roman" w:hAnsi="Times New Roman"/>
          <w:sz w:val="12"/>
          <w:szCs w:val="12"/>
          <w:color w:val="auto"/>
        </w:rPr>
      </w:pPr>
    </w:p>
    <w:p>
      <w:pPr>
        <w:ind w:left="2300" w:right="20" w:hanging="568"/>
        <w:spacing w:after="0" w:line="248" w:lineRule="auto"/>
        <w:tabs>
          <w:tab w:leader="none" w:pos="230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2"/>
          <w:szCs w:val="12"/>
          <w:color w:val="auto"/>
        </w:rPr>
      </w:pPr>
    </w:p>
    <w:p>
      <w:pPr>
        <w:ind w:left="2300" w:right="300" w:hanging="568"/>
        <w:spacing w:after="0" w:line="275" w:lineRule="auto"/>
        <w:tabs>
          <w:tab w:leader="none" w:pos="2300" w:val="left"/>
        </w:tabs>
        <w:numPr>
          <w:ilvl w:val="1"/>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1"/>
          <w:szCs w:val="11"/>
          <w:color w:val="auto"/>
        </w:rPr>
      </w:pPr>
    </w:p>
    <w:p>
      <w:pPr>
        <w:ind w:left="2300" w:right="20" w:hanging="568"/>
        <w:spacing w:after="0" w:line="236" w:lineRule="auto"/>
        <w:tabs>
          <w:tab w:leader="none" w:pos="230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2"/>
          <w:szCs w:val="12"/>
          <w:color w:val="auto"/>
        </w:rPr>
      </w:pPr>
    </w:p>
    <w:p>
      <w:pPr>
        <w:ind w:left="2300" w:right="20" w:hanging="568"/>
        <w:spacing w:after="0" w:line="248" w:lineRule="auto"/>
        <w:tabs>
          <w:tab w:leader="none" w:pos="230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2"/>
          <w:szCs w:val="12"/>
          <w:color w:val="auto"/>
        </w:rPr>
      </w:pPr>
    </w:p>
    <w:p>
      <w:pPr>
        <w:ind w:left="2400" w:right="20" w:hanging="650"/>
        <w:spacing w:after="0" w:line="236" w:lineRule="auto"/>
        <w:tabs>
          <w:tab w:leader="none" w:pos="2400" w:val="left"/>
        </w:tabs>
        <w:numPr>
          <w:ilvl w:val="2"/>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12"/>
          <w:szCs w:val="12"/>
          <w:color w:val="auto"/>
        </w:rPr>
      </w:pPr>
    </w:p>
    <w:p>
      <w:pPr>
        <w:ind w:left="2400" w:hanging="650"/>
        <w:spacing w:after="0"/>
        <w:tabs>
          <w:tab w:leader="none" w:pos="2400" w:val="left"/>
        </w:tabs>
        <w:numPr>
          <w:ilvl w:val="2"/>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10795</wp:posOffset>
            </wp:positionV>
            <wp:extent cx="341757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Tim Eaton</w:t>
      </w:r>
    </w:p>
    <w:p>
      <w:pPr>
        <w:spacing w:after="0" w:line="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Interim Chief Financial Officer</w:t>
      </w:r>
    </w:p>
    <w:p>
      <w:pPr>
        <w:sectPr>
          <w:pgSz w:w="11900" w:h="16838" w:orient="portrait"/>
          <w:cols w:equalWidth="0" w:num="1">
            <w:col w:w="11300"/>
          </w:cols>
          <w:pgMar w:left="300" w:top="989" w:right="2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906 OF THE SARBANES-OXLEY ACT OF 2002</w:t>
      </w:r>
    </w:p>
    <w:p>
      <w:pPr>
        <w:spacing w:after="0" w:line="15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following certifications are hereby made in connection with the Annual Report on Form 10-K of AppFolio, Inc. (the “Company”) for the period ended December 31, 2024, as filed with the Securities and Exchange Commission on the date hereof (the “Report”):</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February 6, 2025</w:t>
            </w:r>
          </w:p>
        </w:tc>
        <w:tc>
          <w:tcPr>
            <w:tcW w:w="234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Shane Trigg</w:t>
            </w:r>
          </w:p>
        </w:tc>
      </w:tr>
      <w:tr>
        <w:trPr>
          <w:trHeight w:val="140"/>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Shane Trigg</w:t>
            </w:r>
          </w:p>
        </w:tc>
      </w:tr>
      <w:tr>
        <w:trPr>
          <w:trHeight w:val="155"/>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36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 Tim Eaton, Interim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February 6, 2025</w:t>
            </w:r>
          </w:p>
        </w:tc>
        <w:tc>
          <w:tcPr>
            <w:tcW w:w="234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Tim Eaton</w:t>
            </w:r>
          </w:p>
        </w:tc>
      </w:tr>
      <w:tr>
        <w:trPr>
          <w:trHeight w:val="140"/>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Tim Eaton</w:t>
            </w:r>
          </w:p>
        </w:tc>
      </w:tr>
      <w:tr>
        <w:trPr>
          <w:trHeight w:val="155"/>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Interim Chief Financial Officer</w:t>
            </w:r>
          </w:p>
        </w:tc>
      </w:tr>
    </w:tbl>
    <w:p>
      <w:pPr>
        <w:spacing w:after="0" w:line="1" w:lineRule="exact"/>
        <w:rPr>
          <w:sz w:val="20"/>
          <w:szCs w:val="20"/>
          <w:color w:val="auto"/>
        </w:rPr>
      </w:pPr>
    </w:p>
    <w:sectPr>
      <w:pgSz w:w="11900" w:h="16838" w:orient="portrait"/>
      <w:cols w:equalWidth="0" w:num="1">
        <w:col w:w="11300"/>
      </w:cols>
      <w:pgMar w:left="300" w:top="115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decimal"/>
      <w:start w:val="2"/>
    </w:lvl>
  </w:abstractNum>
  <w:abstractNum w:abstractNumId="12">
    <w:nsid w:val="2901D82"/>
    <w:multiLevelType w:val="hybridMultilevel"/>
    <w:lvl w:ilvl="0">
      <w:lvlJc w:val="left"/>
      <w:lvlText w:val="%1."/>
      <w:numFmt w:val="decimal"/>
      <w:start w:val="3"/>
    </w:lvl>
  </w:abstractNum>
  <w:abstractNum w:abstractNumId="13">
    <w:nsid w:val="3A95F874"/>
    <w:multiLevelType w:val="hybridMultilevel"/>
    <w:lvl w:ilvl="0">
      <w:lvlJc w:val="left"/>
      <w:lvlText w:val="%1."/>
      <w:numFmt w:val="decimal"/>
      <w:start w:val="4"/>
    </w:lvl>
  </w:abstractNum>
  <w:abstractNum w:abstractNumId="14">
    <w:nsid w:val="8138641"/>
    <w:multiLevelType w:val="hybridMultilevel"/>
    <w:lvl w:ilvl="0">
      <w:lvlJc w:val="left"/>
      <w:lvlText w:val="%1."/>
      <w:numFmt w:val="decimal"/>
      <w:start w:val="12"/>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lowerRoman"/>
      <w:start w:val="2"/>
    </w:lvl>
  </w:abstractNum>
  <w:abstractNum w:abstractNumId="17">
    <w:nsid w:val="737B8DDC"/>
    <w:multiLevelType w:val="hybridMultilevel"/>
    <w:lvl w:ilvl="0">
      <w:lvlJc w:val="left"/>
      <w:lvlText w:val="(%1)"/>
      <w:numFmt w:val="lowerLetter"/>
      <w:start w:val="2"/>
    </w:lvl>
  </w:abstractNum>
  <w:abstractNum w:abstractNumId="18">
    <w:nsid w:val="6CEAF087"/>
    <w:multiLevelType w:val="hybridMultilevel"/>
    <w:lvl w:ilvl="0">
      <w:lvlJc w:val="left"/>
      <w:lvlText w:val="(%1)"/>
      <w:numFmt w:val="lowerLetter"/>
      <w:start w:val="5"/>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upperLetter"/>
      <w:start w:val="1"/>
    </w:lvl>
    <w:lvl w:ilvl="1">
      <w:lvlJc w:val="left"/>
      <w:lvlText w:val="%2."/>
      <w:numFmt w:val="upperLetter"/>
      <w:start w:val="3"/>
    </w:lvl>
  </w:abstractNum>
  <w:abstractNum w:abstractNumId="23">
    <w:nsid w:val="419AC241"/>
    <w:multiLevelType w:val="hybridMultilevel"/>
    <w:lvl w:ilvl="0">
      <w:lvlJc w:val="left"/>
      <w:lvlText w:val="%1."/>
      <w:numFmt w:val="decimal"/>
      <w:start w:val="1"/>
    </w:lvl>
    <w:lvl w:ilvl="1">
      <w:lvlJc w:val="left"/>
      <w:lvlText w:val="(%2)"/>
      <w:numFmt w:val="lowerLetter"/>
      <w:start w:val="1"/>
    </w:lvl>
  </w:abstractNum>
  <w:abstractNum w:abstractNumId="24">
    <w:nsid w:val="5577F8E1"/>
    <w:multiLevelType w:val="hybridMultilevel"/>
    <w:lvl w:ilvl="0">
      <w:lvlJc w:val="left"/>
      <w:lvlText w:val="(%1)"/>
      <w:numFmt w:val="lowerLetter"/>
      <w:start w:val="3"/>
    </w:lvl>
    <w:lvl w:ilvl="1">
      <w:lvlJc w:val="left"/>
      <w:lvlText w:val="(%2)"/>
      <w:numFmt w:val="lowerRoman"/>
      <w:start w:val="1"/>
    </w:lvl>
  </w:abstractNum>
  <w:abstractNum w:abstractNumId="25">
    <w:nsid w:val="440BADFC"/>
    <w:multiLevelType w:val="hybridMultilevel"/>
    <w:lvl w:ilvl="0">
      <w:lvlJc w:val="left"/>
      <w:lvlText w:val="(%1)"/>
      <w:numFmt w:val="lowerLetter"/>
      <w:start w:val="7"/>
    </w:lvl>
  </w:abstractNum>
  <w:abstractNum w:abstractNumId="26">
    <w:nsid w:val="5072367"/>
    <w:multiLevelType w:val="hybridMultilevel"/>
    <w:lvl w:ilvl="0">
      <w:lvlJc w:val="left"/>
      <w:lvlText w:val="(%1)"/>
      <w:numFmt w:val="lowerLetter"/>
      <w:start w:val="9"/>
    </w:lvl>
  </w:abstractNum>
  <w:abstractNum w:abstractNumId="27">
    <w:nsid w:val="3804823E"/>
    <w:multiLevelType w:val="hybridMultilevel"/>
    <w:lvl w:ilvl="0">
      <w:lvlJc w:val="left"/>
      <w:lvlText w:val="%1"/>
      <w:numFmt w:val="decimal"/>
      <w:start w:val="1"/>
    </w:lvl>
    <w:lvl w:ilvl="1">
      <w:lvlJc w:val="left"/>
      <w:lvlText w:val="(%2)"/>
      <w:numFmt w:val="lowerLetter"/>
      <w:start w:val="19"/>
    </w:lvl>
  </w:abstractNum>
  <w:abstractNum w:abstractNumId="28">
    <w:nsid w:val="77465F01"/>
    <w:multiLevelType w:val="hybridMultilevel"/>
    <w:lvl w:ilvl="0">
      <w:lvlJc w:val="left"/>
      <w:lvlText w:val="%1."/>
      <w:numFmt w:val="decimal"/>
      <w:start w:val="3"/>
    </w:lvl>
    <w:lvl w:ilvl="1">
      <w:lvlJc w:val="left"/>
      <w:lvlText w:val="%2"/>
      <w:numFmt w:val="lowerLetter"/>
      <w:start w:val="1"/>
    </w:lvl>
  </w:abstractNum>
  <w:abstractNum w:abstractNumId="29">
    <w:nsid w:val="7724C67E"/>
    <w:multiLevelType w:val="hybridMultilevel"/>
    <w:lvl w:ilvl="0">
      <w:lvlJc w:val="left"/>
      <w:lvlText w:val="%1."/>
      <w:numFmt w:val="decimal"/>
      <w:start w:val="5"/>
    </w:lvl>
    <w:lvl w:ilvl="1">
      <w:lvlJc w:val="left"/>
      <w:lvlText w:val="(%2)"/>
      <w:numFmt w:val="lowerLetter"/>
      <w:start w:val="1"/>
    </w:lvl>
  </w:abstractNum>
  <w:abstractNum w:abstractNumId="30">
    <w:nsid w:val="5C482A97"/>
    <w:multiLevelType w:val="hybridMultilevel"/>
    <w:lvl w:ilvl="0">
      <w:lvlJc w:val="left"/>
      <w:lvlText w:val="%1."/>
      <w:numFmt w:val="decimal"/>
      <w:start w:val="9"/>
    </w:lvl>
  </w:abstractNum>
  <w:abstractNum w:abstractNumId="31">
    <w:nsid w:val="2463B9E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lowerLetter"/>
      <w:start w:val="4"/>
    </w:lvl>
    <w:lvl w:ilvl="1">
      <w:lvlJc w:val="left"/>
      <w:lvlText w:val="(%2)"/>
      <w:numFmt w:val="lowerRoman"/>
      <w:start w:val="1"/>
    </w:lvl>
  </w:abstractNum>
  <w:abstractNum w:abstractNumId="34">
    <w:nsid w:val="2D517796"/>
    <w:multiLevelType w:val="hybridMultilevel"/>
    <w:lvl w:ilvl="0">
      <w:lvlJc w:val="left"/>
      <w:lvlText w:val="(%1)"/>
      <w:numFmt w:val="lowerLetter"/>
      <w:start w:val="5"/>
    </w:lvl>
  </w:abstractNum>
  <w:abstractNum w:abstractNumId="35">
    <w:nsid w:val="580BD78F"/>
    <w:multiLevelType w:val="hybridMultilevel"/>
    <w:lvl w:ilvl="0">
      <w:lvlJc w:val="left"/>
      <w:lvlText w:val="(%1)"/>
      <w:numFmt w:val="lowerLetter"/>
      <w:start w:val="6"/>
    </w:lvl>
    <w:lvl w:ilvl="1">
      <w:lvlJc w:val="left"/>
      <w:lvlText w:val="(%2)"/>
      <w:numFmt w:val="lowerRoman"/>
      <w:start w:val="1"/>
    </w:lvl>
  </w:abstractNum>
  <w:abstractNum w:abstractNumId="36">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7">
    <w:nsid w:val="3855585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8">
    <w:nsid w:val="70A64E2A"/>
    <w:multiLevelType w:val="hybridMultilevel"/>
    <w:lvl w:ilvl="0">
      <w:lvlJc w:val="left"/>
      <w:lvlText w:val="%1."/>
      <w:numFmt w:val="decimal"/>
      <w:start w:val="13"/>
    </w:lvl>
  </w:abstractNum>
  <w:abstractNum w:abstractNumId="39">
    <w:nsid w:val="6A2342EC"/>
    <w:multiLevelType w:val="hybridMultilevel"/>
    <w:lvl w:ilvl="0">
      <w:lvlJc w:val="left"/>
      <w:lvlText w:val="%1."/>
      <w:numFmt w:val="decimal"/>
      <w:start w:val="17"/>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3"/>
    </w:lvl>
  </w:abstractNum>
  <w:abstractNum w:abstractNumId="41">
    <w:nsid w:val="1D4ED43B"/>
    <w:multiLevelType w:val="hybridMultilevel"/>
    <w:lvl w:ilvl="0">
      <w:lvlJc w:val="left"/>
      <w:lvlText w:val="%1."/>
      <w:numFmt w:val="decimal"/>
      <w:start w:val="21"/>
    </w:lvl>
    <w:lvl w:ilvl="1">
      <w:lvlJc w:val="left"/>
      <w:lvlText w:val="(%2)"/>
      <w:numFmt w:val="lowerLetter"/>
      <w:start w:val="1"/>
    </w:lvl>
  </w:abstractNum>
  <w:abstractNum w:abstractNumId="42">
    <w:nsid w:val="725A06FB"/>
    <w:multiLevelType w:val="hybridMultilevel"/>
    <w:lvl w:ilvl="0">
      <w:lvlJc w:val="left"/>
      <w:lvlText w:val="%1."/>
      <w:numFmt w:val="decimal"/>
      <w:start w:val="23"/>
    </w:lvl>
  </w:abstractNum>
  <w:abstractNum w:abstractNumId="43">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95" Type="http://schemas.openxmlformats.org/officeDocument/2006/relationships/hyperlink" Target="https://www.sec.gov/Archives/edgar/data/1433195/000143319515000003/exhibit3163015.htm" TargetMode="External"/><Relationship Id="rId96" Type="http://schemas.openxmlformats.org/officeDocument/2006/relationships/hyperlink" Target="https://www.sec.gov/Archives/edgar/data/1433195/000143319520000061/a63020exhibit31.htm" TargetMode="External"/><Relationship Id="rId97" Type="http://schemas.openxmlformats.org/officeDocument/2006/relationships/hyperlink" Target="https://www.sec.gov/Archives/edgar/data/1433195/000119312515213095/d907976dex41.htm" TargetMode="External"/><Relationship Id="rId98" Type="http://schemas.openxmlformats.org/officeDocument/2006/relationships/hyperlink" Target="https://www.sec.gov/Archives/edgar/data/1433195/000119312515213095/d907976dex42.htm" TargetMode="External"/><Relationship Id="rId99" Type="http://schemas.openxmlformats.org/officeDocument/2006/relationships/hyperlink" Target="https://www.sec.gov/Archives/edgar/data/1433195/000143319519000085/exhibit10150castilianl.htm" TargetMode="External"/><Relationship Id="rId100" Type="http://schemas.openxmlformats.org/officeDocument/2006/relationships/hyperlink" Target="https://www.sec.gov/Archives/edgar/data/1433195/000143319519000085/exhibit10270castilianl.htm" TargetMode="External"/><Relationship Id="rId101" Type="http://schemas.openxmlformats.org/officeDocument/2006/relationships/hyperlink" Target="https://www.sec.gov/Archives/edgar/data/1433195/000143319519000085/exhibit10390castilianl.htm" TargetMode="External"/><Relationship Id="rId102" Type="http://schemas.openxmlformats.org/officeDocument/2006/relationships/hyperlink" Target="https://www.sec.gov/Archives/edgar/data/1433195/000143319522000023/a123121ex104-50castilianfi.htm" TargetMode="External"/><Relationship Id="rId103" Type="http://schemas.openxmlformats.org/officeDocument/2006/relationships/hyperlink" Target="https://www.sec.gov/Archives/edgar/data/1433195/000143319522000023/a123121ex105-70castilianfi.htm" TargetMode="External"/><Relationship Id="rId104" Type="http://schemas.openxmlformats.org/officeDocument/2006/relationships/hyperlink" Target="https://www.sec.gov/Archives/edgar/data/1433195/000143319522000023/a123121ex106-90castilianfi.htm" TargetMode="External"/><Relationship Id="rId105" Type="http://schemas.openxmlformats.org/officeDocument/2006/relationships/hyperlink" Target="https://www.sec.gov/Archives/edgar/data/1433195/000143319523000126/a93023exhibit103.htm" TargetMode="External"/><Relationship Id="rId106" Type="http://schemas.openxmlformats.org/officeDocument/2006/relationships/hyperlink" Target="https://www.sec.gov/Archives/edgar/data/1433195/000119312515213095/d907976dex104.htm" TargetMode="External"/><Relationship Id="rId107" Type="http://schemas.openxmlformats.org/officeDocument/2006/relationships/hyperlink" Target="https://www.sec.gov/Archives/edgar/data/1433195/000143319522000023/a123121ex10162015rsugranta.htm" TargetMode="External"/><Relationship Id="rId108" Type="http://schemas.openxmlformats.org/officeDocument/2006/relationships/hyperlink" Target="https://www.sec.gov/Archives/edgar/data/1433195/000143319522000023/a123121ex10172015rsugranta.htm" TargetMode="External"/><Relationship Id="rId109" Type="http://schemas.openxmlformats.org/officeDocument/2006/relationships/hyperlink" Target="https://www.sec.gov/Archives/edgar/data/1433195/000143319522000023/a123121ex10182015appfoliop.htm" TargetMode="External"/><Relationship Id="rId110" Type="http://schemas.openxmlformats.org/officeDocument/2006/relationships/hyperlink" Target="https://www.sec.gov/Archives/edgar/data/1433195/000143319524000106/exhibit1012025omnibusinc.htm" TargetMode="External"/><Relationship Id="rId113" Type="http://schemas.openxmlformats.org/officeDocument/2006/relationships/hyperlink" Target="https://www.sec.gov/Archives/edgar/data/1433195/000143319524000106/exhibit1022025employeest.htm" TargetMode="External"/><Relationship Id="rId114" Type="http://schemas.openxmlformats.org/officeDocument/2006/relationships/hyperlink" Target="https://www.sec.gov/Archives/edgar/data/1433195/000143319523000053/exhibit101randall_transiti.htm" TargetMode="External"/><Relationship Id="rId115" Type="http://schemas.openxmlformats.org/officeDocument/2006/relationships/hyperlink" Target="https://www.sec.gov/Archives/edgar/data/1433195/000143319523000053/exhibit102triggaremploymen.htm" TargetMode="External"/><Relationship Id="rId116" Type="http://schemas.openxmlformats.org/officeDocument/2006/relationships/hyperlink" Target="https://www.sec.gov/Archives/edgar/data/1433195/000143319521000106/a93021ex101faysiengoonempl.htm" TargetMode="External"/><Relationship Id="rId117" Type="http://schemas.openxmlformats.org/officeDocument/2006/relationships/hyperlink" Target="https://www.sec.gov/Archives/edgar/data/1433195/000143319524000145/fsg-separationagreementf.htm" TargetMode="External"/><Relationship Id="rId118" Type="http://schemas.openxmlformats.org/officeDocument/2006/relationships/hyperlink" Target="https://www.sec.gov/Archives/edgar/data/1433195/000143319522000023/a123121ex1019nonemployeedi.htm" TargetMode="External"/><Relationship Id="rId119" Type="http://schemas.openxmlformats.org/officeDocument/2006/relationships/hyperlink" Target="https://www.sec.gov/Archives/edgar/data/1433195/000143319522000023/a123121ex10202022deferrale.htm" TargetMode="External"/><Relationship Id="rId120" Type="http://schemas.openxmlformats.org/officeDocument/2006/relationships/hyperlink" Target="https://www.sec.gov/Archives/edgar/data/1433195/000143319524000125/appfolioliveeasy-mergera.htm" TargetMode="External"/><Relationship Id="rId121" Type="http://schemas.openxmlformats.org/officeDocument/2006/relationships/hyperlink" Target="https://www.sec.gov/Archives/edgar/data/1433195/000143319524000023/a123123ex971executivecomp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2025-02-06T15:42:05Z</dcterms:created>
  <dcterms:modified xsi:type="dcterms:W3CDTF">2025-02-06T15:42:05Z</dcterms:modified>
</cp:coreProperties>
</file>