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520" w:firstLine="8"/>
        <w:spacing w:after="0" w:line="32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2019.</w:t>
      </w:r>
    </w:p>
    <w:p>
      <w:pPr>
        <w:ind w:right="250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001-37468</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307" w:lineRule="exact"/>
        <w:rPr>
          <w:sz w:val="24"/>
          <w:szCs w:val="24"/>
          <w:color w:val="auto"/>
        </w:rPr>
      </w:pPr>
    </w:p>
    <w:tbl>
      <w:tblPr>
        <w:tblLayout w:type="fixed"/>
        <w:tblInd w:w="1400" w:type="dxa"/>
        <w:tblCellMar>
          <w:top w:w="0" w:type="dxa"/>
          <w:left w:w="0" w:type="dxa"/>
          <w:bottom w:w="0" w:type="dxa"/>
          <w:right w:w="0" w:type="dxa"/>
        </w:tblCellMar>
      </w:tblPr>
      <w:tr>
        <w:trPr>
          <w:trHeight w:val="234"/>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3"/>
              </w:rPr>
              <w:t>Delaware</w:t>
            </w:r>
          </w:p>
        </w:tc>
        <w:tc>
          <w:tcPr>
            <w:tcW w:w="520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70"/>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5200" w:type="dxa"/>
            <w:vAlign w:val="bottom"/>
          </w:tcPr>
          <w:p>
            <w:pPr>
              <w:jc w:val="center"/>
              <w:ind w:left="24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567"/>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color w:val="auto"/>
                <w:w w:val="91"/>
              </w:rPr>
              <w:t>50 Castilian Drive</w:t>
            </w:r>
          </w:p>
        </w:tc>
        <w:tc>
          <w:tcPr>
            <w:tcW w:w="5200" w:type="dxa"/>
            <w:vAlign w:val="bottom"/>
          </w:tcPr>
          <w:p>
            <w:pPr>
              <w:jc w:val="right"/>
              <w:ind w:right="1030"/>
              <w:spacing w:after="0"/>
              <w:rPr>
                <w:sz w:val="20"/>
                <w:szCs w:val="20"/>
                <w:color w:val="auto"/>
              </w:rPr>
            </w:pPr>
            <w:r>
              <w:rPr>
                <w:rFonts w:ascii="Arial" w:cs="Arial" w:eastAsia="Arial" w:hAnsi="Arial"/>
                <w:sz w:val="18"/>
                <w:szCs w:val="18"/>
                <w:b w:val="1"/>
                <w:bCs w:val="1"/>
                <w:color w:val="auto"/>
              </w:rPr>
              <w:t>93117</w:t>
            </w: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b w:val="1"/>
                <w:bCs w:val="1"/>
                <w:color w:val="auto"/>
              </w:rPr>
              <w:t>Santa Barbara, California</w:t>
            </w:r>
          </w:p>
        </w:tc>
        <w:tc>
          <w:tcPr>
            <w:tcW w:w="5200" w:type="dxa"/>
            <w:vAlign w:val="bottom"/>
          </w:tcPr>
          <w:p>
            <w:pPr>
              <w:spacing w:after="0"/>
              <w:rPr>
                <w:sz w:val="23"/>
                <w:szCs w:val="23"/>
                <w:color w:val="auto"/>
              </w:rPr>
            </w:pPr>
          </w:p>
        </w:tc>
      </w:tr>
      <w:tr>
        <w:trPr>
          <w:trHeight w:val="270"/>
        </w:trPr>
        <w:tc>
          <w:tcPr>
            <w:tcW w:w="3360" w:type="dxa"/>
            <w:vAlign w:val="bottom"/>
          </w:tcPr>
          <w:p>
            <w:pPr>
              <w:jc w:val="center"/>
              <w:ind w:right="330"/>
              <w:spacing w:after="0"/>
              <w:rPr>
                <w:sz w:val="20"/>
                <w:szCs w:val="20"/>
                <w:color w:val="auto"/>
              </w:rPr>
            </w:pPr>
            <w:r>
              <w:rPr>
                <w:rFonts w:ascii="Arial" w:cs="Arial" w:eastAsia="Arial" w:hAnsi="Arial"/>
                <w:sz w:val="18"/>
                <w:szCs w:val="18"/>
                <w:b w:val="1"/>
                <w:bCs w:val="1"/>
                <w:i w:val="1"/>
                <w:iCs w:val="1"/>
                <w:color w:val="auto"/>
                <w:w w:val="86"/>
              </w:rPr>
              <w:t>(Address of principal executive offices)</w:t>
            </w:r>
          </w:p>
        </w:tc>
        <w:tc>
          <w:tcPr>
            <w:tcW w:w="5200" w:type="dxa"/>
            <w:vAlign w:val="bottom"/>
          </w:tcPr>
          <w:p>
            <w:pPr>
              <w:jc w:val="center"/>
              <w:ind w:left="2430"/>
              <w:spacing w:after="0"/>
              <w:rPr>
                <w:sz w:val="20"/>
                <w:szCs w:val="20"/>
                <w:color w:val="auto"/>
              </w:rPr>
            </w:pPr>
            <w:r>
              <w:rPr>
                <w:rFonts w:ascii="Arial" w:cs="Arial" w:eastAsia="Arial" w:hAnsi="Arial"/>
                <w:sz w:val="18"/>
                <w:szCs w:val="18"/>
                <w:b w:val="1"/>
                <w:bCs w:val="1"/>
                <w:i w:val="1"/>
                <w:iCs w:val="1"/>
                <w:color w:val="auto"/>
                <w:w w:val="89"/>
              </w:rPr>
              <w:t>(Zip Code)</w:t>
            </w:r>
          </w:p>
        </w:tc>
      </w:tr>
      <w:tr>
        <w:trPr>
          <w:trHeight w:val="405"/>
        </w:trPr>
        <w:tc>
          <w:tcPr>
            <w:tcW w:w="3360" w:type="dxa"/>
            <w:vAlign w:val="bottom"/>
          </w:tcPr>
          <w:p>
            <w:pPr>
              <w:spacing w:after="0"/>
              <w:rPr>
                <w:sz w:val="24"/>
                <w:szCs w:val="24"/>
                <w:color w:val="auto"/>
              </w:rPr>
            </w:pPr>
          </w:p>
        </w:tc>
        <w:tc>
          <w:tcPr>
            <w:tcW w:w="5200" w:type="dxa"/>
            <w:vAlign w:val="bottom"/>
          </w:tcPr>
          <w:p>
            <w:pPr>
              <w:jc w:val="right"/>
              <w:ind w:right="3590"/>
              <w:spacing w:after="0"/>
              <w:rPr>
                <w:sz w:val="20"/>
                <w:szCs w:val="20"/>
                <w:color w:val="auto"/>
              </w:rPr>
            </w:pPr>
            <w:r>
              <w:rPr>
                <w:rFonts w:ascii="Arial" w:cs="Arial" w:eastAsia="Arial" w:hAnsi="Arial"/>
                <w:sz w:val="18"/>
                <w:szCs w:val="18"/>
                <w:b w:val="1"/>
                <w:bCs w:val="1"/>
                <w:color w:val="auto"/>
              </w:rPr>
              <w:t>(805) 364-6093</w:t>
            </w:r>
          </w:p>
        </w:tc>
      </w:tr>
    </w:tbl>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(Registrant’s telephone number, including area code)</w:t>
      </w: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262" w:lineRule="exact"/>
        <w:rPr>
          <w:sz w:val="24"/>
          <w:szCs w:val="24"/>
          <w:color w:val="auto"/>
        </w:rPr>
      </w:pPr>
    </w:p>
    <w:p>
      <w:pPr>
        <w:jc w:val="both"/>
        <w:spacing w:after="0" w:line="21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7" w:lineRule="exact"/>
        <w:rPr>
          <w:sz w:val="24"/>
          <w:szCs w:val="24"/>
          <w:color w:val="auto"/>
        </w:rPr>
      </w:pPr>
    </w:p>
    <w:p>
      <w:pPr>
        <w:jc w:val="both"/>
        <w:spacing w:after="0" w:line="222"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pacing w:after="0" w:line="147" w:lineRule="exact"/>
        <w:rPr>
          <w:sz w:val="24"/>
          <w:szCs w:val="24"/>
          <w:color w:val="auto"/>
        </w:rPr>
      </w:pPr>
    </w:p>
    <w:p>
      <w:pPr>
        <w:ind w:right="2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0"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98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524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vMerge w:val="continue"/>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8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524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vMerge w:val="continue"/>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2"/>
        </w:trPr>
        <w:tc>
          <w:tcPr>
            <w:tcW w:w="19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380" w:type="dxa"/>
            <w:vAlign w:val="bottom"/>
            <w:vMerge w:val="restart"/>
          </w:tcPr>
          <w:p>
            <w:pPr>
              <w:ind w:left="112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33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4"/>
          <w:szCs w:val="24"/>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8"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20"/>
          </w:cols>
          <w:pgMar w:left="240" w:top="287"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17"/>
        </w:trPr>
        <w:tc>
          <w:tcPr>
            <w:tcW w:w="14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60" w:type="dxa"/>
            <w:vAlign w:val="bottom"/>
          </w:tcPr>
          <w:p>
            <w:pPr>
              <w:spacing w:after="0"/>
              <w:rPr>
                <w:sz w:val="24"/>
                <w:szCs w:val="24"/>
                <w:color w:val="auto"/>
              </w:rPr>
            </w:pPr>
          </w:p>
        </w:tc>
        <w:tc>
          <w:tcPr>
            <w:tcW w:w="2780" w:type="dxa"/>
            <w:vAlign w:val="bottom"/>
            <w:gridSpan w:val="2"/>
          </w:tcPr>
          <w:p>
            <w:pPr>
              <w:jc w:val="center"/>
              <w:ind w:right="1660"/>
              <w:spacing w:after="0"/>
              <w:rPr>
                <w:sz w:val="20"/>
                <w:szCs w:val="20"/>
                <w:color w:val="auto"/>
              </w:rPr>
            </w:pPr>
            <w:r>
              <w:rPr>
                <w:rFonts w:ascii="Arial" w:cs="Arial" w:eastAsia="Arial" w:hAnsi="Arial"/>
                <w:sz w:val="16"/>
                <w:szCs w:val="16"/>
                <w:b w:val="1"/>
                <w:bCs w:val="1"/>
                <w:color w:val="auto"/>
                <w:w w:val="92"/>
              </w:rPr>
              <w:t>Trading Symbol</w:t>
            </w: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1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71"/>
        </w:trPr>
        <w:tc>
          <w:tcPr>
            <w:tcW w:w="4180" w:type="dxa"/>
            <w:vAlign w:val="bottom"/>
            <w:gridSpan w:val="3"/>
          </w:tcPr>
          <w:p>
            <w:pPr>
              <w:jc w:val="center"/>
              <w:ind w:right="160"/>
              <w:spacing w:after="0"/>
              <w:rPr>
                <w:sz w:val="20"/>
                <w:szCs w:val="20"/>
                <w:color w:val="auto"/>
              </w:rPr>
            </w:pPr>
            <w:r>
              <w:rPr>
                <w:rFonts w:ascii="Arial" w:cs="Arial" w:eastAsia="Arial" w:hAnsi="Arial"/>
                <w:sz w:val="16"/>
                <w:szCs w:val="16"/>
                <w:color w:val="auto"/>
                <w:w w:val="92"/>
              </w:rPr>
              <w:t>Class A Common Stock, $0.0001 par value</w:t>
            </w:r>
          </w:p>
        </w:tc>
        <w:tc>
          <w:tcPr>
            <w:tcW w:w="2780" w:type="dxa"/>
            <w:vAlign w:val="bottom"/>
            <w:gridSpan w:val="2"/>
          </w:tcPr>
          <w:p>
            <w:pPr>
              <w:jc w:val="center"/>
              <w:ind w:right="1640"/>
              <w:spacing w:after="0"/>
              <w:rPr>
                <w:sz w:val="20"/>
                <w:szCs w:val="20"/>
                <w:color w:val="auto"/>
              </w:rPr>
            </w:pPr>
            <w:r>
              <w:rPr>
                <w:rFonts w:ascii="Arial" w:cs="Arial" w:eastAsia="Arial" w:hAnsi="Arial"/>
                <w:sz w:val="16"/>
                <w:szCs w:val="16"/>
                <w:color w:val="auto"/>
                <w:w w:val="90"/>
              </w:rPr>
              <w:t>APPF</w:t>
            </w:r>
          </w:p>
        </w:tc>
        <w:tc>
          <w:tcPr>
            <w:tcW w:w="3000" w:type="dxa"/>
            <w:vAlign w:val="bottom"/>
          </w:tcPr>
          <w:p>
            <w:pPr>
              <w:jc w:val="center"/>
              <w:spacing w:after="0"/>
              <w:rPr>
                <w:sz w:val="20"/>
                <w:szCs w:val="20"/>
                <w:color w:val="auto"/>
              </w:rPr>
            </w:pPr>
            <w:r>
              <w:rPr>
                <w:rFonts w:ascii="Arial" w:cs="Arial" w:eastAsia="Arial" w:hAnsi="Arial"/>
                <w:sz w:val="16"/>
                <w:szCs w:val="16"/>
                <w:color w:val="auto"/>
                <w:w w:val="96"/>
              </w:rPr>
              <w:t>NASDAQ Global Market</w:t>
            </w:r>
          </w:p>
        </w:tc>
      </w:tr>
    </w:tbl>
    <w:p>
      <w:pPr>
        <w:spacing w:after="0" w:line="21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October 21, 2019, the number of shares of the registrant’s Class A common stock outstanding was 16,401,460 and the number of shares of the registrant’s Class B common stock outstanding was 17,660,747.</w:t>
      </w:r>
    </w:p>
    <w:p>
      <w:pPr>
        <w:sectPr>
          <w:pgSz w:w="11900" w:h="16838" w:orient="portrait"/>
          <w:cols w:equalWidth="0" w:num="1">
            <w:col w:w="10920"/>
          </w:cols>
          <w:pgMar w:left="240" w:top="179" w:right="7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2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804"/>
        </w:trPr>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11"/>
          </w:tcPr>
          <w:p>
            <w:pPr>
              <w:ind w:left="58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35"/>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0" w:type="dxa"/>
            <w:vAlign w:val="bottom"/>
            <w:gridSpan w:val="11"/>
          </w:tcPr>
          <w:p>
            <w:pPr>
              <w:ind w:left="520"/>
              <w:spacing w:after="0"/>
              <w:rPr>
                <w:sz w:val="20"/>
                <w:szCs w:val="20"/>
                <w:color w:val="auto"/>
              </w:rPr>
            </w:pPr>
            <w:r>
              <w:rPr>
                <w:rFonts w:ascii="Arial" w:cs="Arial" w:eastAsia="Arial" w:hAnsi="Arial"/>
                <w:sz w:val="18"/>
                <w:szCs w:val="18"/>
                <w:b w:val="1"/>
                <w:bCs w:val="1"/>
                <w:color w:val="auto"/>
              </w:rPr>
              <w:t>Section</w:t>
            </w:r>
          </w:p>
        </w:tc>
        <w:tc>
          <w:tcPr>
            <w:tcW w:w="12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27"/>
        </w:trPr>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0140" w:type="dxa"/>
            <w:vAlign w:val="bottom"/>
            <w:gridSpan w:val="2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Cautionary Note Regarding Forward-Looking Statements</w:t>
              </w:r>
            </w:hyperlink>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2060" w:type="dxa"/>
            <w:vAlign w:val="bottom"/>
            <w:gridSpan w:val="9"/>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Part I. Financial Information</w:t>
              </w:r>
            </w:hyperlink>
          </w:p>
        </w:tc>
        <w:tc>
          <w:tcPr>
            <w:tcW w:w="2080" w:type="dxa"/>
            <w:vAlign w:val="bottom"/>
            <w:gridSpan w:val="6"/>
          </w:tcPr>
          <w:p>
            <w:pPr>
              <w:spacing w:after="0"/>
              <w:rPr>
                <w:sz w:val="21"/>
                <w:szCs w:val="21"/>
                <w:color w:val="auto"/>
              </w:rPr>
            </w:pPr>
          </w:p>
        </w:tc>
        <w:tc>
          <w:tcPr>
            <w:tcW w:w="6000" w:type="dxa"/>
            <w:vAlign w:val="bottom"/>
            <w:gridSpan w:val="11"/>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80" w:type="dxa"/>
            <w:vAlign w:val="bottom"/>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Item 1. Condensed Consolidated Financial Statements (Unaudited)</w:t>
              </w:r>
            </w:hyperlink>
          </w:p>
        </w:tc>
        <w:tc>
          <w:tcPr>
            <w:tcW w:w="4680" w:type="dxa"/>
            <w:vAlign w:val="bottom"/>
            <w:gridSpan w:val="10"/>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as of September 30, 2019 and December 31, 2018</w:t>
              </w:r>
            </w:hyperlink>
          </w:p>
        </w:tc>
        <w:tc>
          <w:tcPr>
            <w:tcW w:w="660" w:type="dxa"/>
            <w:vAlign w:val="bottom"/>
            <w:gridSpan w:val="2"/>
          </w:tcPr>
          <w:p>
            <w:pPr>
              <w:jc w:val="center"/>
              <w:ind w:left="49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gridSpan w:val="23"/>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Condensed Consolidated Statements of Operations for the Three and Nine Months Ended September 30, 2019 and 2018</w:t>
              </w:r>
            </w:hyperlink>
          </w:p>
        </w:tc>
        <w:tc>
          <w:tcPr>
            <w:tcW w:w="660" w:type="dxa"/>
            <w:vAlign w:val="bottom"/>
            <w:gridSpan w:val="2"/>
          </w:tcPr>
          <w:p>
            <w:pPr>
              <w:jc w:val="center"/>
              <w:ind w:left="49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3</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60" w:type="dxa"/>
            <w:vAlign w:val="bottom"/>
            <w:gridSpan w:val="23"/>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Comprehensive Income for the Three and Nine Months Ended September 30, 2019</w:t>
              </w:r>
            </w:hyperlink>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Borders>
              <w:top w:val="single" w:sz="8" w:color="0000EE"/>
            </w:tcBorders>
            <w:gridSpan w:val="3"/>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and 2018</w:t>
              </w:r>
            </w:hyperlink>
          </w:p>
        </w:tc>
        <w:tc>
          <w:tcPr>
            <w:tcW w:w="8180" w:type="dxa"/>
            <w:vAlign w:val="bottom"/>
            <w:tcBorders>
              <w:top w:val="single" w:sz="8" w:color="0000EE"/>
            </w:tcBorders>
            <w:gridSpan w:val="17"/>
          </w:tcPr>
          <w:p>
            <w:pPr>
              <w:spacing w:after="0"/>
              <w:rPr>
                <w:sz w:val="17"/>
                <w:szCs w:val="17"/>
                <w:color w:val="auto"/>
              </w:rPr>
            </w:pPr>
          </w:p>
        </w:tc>
        <w:tc>
          <w:tcPr>
            <w:tcW w:w="400" w:type="dxa"/>
            <w:vAlign w:val="bottom"/>
            <w:gridSpan w:val="3"/>
          </w:tcPr>
          <w:p>
            <w:pPr>
              <w:spacing w:after="0"/>
              <w:rPr>
                <w:sz w:val="17"/>
                <w:szCs w:val="17"/>
                <w:color w:val="auto"/>
              </w:rPr>
            </w:pPr>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4</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9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Stockholders' Equity for the Three and Nine Months Ended September 30, 2019 and</w:t>
              </w:r>
            </w:hyperlink>
          </w:p>
        </w:tc>
        <w:tc>
          <w:tcPr>
            <w:tcW w:w="300" w:type="dxa"/>
            <w:vAlign w:val="bottom"/>
            <w:gridSpan w:val="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196"/>
        </w:trPr>
        <w:tc>
          <w:tcPr>
            <w:tcW w:w="920" w:type="dxa"/>
            <w:vAlign w:val="bottom"/>
            <w:gridSpan w:val="4"/>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2018</w:t>
              </w:r>
            </w:hyperlink>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gridSpan w:val="2"/>
          </w:tcPr>
          <w:p>
            <w:pPr>
              <w:jc w:val="center"/>
              <w:ind w:left="490"/>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5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40" w:type="dxa"/>
            <w:vAlign w:val="bottom"/>
            <w:gridSpan w:val="1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Condensed Consolidated Statements of Cash Flows for the Nine Months Ended September 30, 2019 and 2018</w:t>
              </w:r>
            </w:hyperlink>
          </w:p>
        </w:tc>
        <w:tc>
          <w:tcPr>
            <w:tcW w:w="1320" w:type="dxa"/>
            <w:vAlign w:val="bottom"/>
            <w:gridSpan w:val="5"/>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0" w:type="dxa"/>
            <w:vAlign w:val="bottom"/>
            <w:gridSpan w:val="15"/>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Notes to Condensed Consolidated Unaudited Financial Statements</w:t>
              </w:r>
            </w:hyperlink>
          </w:p>
        </w:tc>
        <w:tc>
          <w:tcPr>
            <w:tcW w:w="3140" w:type="dxa"/>
            <w:vAlign w:val="bottom"/>
            <w:gridSpan w:val="3"/>
          </w:tcPr>
          <w:p>
            <w:pPr>
              <w:spacing w:after="0"/>
              <w:rPr>
                <w:sz w:val="21"/>
                <w:szCs w:val="21"/>
                <w:color w:val="auto"/>
              </w:rPr>
            </w:pPr>
          </w:p>
        </w:tc>
        <w:tc>
          <w:tcPr>
            <w:tcW w:w="1320" w:type="dxa"/>
            <w:vAlign w:val="bottom"/>
            <w:gridSpan w:val="5"/>
          </w:tcPr>
          <w:p>
            <w:pPr>
              <w:spacing w:after="0"/>
              <w:rPr>
                <w:sz w:val="21"/>
                <w:szCs w:val="21"/>
                <w:color w:val="auto"/>
              </w:rPr>
            </w:pPr>
          </w:p>
        </w:tc>
        <w:tc>
          <w:tcPr>
            <w:tcW w:w="660" w:type="dxa"/>
            <w:vAlign w:val="bottom"/>
            <w:gridSpan w:val="2"/>
          </w:tcPr>
          <w:p>
            <w:pPr>
              <w:jc w:val="center"/>
              <w:ind w:left="490"/>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2. Management’s Discussion and Analysis of Financial Condition and Results of Operations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25</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0" w:type="dxa"/>
            <w:vAlign w:val="bottom"/>
            <w:tcBorders>
              <w:top w:val="single" w:sz="8" w:color="0000EE"/>
            </w:tcBorders>
            <w:gridSpan w:val="1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 Qualitative and Quantitative Disclosure about Market Risk</w:t>
              </w:r>
            </w:hyperlink>
          </w:p>
        </w:tc>
        <w:tc>
          <w:tcPr>
            <w:tcW w:w="2460" w:type="dxa"/>
            <w:vAlign w:val="bottom"/>
            <w:gridSpan w:val="6"/>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tcBorders>
          </w:tcPr>
          <w:p>
            <w:pPr>
              <w:jc w:val="center"/>
              <w:spacing w:after="0"/>
              <w:rPr>
                <w:rFonts w:ascii="Arial" w:cs="Arial" w:eastAsia="Arial" w:hAnsi="Arial"/>
                <w:sz w:val="15"/>
                <w:szCs w:val="15"/>
                <w:color w:val="0000EE"/>
                <w:w w:val="71"/>
              </w:rPr>
            </w:pPr>
            <w:hyperlink w:anchor="page40">
              <w:r>
                <w:rPr>
                  <w:rFonts w:ascii="Arial" w:cs="Arial" w:eastAsia="Arial" w:hAnsi="Arial"/>
                  <w:sz w:val="15"/>
                  <w:szCs w:val="15"/>
                  <w:color w:val="0000EE"/>
                  <w:w w:val="71"/>
                </w:rPr>
                <w:t>37</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Item 4. Controls and Procedures</w:t>
              </w:r>
            </w:hyperlink>
          </w:p>
        </w:tc>
        <w:tc>
          <w:tcPr>
            <w:tcW w:w="2460" w:type="dxa"/>
            <w:vAlign w:val="bottom"/>
            <w:tcBorders>
              <w:top w:val="single" w:sz="8" w:color="0000EE"/>
            </w:tcBorders>
            <w:gridSpan w:val="3"/>
          </w:tcPr>
          <w:p>
            <w:pPr>
              <w:spacing w:after="0"/>
              <w:rPr>
                <w:sz w:val="21"/>
                <w:szCs w:val="21"/>
                <w:color w:val="auto"/>
              </w:rPr>
            </w:pPr>
          </w:p>
        </w:tc>
        <w:tc>
          <w:tcPr>
            <w:tcW w:w="4680" w:type="dxa"/>
            <w:vAlign w:val="bottom"/>
            <w:gridSpan w:val="10"/>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41">
              <w:r>
                <w:rPr>
                  <w:rFonts w:ascii="Arial" w:cs="Arial" w:eastAsia="Arial" w:hAnsi="Arial"/>
                  <w:sz w:val="15"/>
                  <w:szCs w:val="15"/>
                  <w:color w:val="0000EE"/>
                  <w:w w:val="71"/>
                </w:rPr>
                <w:t>38</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8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Part II. Other Information</w:t>
              </w:r>
            </w:hyperlink>
          </w:p>
        </w:tc>
        <w:tc>
          <w:tcPr>
            <w:tcW w:w="8280" w:type="dxa"/>
            <w:vAlign w:val="bottom"/>
            <w:gridSpan w:val="18"/>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40</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8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Item 1. Legal Proceedings</w:t>
              </w:r>
            </w:hyperlink>
          </w:p>
        </w:tc>
        <w:tc>
          <w:tcPr>
            <w:tcW w:w="7580" w:type="dxa"/>
            <w:vAlign w:val="bottom"/>
            <w:gridSpan w:val="14"/>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40</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1A. Risk Factors</w:t>
              </w:r>
            </w:hyperlink>
          </w:p>
        </w:tc>
        <w:tc>
          <w:tcPr>
            <w:tcW w:w="7880" w:type="dxa"/>
            <w:vAlign w:val="bottom"/>
            <w:gridSpan w:val="16"/>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43">
              <w:r>
                <w:rPr>
                  <w:rFonts w:ascii="Arial" w:cs="Arial" w:eastAsia="Arial" w:hAnsi="Arial"/>
                  <w:sz w:val="15"/>
                  <w:szCs w:val="15"/>
                  <w:color w:val="0000EE"/>
                  <w:w w:val="71"/>
                </w:rPr>
                <w:t>40</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9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Item 2. Unregistered Sales of Equity Securities and Use of Proceeds</w:t>
              </w:r>
            </w:hyperlink>
          </w:p>
        </w:tc>
        <w:tc>
          <w:tcPr>
            <w:tcW w:w="4560" w:type="dxa"/>
            <w:vAlign w:val="bottom"/>
            <w:gridSpan w:val="9"/>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65">
              <w:r>
                <w:rPr>
                  <w:rFonts w:ascii="Arial" w:cs="Arial" w:eastAsia="Arial" w:hAnsi="Arial"/>
                  <w:sz w:val="15"/>
                  <w:szCs w:val="15"/>
                  <w:color w:val="0000EE"/>
                  <w:w w:val="71"/>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3. Defaults Upon Senior Securities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Item 4. Mine Safety Disclosures</w:t>
              </w:r>
            </w:hyperlink>
          </w:p>
        </w:tc>
        <w:tc>
          <w:tcPr>
            <w:tcW w:w="540" w:type="dxa"/>
            <w:vAlign w:val="bottom"/>
            <w:tcBorders>
              <w:top w:val="single" w:sz="8" w:color="0000EE"/>
            </w:tcBorders>
          </w:tcPr>
          <w:p>
            <w:pPr>
              <w:spacing w:after="0"/>
              <w:rPr>
                <w:sz w:val="21"/>
                <w:szCs w:val="21"/>
                <w:color w:val="auto"/>
              </w:rPr>
            </w:pPr>
          </w:p>
        </w:tc>
        <w:tc>
          <w:tcPr>
            <w:tcW w:w="6600" w:type="dxa"/>
            <w:vAlign w:val="bottom"/>
            <w:gridSpan w:val="1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top w:val="single" w:sz="8" w:color="0000EE"/>
              <w:bottom w:val="single" w:sz="8" w:color="0000EE"/>
            </w:tcBorders>
          </w:tcPr>
          <w:p>
            <w:pPr>
              <w:jc w:val="center"/>
              <w:spacing w:after="0"/>
              <w:rPr>
                <w:rFonts w:ascii="Arial" w:cs="Arial" w:eastAsia="Arial" w:hAnsi="Arial"/>
                <w:sz w:val="15"/>
                <w:szCs w:val="15"/>
                <w:color w:val="0000EE"/>
                <w:w w:val="71"/>
              </w:rPr>
            </w:pPr>
            <w:hyperlink w:anchor="page65">
              <w:r>
                <w:rPr>
                  <w:rFonts w:ascii="Arial" w:cs="Arial" w:eastAsia="Arial" w:hAnsi="Arial"/>
                  <w:sz w:val="15"/>
                  <w:szCs w:val="15"/>
                  <w:color w:val="0000EE"/>
                  <w:w w:val="71"/>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Item 5. Other Information</w:t>
              </w:r>
            </w:hyperlink>
          </w:p>
        </w:tc>
        <w:tc>
          <w:tcPr>
            <w:tcW w:w="7600" w:type="dxa"/>
            <w:vAlign w:val="bottom"/>
            <w:gridSpan w:val="15"/>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Borders>
              <w:bottom w:val="single" w:sz="8" w:color="0000EE"/>
            </w:tcBorders>
          </w:tcPr>
          <w:p>
            <w:pPr>
              <w:jc w:val="center"/>
              <w:spacing w:after="0"/>
              <w:rPr>
                <w:rFonts w:ascii="Arial" w:cs="Arial" w:eastAsia="Arial" w:hAnsi="Arial"/>
                <w:sz w:val="15"/>
                <w:szCs w:val="15"/>
                <w:color w:val="0000EE"/>
                <w:w w:val="71"/>
              </w:rPr>
            </w:pPr>
            <w:hyperlink w:anchor="page65">
              <w:r>
                <w:rPr>
                  <w:rFonts w:ascii="Arial" w:cs="Arial" w:eastAsia="Arial" w:hAnsi="Arial"/>
                  <w:sz w:val="15"/>
                  <w:szCs w:val="15"/>
                  <w:color w:val="0000EE"/>
                  <w:w w:val="71"/>
                </w:rPr>
                <w:t>62</w:t>
              </w:r>
            </w:hyperlink>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6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6. Exhibits</w:t>
              </w:r>
            </w:hyperlink>
          </w:p>
        </w:tc>
        <w:tc>
          <w:tcPr>
            <w:tcW w:w="660" w:type="dxa"/>
            <w:vAlign w:val="bottom"/>
            <w:gridSpan w:val="2"/>
          </w:tcPr>
          <w:p>
            <w:pPr>
              <w:jc w:val="center"/>
              <w:ind w:left="39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62</w:t>
              </w:r>
            </w:hyperlink>
          </w:p>
        </w:tc>
        <w:tc>
          <w:tcPr>
            <w:tcW w:w="58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320" w:type="dxa"/>
            <w:vAlign w:val="bottom"/>
            <w:gridSpan w:val="19"/>
          </w:tcPr>
          <w:p>
            <w:pPr>
              <w:spacing w:after="0" w:line="20" w:lineRule="exact"/>
              <w:rPr>
                <w:sz w:val="1"/>
                <w:szCs w:val="1"/>
                <w:color w:val="auto"/>
              </w:rPr>
            </w:pPr>
          </w:p>
        </w:tc>
        <w:tc>
          <w:tcPr>
            <w:tcW w:w="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66">
              <w:r>
                <w:rPr>
                  <w:rFonts w:ascii="Arial" w:cs="Arial" w:eastAsia="Arial" w:hAnsi="Arial"/>
                  <w:sz w:val="18"/>
                  <w:szCs w:val="18"/>
                  <w:color w:val="0000EE"/>
                  <w:w w:val="85"/>
                </w:rPr>
                <w:t>Signatures</w:t>
              </w:r>
            </w:hyperlink>
          </w:p>
        </w:tc>
        <w:tc>
          <w:tcPr>
            <w:tcW w:w="9380" w:type="dxa"/>
            <w:vAlign w:val="bottom"/>
            <w:gridSpan w:val="24"/>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98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67">
              <w:r>
                <w:rPr>
                  <w:rFonts w:ascii="Arial" w:cs="Arial" w:eastAsia="Arial" w:hAnsi="Arial"/>
                  <w:sz w:val="18"/>
                  <w:szCs w:val="18"/>
                  <w:color w:val="0000EE"/>
                  <w:w w:val="93"/>
                </w:rPr>
                <w:t>Exhibit Index</w:t>
              </w:r>
            </w:hyperlink>
          </w:p>
        </w:tc>
        <w:tc>
          <w:tcPr>
            <w:tcW w:w="9160" w:type="dxa"/>
            <w:vAlign w:val="bottom"/>
            <w:gridSpan w:val="22"/>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r>
    </w:tbl>
    <w:p>
      <w:pPr>
        <w:sectPr>
          <w:pgSz w:w="11900" w:h="16838" w:orient="portrait"/>
          <w:cols w:equalWidth="0" w:num="1">
            <w:col w:w="11420"/>
          </w:cols>
          <w:pgMar w:left="240" w:top="162"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Quarterly Report on Form 10-Q for the fiscal quarter ended September 30, 2019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Forward-looking statements include all statements that are not statements of historical facts and can be identified by words such as “anticipates,” “believes,” “seeks,” “estimates,” “expects,” “intends,” “may,” “plans,” “potential,” “predicts, “projects,” “should,” “could,” “will,” “would” or similar expressions and the negatives of those expressions. Forward-looking statements also include the assumptions underlying or relating to such statements. In particular, forward-looking statements contained in this Quarterly Report relate to, among other things, our future or assumed financial condition, results of operations and liquidity, business forecasts and plans, certain trends affecting our business and industry, capital needs and financing plans, capital resource allocation plans, potential repurchase of our shares, research and product development plans, future products and Value+ services, growth in the size of our business and number of customers, strategic plans and objectives, the impact of acquisitions and investments, changes in the competitive environment, the outcome of legal proceedings or regulatory matters, and the application of accounting guidance. We caution you that the foregoing list may not include all of the forward-looking statements made in this Quarterly Report.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or financial performance.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2018 (our "Annual Report"), as well as in the other reports we file with the Securities and Exchange Commission (the "SEC"). You should read this Quarterly Report, and the other documents that we have filed with the SEC, with the understanding that our actual future results may be materially different from the results expressed or implied by these forward-looking statements.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79"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APPFOLIO, INC.</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par values)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7"/>
                <w:szCs w:val="17"/>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r>
      <w:tr>
        <w:trPr>
          <w:trHeight w:val="210"/>
        </w:trPr>
        <w:tc>
          <w:tcPr>
            <w:tcW w:w="8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2018</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74,076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Investment securities—current</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20,355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16,631</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11,775</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64,665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107,998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Investment securities—noncurrent</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4,698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11,256</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20,485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58,392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15,548</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taxes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23,196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7,688</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233,828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175,741</w:t>
            </w:r>
          </w:p>
        </w:tc>
      </w:tr>
      <w:tr>
        <w:trPr>
          <w:trHeight w:val="73"/>
        </w:trPr>
        <w:tc>
          <w:tcPr>
            <w:tcW w:w="8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Accrued employee expenses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13,101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12,377</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8,281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4,163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3,414</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Long-term debt, net—current portion</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1,213</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28,213</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18,448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48,602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7,080</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83,895</w:t>
            </w:r>
          </w:p>
        </w:tc>
      </w:tr>
      <w:tr>
        <w:trPr>
          <w:trHeight w:val="204"/>
        </w:trPr>
        <w:tc>
          <w:tcPr>
            <w:tcW w:w="8120" w:type="dxa"/>
            <w:vAlign w:val="bottom"/>
          </w:tcPr>
          <w:p>
            <w:pPr>
              <w:ind w:left="4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r>
      <w:tr>
        <w:trPr>
          <w:trHeight w:val="47"/>
        </w:trPr>
        <w:tc>
          <w:tcPr>
            <w:tcW w:w="8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4"/>
              </w:rPr>
              <w:t>Preferred stock, $0.0001 par value, 25,000 authorized and no shares issued and outstanding at September 30, 2019 and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December 31, 2018</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Class A common stock, $0.0001 par value, 250,000 shares authorized at September 30, 2019 and December 31, 2018;</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0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issued - 16,743 and 16,159, shares at September 30, 2019 and December 31, 2018; outstanding - 16,373 and 15,789</w:t>
            </w: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1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at September 30, 2019 and December 31, 2018,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20"/>
        </w:trPr>
        <w:tc>
          <w:tcPr>
            <w:tcW w:w="8120" w:type="dxa"/>
            <w:vAlign w:val="bottom"/>
          </w:tcPr>
          <w:p>
            <w:pPr>
              <w:ind w:left="40"/>
              <w:spacing w:after="0"/>
              <w:rPr>
                <w:sz w:val="20"/>
                <w:szCs w:val="20"/>
                <w:color w:val="auto"/>
              </w:rPr>
            </w:pPr>
            <w:r>
              <w:rPr>
                <w:rFonts w:ascii="Arial" w:cs="Arial" w:eastAsia="Arial" w:hAnsi="Arial"/>
                <w:sz w:val="16"/>
                <w:szCs w:val="16"/>
                <w:color w:val="auto"/>
                <w:w w:val="96"/>
              </w:rPr>
              <w:t>Class B common stock, $0.0001 par value, 50,000 shares authorized at September 30, 2019 and December 31, 2018;</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6"/>
        </w:trPr>
        <w:tc>
          <w:tcPr>
            <w:tcW w:w="8120" w:type="dxa"/>
            <w:vAlign w:val="bottom"/>
          </w:tcPr>
          <w:p>
            <w:pPr>
              <w:ind w:left="40"/>
              <w:spacing w:after="0"/>
              <w:rPr>
                <w:sz w:val="20"/>
                <w:szCs w:val="20"/>
                <w:color w:val="auto"/>
              </w:rPr>
            </w:pPr>
            <w:r>
              <w:rPr>
                <w:rFonts w:ascii="Arial" w:cs="Arial" w:eastAsia="Arial" w:hAnsi="Arial"/>
                <w:sz w:val="16"/>
                <w:szCs w:val="16"/>
                <w:color w:val="auto"/>
              </w:rPr>
              <w:t>17,685 and 18,109 shares issued and outstanding at September 30, 2019 and December 31, 2018, respectively;</w:t>
            </w:r>
          </w:p>
        </w:tc>
        <w:tc>
          <w:tcPr>
            <w:tcW w:w="200" w:type="dxa"/>
            <w:vAlign w:val="bottom"/>
          </w:tcPr>
          <w:p>
            <w:pPr>
              <w:spacing w:after="0"/>
              <w:rPr>
                <w:sz w:val="17"/>
                <w:szCs w:val="17"/>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159,399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157,898</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33"/>
        </w:trPr>
        <w:tc>
          <w:tcPr>
            <w:tcW w:w="8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stock, at cost, 370 Class A shares at September 30, 2019 and December 31, 2018</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(44,316)</w:t>
            </w:r>
          </w:p>
        </w:tc>
      </w:tr>
      <w:tr>
        <w:trPr>
          <w:trHeight w:val="33"/>
        </w:trPr>
        <w:tc>
          <w:tcPr>
            <w:tcW w:w="8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91,846</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233,828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175,741</w:t>
            </w:r>
          </w:p>
        </w:tc>
      </w:tr>
      <w:tr>
        <w:trPr>
          <w:trHeight w:val="33"/>
        </w:trPr>
        <w:tc>
          <w:tcPr>
            <w:tcW w:w="8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00"/>
          </w:cols>
          <w:pgMar w:left="240" w:top="179" w:right="259" w:bottom="462"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79" w:right="259" w:bottom="462"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67,935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188,650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139,706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and operating expenses: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 (exclusive of 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75,239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53,624</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37,087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23,711</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28,422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6,541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25,361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17,105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5,678</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16,169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10,784</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63,801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44,649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182,278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122,747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Income before provision for (benefit from) income taxes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5,707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(26,874)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31,854</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17,318</w:t>
            </w:r>
          </w:p>
        </w:tc>
      </w:tr>
      <w:tr>
        <w:trPr>
          <w:trHeight w:val="311"/>
        </w:trPr>
        <w:tc>
          <w:tcPr>
            <w:tcW w:w="6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0.49</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34,047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34,219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33,991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34,154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35,421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35,610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35,406</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35,524</w:t>
            </w:r>
          </w:p>
        </w:tc>
      </w:tr>
      <w:tr>
        <w:trPr>
          <w:trHeight w:val="27"/>
        </w:trPr>
        <w:tc>
          <w:tcPr>
            <w:tcW w:w="6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79"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4,978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31,854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Changes in unrealized gains (losses) on investment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4,998</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32,070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17,295</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79"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2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0"/>
        </w:trPr>
        <w:tc>
          <w:tcPr>
            <w:tcW w:w="2640" w:type="dxa"/>
            <w:vAlign w:val="bottom"/>
          </w:tcPr>
          <w:p>
            <w:pPr>
              <w:spacing w:after="0"/>
              <w:rPr>
                <w:sz w:val="23"/>
                <w:szCs w:val="23"/>
                <w:color w:val="auto"/>
              </w:rPr>
            </w:pPr>
          </w:p>
        </w:tc>
        <w:tc>
          <w:tcPr>
            <w:tcW w:w="1640" w:type="dxa"/>
            <w:vAlign w:val="bottom"/>
            <w:gridSpan w:val="5"/>
          </w:tcPr>
          <w:p>
            <w:pPr>
              <w:ind w:left="30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tcPr>
          <w:p>
            <w:pPr>
              <w:jc w:val="center"/>
              <w:ind w:left="240"/>
              <w:spacing w:after="0"/>
              <w:rPr>
                <w:sz w:val="20"/>
                <w:szCs w:val="20"/>
                <w:color w:val="auto"/>
              </w:rPr>
            </w:pPr>
            <w:r>
              <w:rPr>
                <w:rFonts w:ascii="Arial" w:cs="Arial" w:eastAsia="Arial" w:hAnsi="Arial"/>
                <w:sz w:val="14"/>
                <w:szCs w:val="14"/>
                <w:b w:val="1"/>
                <w:bCs w:val="1"/>
                <w:color w:val="auto"/>
                <w:w w:val="91"/>
              </w:rPr>
              <w:t>Common Stock</w:t>
            </w: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23"/>
                <w:szCs w:val="2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23"/>
                <w:szCs w:val="23"/>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23"/>
                <w:szCs w:val="23"/>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276"/>
        </w:trPr>
        <w:tc>
          <w:tcPr>
            <w:tcW w:w="2640" w:type="dxa"/>
            <w:vAlign w:val="bottom"/>
          </w:tcPr>
          <w:p>
            <w:pPr>
              <w:spacing w:after="0"/>
              <w:rPr>
                <w:sz w:val="24"/>
                <w:szCs w:val="24"/>
                <w:color w:val="auto"/>
              </w:rPr>
            </w:pPr>
          </w:p>
        </w:tc>
        <w:tc>
          <w:tcPr>
            <w:tcW w:w="112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Class A</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bottom w:val="single" w:sz="8" w:color="auto"/>
            </w:tcBorders>
            <w:gridSpan w:val="3"/>
          </w:tcPr>
          <w:p>
            <w:pPr>
              <w:jc w:val="center"/>
              <w:ind w:left="240"/>
              <w:spacing w:after="0"/>
              <w:rPr>
                <w:sz w:val="20"/>
                <w:szCs w:val="20"/>
                <w:color w:val="auto"/>
              </w:rPr>
            </w:pPr>
            <w:r>
              <w:rPr>
                <w:rFonts w:ascii="Arial" w:cs="Arial" w:eastAsia="Arial" w:hAnsi="Arial"/>
                <w:sz w:val="14"/>
                <w:szCs w:val="14"/>
                <w:b w:val="1"/>
                <w:bCs w:val="1"/>
                <w:color w:val="auto"/>
                <w:w w:val="89"/>
              </w:rPr>
              <w:t>Class B</w:t>
            </w:r>
          </w:p>
        </w:tc>
        <w:tc>
          <w:tcPr>
            <w:tcW w:w="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Total</w:t>
            </w:r>
          </w:p>
        </w:tc>
      </w:tr>
      <w:tr>
        <w:trPr>
          <w:trHeight w:val="264"/>
        </w:trPr>
        <w:tc>
          <w:tcPr>
            <w:tcW w:w="2640" w:type="dxa"/>
            <w:vAlign w:val="bottom"/>
          </w:tcPr>
          <w:p>
            <w:pPr>
              <w:spacing w:after="0"/>
              <w:rPr>
                <w:sz w:val="22"/>
                <w:szCs w:val="22"/>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15,789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18,109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91,846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90</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Vesting of restricted stock units, net of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(2,572)</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Vesting of early exercised shares</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2"/>
              </w:rPr>
              <w:t>Conversion of Class B stock to Class A</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stock</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3,725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3,725</w:t>
            </w:r>
          </w:p>
        </w:tc>
      </w:tr>
      <w:tr>
        <w:trPr>
          <w:trHeight w:val="33"/>
        </w:trPr>
        <w:tc>
          <w:tcPr>
            <w:tcW w:w="2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15,899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18,071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157,253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95,055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2,080</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Vesting of restricted stock units, net of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(2,247)</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Conversion of Class B stock to Class A</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Issuance of restricted stock awards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23,151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23,151</w:t>
            </w:r>
          </w:p>
        </w:tc>
      </w:tr>
      <w:tr>
        <w:trPr>
          <w:trHeight w:val="33"/>
        </w:trPr>
        <w:tc>
          <w:tcPr>
            <w:tcW w:w="26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June 30, 2019</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16,086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17,952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157,195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118,215</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60</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2,678</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5"/>
              </w:rPr>
              <w:t>Vesting of restricted stock units, net of</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(534)</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Conversion of Class B stock to Class A</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2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4,978</w:t>
            </w:r>
          </w:p>
        </w:tc>
      </w:tr>
      <w:tr>
        <w:trPr>
          <w:trHeight w:val="257"/>
        </w:trPr>
        <w:tc>
          <w:tcPr>
            <w:tcW w:w="2640" w:type="dxa"/>
            <w:vAlign w:val="bottom"/>
          </w:tcPr>
          <w:p>
            <w:pPr>
              <w:ind w:left="40"/>
              <w:spacing w:after="0"/>
              <w:rPr>
                <w:sz w:val="20"/>
                <w:szCs w:val="20"/>
                <w:color w:val="auto"/>
              </w:rPr>
            </w:pPr>
            <w:r>
              <w:rPr>
                <w:rFonts w:ascii="Arial" w:cs="Arial" w:eastAsia="Arial" w:hAnsi="Arial"/>
                <w:sz w:val="16"/>
                <w:szCs w:val="16"/>
                <w:b w:val="1"/>
                <w:bCs w:val="1"/>
                <w:color w:val="auto"/>
              </w:rPr>
              <w:t>Balance at September 30, 2019</w:t>
            </w: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16,373</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17,685</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159,399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125,417</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6"/>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70"/>
        </w:trPr>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720" w:type="dxa"/>
            <w:vAlign w:val="bottom"/>
          </w:tcPr>
          <w:p>
            <w:pPr>
              <w:spacing w:after="0"/>
              <w:rPr>
                <w:sz w:val="23"/>
                <w:szCs w:val="23"/>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23"/>
                <w:szCs w:val="2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3"/>
                <w:szCs w:val="23"/>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6"/>
        </w:trPr>
        <w:tc>
          <w:tcPr>
            <w:tcW w:w="272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Class A</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r>
      <w:tr>
        <w:trPr>
          <w:trHeight w:val="264"/>
        </w:trPr>
        <w:tc>
          <w:tcPr>
            <w:tcW w:w="2720" w:type="dxa"/>
            <w:vAlign w:val="bottom"/>
          </w:tcPr>
          <w:p>
            <w:pPr>
              <w:spacing w:after="0"/>
              <w:rPr>
                <w:sz w:val="22"/>
                <w:szCs w:val="22"/>
                <w:color w:val="auto"/>
              </w:rPr>
            </w:pP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0"/>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2017</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14,879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19,102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(67,247)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85,079</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470</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1,495</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9"/>
              </w:rPr>
              <w:t>Vesting of restricted stock units, net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(1,650)</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shares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6"/>
              </w:rPr>
              <w:t>Conversion of Class B stock to Class 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stock</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8"/>
              </w:rPr>
              <w:t>Cumulative-effect adjustment resulting</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from adoption of ASU 2014-09</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2,964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2,964</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4,320</w:t>
            </w:r>
          </w:p>
        </w:tc>
      </w:tr>
      <w:tr>
        <w:trPr>
          <w:trHeight w:val="231"/>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2018</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15,092</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19,055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152,855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(59,963)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92,539</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1,544</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Vesting of restricted stock units, net of</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Vesting of early exercised shares</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Conversion of Class B stock to Class A</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Issuance of restricted stock awards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7,474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7,474</w:t>
            </w:r>
          </w:p>
        </w:tc>
      </w:tr>
      <w:tr>
        <w:trPr>
          <w:trHeight w:val="33"/>
        </w:trPr>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2018</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15,638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18,577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100,978</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9"/>
              </w:rPr>
              <w:t>Vesting of restricted stock units, net of</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Vesting of early exercised shares</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w:t>
            </w:r>
          </w:p>
        </w:tc>
      </w:tr>
      <w:tr>
        <w:trPr>
          <w:trHeight w:val="220"/>
        </w:trPr>
        <w:tc>
          <w:tcPr>
            <w:tcW w:w="2720" w:type="dxa"/>
            <w:vAlign w:val="bottom"/>
          </w:tcPr>
          <w:p>
            <w:pPr>
              <w:ind w:left="20"/>
              <w:spacing w:after="0"/>
              <w:rPr>
                <w:sz w:val="20"/>
                <w:szCs w:val="20"/>
                <w:color w:val="auto"/>
              </w:rPr>
            </w:pPr>
            <w:r>
              <w:rPr>
                <w:rFonts w:ascii="Arial" w:cs="Arial" w:eastAsia="Arial" w:hAnsi="Arial"/>
                <w:sz w:val="16"/>
                <w:szCs w:val="16"/>
                <w:color w:val="auto"/>
                <w:w w:val="96"/>
              </w:rPr>
              <w:t>Conversion of Class B stock to Class A</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6"/>
                <w:szCs w:val="16"/>
                <w:color w:val="auto"/>
              </w:rPr>
              <w:t>stock</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r>
      <w:tr>
        <w:trPr>
          <w:trHeight w:val="237"/>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5,524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5,524</w:t>
            </w:r>
          </w:p>
        </w:tc>
      </w:tr>
      <w:tr>
        <w:trPr>
          <w:trHeight w:val="33"/>
        </w:trPr>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2018</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15,984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18,250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108,363</w:t>
            </w:r>
          </w:p>
        </w:tc>
      </w:tr>
      <w:tr>
        <w:trPr>
          <w:trHeight w:val="20"/>
        </w:trPr>
        <w:tc>
          <w:tcPr>
            <w:tcW w:w="2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ectPr>
          <w:pgSz w:w="11900" w:h="16838" w:orient="portrait"/>
          <w:cols w:equalWidth="0" w:num="1">
            <w:col w:w="11400"/>
          </w:cols>
          <w:pgMar w:left="240" w:top="179" w:right="2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79" w:right="25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31,854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17,318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16,169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10,784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4,419</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Accrued employee expenses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5,883</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23,413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24,601</w:t>
            </w: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from investing activities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8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Additions to capitalized software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Sales of investment securities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701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of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28,477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Acquisition, net of cash acquired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(54,004)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(14,441)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(70,728)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(24,784)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713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withholding for net share settlement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on debt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Payment of debt issuance costs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37"/>
        </w:trPr>
        <w:tc>
          <w:tcPr>
            <w:tcW w:w="8580" w:type="dxa"/>
            <w:vAlign w:val="bottom"/>
          </w:tcPr>
          <w:p>
            <w:pPr>
              <w:ind w:left="1140"/>
              <w:spacing w:after="0"/>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74,506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16,537</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20,552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14,173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79"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79"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APPFOLIO, INC.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(UNAUDITED)</w:t>
      </w:r>
    </w:p>
    <w:p>
      <w:pPr>
        <w:spacing w:after="0" w:line="127"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96"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13335</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840" w:type="dxa"/>
            <w:vAlign w:val="bottom"/>
          </w:tcPr>
          <w:p>
            <w:pPr>
              <w:jc w:val="right"/>
              <w:ind w:right="65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1,613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55</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of capitalized software included in accrued and accrued employee expenses</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Stock-based compensation capitalized for software development</w:t>
            </w: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751</w:t>
            </w:r>
          </w:p>
        </w:tc>
      </w:tr>
      <w:tr>
        <w:trPr>
          <w:trHeight w:val="27"/>
        </w:trPr>
        <w:tc>
          <w:tcPr>
            <w:tcW w:w="8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Purchase consideration for acquisitions included in other current liabilities</w:t>
            </w:r>
          </w:p>
        </w:tc>
        <w:tc>
          <w:tcPr>
            <w:tcW w:w="8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5,977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the Condensed Consolidated Balance Sheets to the total of the same such amounts shown above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20,121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3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428</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20,552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14,173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79"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AppFolio, Inc. (“we,” "us" or "our") provides industry-specific, cloud-based business software solutions, services and data analytics to the real estate market, which comprises a significant majority of our revenue, and, to a lesser extent, to the legal market. Our mission is to revolutionize vertical industry businesses by providing great software and services. We believe we accomplish this mission by providing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Customers in our real estate market directly and indirectly account for more than 90% of our annual revenue. Real estate customers include third-party property managers, owner-operators and real estate investment managers who manage and/or invest in single- and multi-family residences, commercial properties, community associations, student housing, as well as mixed real estate portfolios. Our legal customers are typically small law firms that directly and indirectly account for less than 10% of our annual revenue.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of Dynasty Marketplace, Inc.</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On January 7, 2019, we completed the acquisition of Dynasty Marketplace, Inc. ("Dynasty"), a provider of advanced artificial intelligence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 For additional information regarding this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filed with the Securities and Exchange Commission ("SEC") on February 28, 2019.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the Condensed Consolidated Financial Statements. The operating results for the nine months ended September 30, 2019 are not necessarily indicative of the results expected for the full year ending December 31, 2019.</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reclassified certain amounts in our Condensed Consolidated Statements of Cash Flows within the cash from operating activities section in the prior year to conform to the current year's presentation.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On January 1, 2019, we adopted Financial Accounting Standards Board ("FASB") Accounting Standards Update ("ASU") No. 2016-02, </w:t>
      </w:r>
      <w:r>
        <w:rPr>
          <w:rFonts w:ascii="Arial" w:cs="Arial" w:eastAsia="Arial" w:hAnsi="Arial"/>
          <w:sz w:val="18"/>
          <w:szCs w:val="18"/>
          <w:i w:val="1"/>
          <w:iCs w:val="1"/>
          <w:color w:val="auto"/>
        </w:rPr>
        <w:t>Leases</w:t>
      </w:r>
      <w:r>
        <w:rPr>
          <w:rFonts w:ascii="Arial" w:cs="Arial" w:eastAsia="Arial" w:hAnsi="Arial"/>
          <w:sz w:val="18"/>
          <w:szCs w:val="18"/>
          <w:color w:val="auto"/>
        </w:rPr>
        <w:t>, as amended ("ASU 2016-02" or the "new lease standard"), and have revised certain related accounting policies as follows: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79"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ROU assets also include any lease payments made and excludes lease incentives and initial direct costs incurred. Our lease terms may include options to extend or terminate the lease when it is reasonably certain that we will exercise that option.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We have lease arrangements with lease and non-lease components, which are generally accounted for as a single lease component. Leases with an initial term of 12 months or less are not recorded on the balance sheet; we recognize lease expense for these leases on a straight-line basis over the lease term.</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at the dates of the financial statements, and the reported amounts of revenues and expenses during the reporting period. Actual results could differ materially from those estimates. On an ongoing basis, management evaluates its estimates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income per common share (in thousands):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14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34,050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34,227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33,995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34,047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34,219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33,991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34,154</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0"/>
              <w:spacing w:after="0"/>
              <w:rPr>
                <w:sz w:val="20"/>
                <w:szCs w:val="20"/>
                <w:color w:val="auto"/>
              </w:rPr>
            </w:pPr>
            <w:r>
              <w:rPr>
                <w:rFonts w:ascii="Arial" w:cs="Arial" w:eastAsia="Arial" w:hAnsi="Arial"/>
                <w:sz w:val="18"/>
                <w:szCs w:val="18"/>
                <w:color w:val="auto"/>
                <w:w w:val="93"/>
              </w:rPr>
              <w:t>Plus: Weighted average options, restricted stock units and restricted shares used to compute</w:t>
            </w: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35,421</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35,610</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35,406</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35,524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2019 and 2018, an aggregate of approximately 361,000 and 503,000 shares, respectively, underlying performance based options ("PSOs") and performance based restricted stock units ("PSUs"), were not included in the computations of diluted and anti-dilutive shares as they are considered contingently issuable upon the satisfaction of pre-defined performance measures and their respective performance measures have not been met.</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presents the number of anti-dilutive common shares excluded from the calculation of weighted average number of shares used to compute diluted net income per common share for the three and nine months ended September 30, 2019 and 2018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9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248"/>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r>
      <w:tr>
        <w:trPr>
          <w:trHeight w:val="25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w:t>
            </w:r>
          </w:p>
        </w:tc>
        <w:tc>
          <w:tcPr>
            <w:tcW w:w="4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r>
      <w:tr>
        <w:trPr>
          <w:trHeight w:val="270"/>
        </w:trPr>
        <w:tc>
          <w:tcPr>
            <w:tcW w:w="69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Contingent restricted stock units</w:t>
            </w:r>
            <w:r>
              <w:rPr>
                <w:rFonts w:ascii="Arial" w:cs="Arial" w:eastAsia="Arial" w:hAnsi="Arial"/>
                <w:sz w:val="25"/>
                <w:szCs w:val="25"/>
                <w:color w:val="auto"/>
                <w:vertAlign w:val="superscript"/>
              </w:rPr>
              <w:t>(1)</w:t>
            </w:r>
          </w:p>
        </w:tc>
        <w:tc>
          <w:tcPr>
            <w:tcW w:w="6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r>
      <w:tr>
        <w:trPr>
          <w:trHeight w:val="257"/>
        </w:trPr>
        <w:tc>
          <w:tcPr>
            <w:tcW w:w="7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shares excluded from diluted net income per common share</w:t>
            </w:r>
          </w:p>
        </w:tc>
        <w:tc>
          <w:tcPr>
            <w:tcW w:w="4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8"/>
        <w:spacing w:after="0" w:line="243" w:lineRule="auto"/>
        <w:tabs>
          <w:tab w:leader="none" w:pos="203" w:val="left"/>
        </w:tabs>
        <w:numPr>
          <w:ilvl w:val="0"/>
          <w:numId w:val="2"/>
        </w:numPr>
        <w:rPr>
          <w:rFonts w:ascii="Arial" w:cs="Arial" w:eastAsia="Arial" w:hAnsi="Arial"/>
          <w:sz w:val="23"/>
          <w:szCs w:val="23"/>
          <w:color w:val="auto"/>
          <w:vertAlign w:val="superscript"/>
        </w:rPr>
      </w:pPr>
      <w:r>
        <w:rPr>
          <w:rFonts w:ascii="Arial" w:cs="Arial" w:eastAsia="Arial" w:hAnsi="Arial"/>
          <w:sz w:val="17"/>
          <w:szCs w:val="17"/>
          <w:color w:val="auto"/>
        </w:rPr>
        <w:t>The reported shares are based on fixed price restricted stock unit (“RSU”) commitments for which the number of shares was not determined at the grant date. For the purposes of this table, the number of shares has been determined by dividing the fixed price commitment to issue shares in the future by the closing price of our common stock as of the applicable reporting period date.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2016, the FASB issued ASU No. 2016-02, which requires an entity to recognize ROU assets and lease liabilities on its balance sheet and disclose key information about leasing arrangements. ASU 2016-02 offers specific accounting guidance for a lessee, a lessor and sale and leaseback transactions. Lessees and lessors are required to disclose qualitative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79"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quantitative information about leasing arrangements to enable a user of the financial statements to assess the amount, timing and uncertainty of cash flows arising from leases. In July 2018, the FASB issued ASU No. 2018-11, Leases (Topic 842): Targeted Improvements ("ASU 2018-11"). Among other things, ASU 2018-11 provides administrative relief by allowing entities to implement the lease standard on a modified retrospective basis (the "Optional Transition Method"). Effectively, the Optional Transition Method permits us to adopt the lease standard through a cumulative effect adjustment to our opening balance sheet as of January 1, 2019, and report under the new lease standard on a post-adoption basis.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adopted ASU 2016-02 effective January 1, 2019, using the Optional Transition Method. We elected the package of practical expedients permitted under the transition guidance, which allows us to carry forward our historical lease classification, our assessment of whether a contract is or contains a lease, and our initial direct costs for any leases that existed prior to adoption of the new lease standard. The comparative information has not been restated and continues to be reported under the accounting standards in effect for those periods. We updated our accounting policies, processes, internal controls and information systems that were required to meet the new lease standard's reporting and disclosure requirements.</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adoption of ASU 2016-02 had a material impact on our Condensed Consolidated Balance Sheets, but did not have an impact on our Condensed Consolidated Statements of Operations or our Condensed Consolidated Statements of Cash Flows. The most significant impact was the recognition of ROU assets and lease liabilities for operating leases. We also reclassified prepaid and deferred rent to the ROU asset balance as of January 1, 2019.</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cumulative effect of the changes made to our Condensed Consolidated Balance Sheet at January 1, 2019 for the adoption of the new lease standard was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1380" w:type="dxa"/>
            <w:vAlign w:val="bottom"/>
          </w:tcPr>
          <w:p>
            <w:pPr>
              <w:jc w:val="right"/>
              <w:ind w:right="39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15"/>
              <w:spacing w:after="0"/>
              <w:rPr>
                <w:sz w:val="20"/>
                <w:szCs w:val="20"/>
                <w:color w:val="auto"/>
              </w:rPr>
            </w:pPr>
            <w:r>
              <w:rPr>
                <w:rFonts w:ascii="Arial" w:cs="Arial" w:eastAsia="Arial" w:hAnsi="Arial"/>
                <w:sz w:val="14"/>
                <w:szCs w:val="14"/>
                <w:b w:val="1"/>
                <w:bCs w:val="1"/>
                <w:color w:val="auto"/>
              </w:rPr>
              <w:t>January 1, 2019</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11,775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3,493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Arial" w:cs="Arial" w:eastAsia="Arial" w:hAnsi="Arial"/>
                <w:sz w:val="18"/>
                <w:szCs w:val="18"/>
                <w:color w:val="auto"/>
              </w:rPr>
              <w:t>7,080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2017, the FASB issued ASU No. 2017-08, Receivables-Nonrefundable Fees and Other Costs (Subtopic 310-20), Premium Amortization on Purchased Callable Debt Securities (“ASU 2017-08”). ASU 2017-08 shortens the amortization period for certain callable debt securities held at a premium. Specifically, ASU 2017-08 requires the premium to be amortized to the earliest call date. ASU 2017-08 does not require an accounting change for securities held at a discount; the discount continues to be amortized to maturity. The amendments should be applied on a modified retrospective basis, with a cumulative-effect adjustment made directly to retained earnings at the beginning of the period of adoption. The adoption of this guidance did not have a material impact on our financial condition, results of operations, cash flows or disclosures.</w:t>
      </w:r>
    </w:p>
    <w:p>
      <w:pPr>
        <w:spacing w:after="0" w:line="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2018, the FASB issued ASU No. 2018-07, Compensation - Stock Compensation (Topic 718): Improvements to Nonemployee Share-Based Payment Accounting ("ASU 2018-07"). This amendment expands the scope of Topic 718, Compensation—Stock Compensation (which only included share-based payments to employees) to include share-based payments issued to nonemployees for goods or services. Consequently, the accounting for share-based payments to nonemployees and employees will be substantially aligned. The adoption of this guidance did not have a material impact on our financial condition, results of operations, cash flows or disclosures.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June 2016, the FASB issued ASU No. 2016-13, Financial Instruments - Credit Losses (Topic 326): Measurement of Credit Losses on Financial Instruments ("ASU 2016-13"), which amends the current accounting 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ASU 2016-13 is effective for annual periods beginning after December 15, 2019, and interim periods within those annual periods. Early adoption is permitted for any interim or annual period after December 15, 2018. We do not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79"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expect the adoption of ASU 2016-13 will have a material impact on our financial condition, results of operations, cash flows or disclosures.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("ASU 2018-15"), a series of amendments 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For public business entities, the amendments are effective for annual periods, including interim periods within those annual periods, beginning after December 15, 2019. We will adopt ASU 2018-15 on January 1, 2020, on a prospective basis for all implementation costs incurred after the date of adoption. We do not expect the adoption of this guidance will have a material impact on our financial condition, results of operations, cash flows or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7, 2019, we acquired 100% of the voting equity interest of Dynasty, a provider of advanced AI solutions for the real estate market. Dynasty offers advanced conversational AI solutions that automate leasing communications, replace manual tasks and help customers grow their portfolios. Dynasty’s technology is designed to enable operational efficiency in the leasing process including consistent prospect experience, lead conversion, and improved market insights.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total purchase consideration was $60.2 million, subject to certain adjustments, of which $6.0 million (the "Holdback Amount") was retained by the Company to satisfy any such adjustments, including without limitation certain indemnification claims. The balance of the Holdback Amount, less any amount retained with respect to any unresolved indemnification claims, will be released to the stockholders of Dynasty, within three business days after the one-year anniversary of the Closing Date. The Holdback Amount is recorded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Condensed Consolidated Balance Sheet as of September 30, 2019.</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estimates of future revenue and cash flows, discount rates, the software decay rate and database ramp up rate and the selection of comparable companies. We are in the process of finalizing the valuation of the assets. Based on additional information obtained during the quarter ended September 30, 2019</w:t>
      </w:r>
      <w:r>
        <w:rPr>
          <w:rFonts w:ascii="Arial" w:cs="Arial" w:eastAsia="Arial" w:hAnsi="Arial"/>
          <w:sz w:val="17"/>
          <w:szCs w:val="17"/>
          <w:color w:val="263238"/>
        </w:rPr>
        <w:t>,</w:t>
      </w:r>
      <w:r>
        <w:rPr>
          <w:rFonts w:ascii="Arial" w:cs="Arial" w:eastAsia="Arial" w:hAnsi="Arial"/>
          <w:sz w:val="17"/>
          <w:szCs w:val="17"/>
          <w:color w:val="auto"/>
        </w:rPr>
        <w:t xml:space="preserve"> we recorded a decrease to the deferred tax liability, net of $0.1 million with a corresponding decrease to goodwill. Additionally, we recorded a working capital adjustment of $22,000. The following table summarizes the preliminary purchase price allocation (in thousands) as well as the estimated useful lives of the acquired intangible assets over which they are amortized on a straight-line basis, as this approximates the pattern in which economic benefits are consumed: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79"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192"/>
        </w:trPr>
        <w:tc>
          <w:tcPr>
            <w:tcW w:w="8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Identified intangible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4.0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4,710</w:t>
            </w:r>
          </w:p>
        </w:tc>
        <w:tc>
          <w:tcPr>
            <w:tcW w:w="15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5.0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c>
          <w:tcPr>
            <w:tcW w:w="15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10.0</w:t>
            </w: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7,340</w:t>
            </w:r>
          </w:p>
        </w:tc>
        <w:tc>
          <w:tcPr>
            <w:tcW w:w="1580" w:type="dxa"/>
            <w:vAlign w:val="bottom"/>
            <w:gridSpan w:val="2"/>
          </w:tcPr>
          <w:p>
            <w:pPr>
              <w:jc w:val="center"/>
              <w:ind w:left="30"/>
              <w:spacing w:after="0"/>
              <w:rPr>
                <w:sz w:val="20"/>
                <w:szCs w:val="20"/>
                <w:color w:val="auto"/>
              </w:rPr>
            </w:pPr>
            <w:r>
              <w:rPr>
                <w:rFonts w:ascii="Arial" w:cs="Arial" w:eastAsia="Arial" w:hAnsi="Arial"/>
                <w:sz w:val="18"/>
                <w:szCs w:val="18"/>
                <w:color w:val="auto"/>
                <w:w w:val="87"/>
              </w:rPr>
              <w:t>5.0</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20,750</w:t>
            </w:r>
          </w:p>
        </w:tc>
        <w:tc>
          <w:tcPr>
            <w:tcW w:w="15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7"/>
              </w:rPr>
              <w:t>6.0</w:t>
            </w: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42,844</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63,934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324"/>
        </w:trPr>
        <w:tc>
          <w:tcPr>
            <w:tcW w:w="8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3,678</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 consideration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60,208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incurred a total of $291,000 in transaction costs related to the acquisition and expensed all transaction costs incurred during the period in which such service was received. The results of operations of Dynasty since the acquisition are included in our Condensed Consolidated Statements of Operations for the three and nine months ended September 30, 2019. Revenue and net loss attributable to Dynasty for the three months ended September 30, 2019 was $0.8 million and $2.5 million, respectively, and in the period from the acquisition date of January 7, 2019 through September 30, 2019, was $2.0 million and $6.6 million, respectively.</w:t>
      </w: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WegoWise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August 31, 2018, we completed the acquisition of substantially all of the assets of WegoWise, Inc. ("WegoWise"), a provider of cloud-based utility analytics software solutions serving the real estate market. The WegoWise platform empowers building owners and third-party property managers to better manage operating and capital expenditures relating to utilities. Earlier this year we launched our AppFolio Utility Management Value+ service, which has been developed from certain key aspects of the WegoWise platform, and is a fully integrated offering that provides enhanced functionality to our real estate customers for utility analytics and management.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consideration paid in cash for the assets was $14.4 million. The transaction was accounted for using the acquisition method, and as a result, assets acquired and liabilities assumed were recorded at their estimated fair values as of the acquisition date. The following table summarizes the final purchase price allocation (in thousands) as well as the estimated useful lives of the acquired intangible assets over which they are amortized on a straight-line basis, as this approximates the pattern in which economic benefits are consumed: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79"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433"/>
              <w:spacing w:after="0"/>
              <w:rPr>
                <w:sz w:val="20"/>
                <w:szCs w:val="20"/>
                <w:color w:val="auto"/>
              </w:rPr>
            </w:pPr>
            <w:r>
              <w:rPr>
                <w:rFonts w:ascii="Arial" w:cs="Arial" w:eastAsia="Arial" w:hAnsi="Arial"/>
                <w:sz w:val="14"/>
                <w:szCs w:val="14"/>
                <w:b w:val="1"/>
                <w:bCs w:val="1"/>
                <w:color w:val="auto"/>
              </w:rPr>
              <w:t>Amount</w:t>
            </w:r>
          </w:p>
        </w:tc>
        <w:tc>
          <w:tcPr>
            <w:tcW w:w="1580" w:type="dxa"/>
            <w:vAlign w:val="bottom"/>
          </w:tcPr>
          <w:p>
            <w:pPr>
              <w:jc w:val="center"/>
              <w:ind w:left="34"/>
              <w:spacing w:after="0"/>
              <w:rPr>
                <w:sz w:val="20"/>
                <w:szCs w:val="20"/>
                <w:color w:val="auto"/>
              </w:rPr>
            </w:pPr>
            <w:r>
              <w:rPr>
                <w:rFonts w:ascii="Arial" w:cs="Arial" w:eastAsia="Arial" w:hAnsi="Arial"/>
                <w:sz w:val="14"/>
                <w:szCs w:val="14"/>
                <w:b w:val="1"/>
                <w:bCs w:val="1"/>
                <w:color w:val="auto"/>
                <w:w w:val="94"/>
              </w:rPr>
              <w:t>Estimated Useful Life</w:t>
            </w: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7"/>
              </w:rPr>
              <w:t>(in thousands)</w:t>
            </w:r>
          </w:p>
        </w:tc>
        <w:tc>
          <w:tcPr>
            <w:tcW w:w="1580" w:type="dxa"/>
            <w:vAlign w:val="bottom"/>
            <w:tcBorders>
              <w:bottom w:val="single" w:sz="8" w:color="auto"/>
            </w:tcBorders>
          </w:tcPr>
          <w:p>
            <w:pPr>
              <w:jc w:val="center"/>
              <w:ind w:left="34"/>
              <w:spacing w:after="0"/>
              <w:rPr>
                <w:sz w:val="20"/>
                <w:szCs w:val="20"/>
                <w:color w:val="auto"/>
              </w:rPr>
            </w:pPr>
            <w:r>
              <w:rPr>
                <w:rFonts w:ascii="Arial" w:cs="Arial" w:eastAsia="Arial" w:hAnsi="Arial"/>
                <w:sz w:val="14"/>
                <w:szCs w:val="14"/>
                <w:b w:val="1"/>
                <w:bCs w:val="1"/>
                <w:color w:val="auto"/>
                <w:w w:val="93"/>
              </w:rPr>
              <w:t>(in years)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270</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1,170</w:t>
            </w:r>
          </w:p>
        </w:tc>
        <w:tc>
          <w:tcPr>
            <w:tcW w:w="15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87"/>
              </w:rPr>
              <w:t>5.0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3,620</w:t>
            </w:r>
          </w:p>
        </w:tc>
        <w:tc>
          <w:tcPr>
            <w:tcW w:w="1580" w:type="dxa"/>
            <w:vAlign w:val="bottom"/>
          </w:tcPr>
          <w:p>
            <w:pPr>
              <w:jc w:val="center"/>
              <w:ind w:left="14"/>
              <w:spacing w:after="0"/>
              <w:rPr>
                <w:sz w:val="20"/>
                <w:szCs w:val="20"/>
                <w:color w:val="auto"/>
              </w:rPr>
            </w:pPr>
            <w:r>
              <w:rPr>
                <w:rFonts w:ascii="Arial" w:cs="Arial" w:eastAsia="Arial" w:hAnsi="Arial"/>
                <w:sz w:val="18"/>
                <w:szCs w:val="18"/>
                <w:color w:val="auto"/>
                <w:w w:val="91"/>
              </w:rPr>
              <w:t>10.0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 and trade name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w:t>
            </w:r>
          </w:p>
        </w:tc>
        <w:tc>
          <w:tcPr>
            <w:tcW w:w="1580" w:type="dxa"/>
            <w:vAlign w:val="bottom"/>
            <w:tcBorders>
              <w:bottom w:val="single" w:sz="8" w:color="CCEEFF"/>
            </w:tcBorders>
            <w:shd w:val="clear" w:color="auto" w:fill="CCEEFF"/>
          </w:tcPr>
          <w:p>
            <w:pPr>
              <w:jc w:val="center"/>
              <w:ind w:left="14"/>
              <w:spacing w:after="0"/>
              <w:rPr>
                <w:sz w:val="20"/>
                <w:szCs w:val="20"/>
                <w:color w:val="auto"/>
              </w:rPr>
            </w:pPr>
            <w:r>
              <w:rPr>
                <w:rFonts w:ascii="Arial" w:cs="Arial" w:eastAsia="Arial" w:hAnsi="Arial"/>
                <w:sz w:val="18"/>
                <w:szCs w:val="18"/>
                <w:color w:val="auto"/>
                <w:w w:val="91"/>
              </w:rPr>
              <w:t>10.0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Non-compete agreement</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w w:val="87"/>
              </w:rPr>
              <w:t>5.0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5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87"/>
              </w:rPr>
              <w:t>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intangible assets subject to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5,360</w:t>
            </w:r>
          </w:p>
        </w:tc>
        <w:tc>
          <w:tcPr>
            <w:tcW w:w="1580" w:type="dxa"/>
            <w:vAlign w:val="bottom"/>
          </w:tcPr>
          <w:p>
            <w:pPr>
              <w:jc w:val="center"/>
              <w:ind w:left="34"/>
              <w:spacing w:after="0"/>
              <w:rPr>
                <w:sz w:val="20"/>
                <w:szCs w:val="20"/>
                <w:color w:val="auto"/>
              </w:rPr>
            </w:pPr>
            <w:r>
              <w:rPr>
                <w:rFonts w:ascii="Arial" w:cs="Arial" w:eastAsia="Arial" w:hAnsi="Arial"/>
                <w:sz w:val="18"/>
                <w:szCs w:val="18"/>
                <w:color w:val="auto"/>
                <w:w w:val="87"/>
              </w:rPr>
              <w:t>8.6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8,811</w:t>
            </w:r>
          </w:p>
        </w:tc>
        <w:tc>
          <w:tcPr>
            <w:tcW w:w="1580" w:type="dxa"/>
            <w:vAlign w:val="bottom"/>
            <w:tcBorders>
              <w:bottom w:val="single" w:sz="8" w:color="CCEEFF"/>
            </w:tcBorders>
            <w:shd w:val="clear" w:color="auto" w:fill="CCEEFF"/>
          </w:tcPr>
          <w:p>
            <w:pPr>
              <w:jc w:val="center"/>
              <w:ind w:left="34"/>
              <w:spacing w:after="0"/>
              <w:rPr>
                <w:sz w:val="20"/>
                <w:szCs w:val="20"/>
                <w:color w:val="auto"/>
              </w:rPr>
            </w:pPr>
            <w:r>
              <w:rPr>
                <w:rFonts w:ascii="Arial" w:cs="Arial" w:eastAsia="Arial" w:hAnsi="Arial"/>
                <w:sz w:val="18"/>
                <w:szCs w:val="18"/>
                <w:color w:val="auto"/>
                <w:w w:val="95"/>
              </w:rPr>
              <w:t>Indefinite</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Purchase consideration, paid in cash</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14,441</w:t>
            </w:r>
          </w:p>
        </w:tc>
        <w:tc>
          <w:tcPr>
            <w:tcW w:w="1580" w:type="dxa"/>
            <w:vAlign w:val="bottom"/>
          </w:tcPr>
          <w:p>
            <w:pPr>
              <w:spacing w:after="0"/>
              <w:rPr>
                <w:sz w:val="22"/>
                <w:szCs w:val="2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deductible for U.S. federal income tax purposes.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incurred a total of $240,000 in transaction costs related to the acquisition and expensed all transaction costs incurred during the period in which such service was received.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Results of Acquisitions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unaudited pro forma information has been prepared for illustrative purposes only, and assumes that the aforementioned Dynasty and WegoWise acquisitions occurred on January 1, 2018 and January 1, 2017, respectively,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39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67,935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188,685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142,733</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4,978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27,911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10,970</w:t>
            </w:r>
          </w:p>
        </w:tc>
      </w:tr>
      <w:tr>
        <w:trPr>
          <w:trHeight w:val="27"/>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97"/>
        </w:trPr>
        <w:tc>
          <w:tcPr>
            <w:tcW w:w="396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 per common share:</w:t>
            </w:r>
          </w:p>
        </w:tc>
        <w:tc>
          <w:tcPr>
            <w:tcW w:w="2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Diluted</w:t>
            </w:r>
          </w:p>
        </w:tc>
        <w:tc>
          <w:tcPr>
            <w:tcW w:w="2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0.31</w:t>
            </w:r>
          </w:p>
        </w:tc>
      </w:tr>
      <w:tr>
        <w:trPr>
          <w:trHeight w:val="918"/>
        </w:trPr>
        <w:tc>
          <w:tcPr>
            <w:tcW w:w="3960" w:type="dxa"/>
            <w:vAlign w:val="bottom"/>
          </w:tcPr>
          <w:p>
            <w:pPr>
              <w:spacing w:after="0"/>
              <w:rPr>
                <w:sz w:val="24"/>
                <w:szCs w:val="24"/>
                <w:color w:val="auto"/>
              </w:rPr>
            </w:pP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60" w:right="722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Investment securities classified as available-for-sale consisted of the following at September 30, 2019 and December 31, 2018 (in thousands):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September 30, 2019</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25,015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December 31, 2018</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Gross Unrealized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4,345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28,065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27,887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September 30, 2019, the unrealized losses on investment securities which have been in a net loss position for 12 months or greater were not material. These unrealized losses are considered temporary and there were no impairments considered to be "other-than-temporary" based on our evaluation of available evidence, which includes our intent to hold these investments to maturity or until a recovery of the cost basis.</w:t>
      </w:r>
    </w:p>
    <w:p>
      <w:pPr>
        <w:spacing w:after="0" w:line="1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September 30, 2019 and December 31, 2018, the contractual maturities of our investments did not exceed 36 months. The fair values of available-for-sale investment securities, by remaining contractual maturity, are as follows (in thousands):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September 30, 2019</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December 31, 2018</w:t>
            </w:r>
          </w:p>
        </w:tc>
        <w:tc>
          <w:tcPr>
            <w:tcW w:w="780" w:type="dxa"/>
            <w:vAlign w:val="bottom"/>
            <w:tcBorders>
              <w:bottom w:val="single" w:sz="8" w:color="auto"/>
            </w:tcBorders>
          </w:tcPr>
          <w:p>
            <w:pPr>
              <w:spacing w:after="0"/>
              <w:rPr>
                <w:sz w:val="16"/>
                <w:szCs w:val="16"/>
                <w:color w:val="auto"/>
              </w:rPr>
            </w:pPr>
          </w:p>
        </w:tc>
      </w:tr>
      <w:tr>
        <w:trPr>
          <w:trHeight w:val="264"/>
        </w:trPr>
        <w:tc>
          <w:tcPr>
            <w:tcW w:w="5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Estimated Fair Value</w:t>
            </w:r>
          </w:p>
        </w:tc>
        <w:tc>
          <w:tcPr>
            <w:tcW w:w="180" w:type="dxa"/>
            <w:vAlign w:val="bottom"/>
          </w:tcPr>
          <w:p>
            <w:pPr>
              <w:spacing w:after="0"/>
              <w:rPr>
                <w:sz w:val="22"/>
                <w:szCs w:val="22"/>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16,631</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Pr>
          <w:p>
            <w:pPr>
              <w:spacing w:after="0"/>
              <w:rPr>
                <w:sz w:val="21"/>
                <w:szCs w:val="21"/>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4,689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11,256</w:t>
            </w:r>
          </w:p>
        </w:tc>
      </w:tr>
      <w:tr>
        <w:trPr>
          <w:trHeight w:val="27"/>
        </w:trPr>
        <w:tc>
          <w:tcPr>
            <w:tcW w:w="5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available-for-sale investment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25,015</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28,065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27,887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776"/>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17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nine months ended September 30, 2019 and 2018, we had sales and maturities (which include calls) of investment securities,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2019</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Gross Realized Gains</w:t>
            </w:r>
          </w:p>
        </w:tc>
        <w:tc>
          <w:tcPr>
            <w:tcW w:w="120" w:type="dxa"/>
            <w:vAlign w:val="bottom"/>
            <w:vMerge w:val="restart"/>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Gross Realized Losses</w:t>
            </w:r>
          </w:p>
        </w:tc>
        <w:tc>
          <w:tcPr>
            <w:tcW w:w="100" w:type="dxa"/>
            <w:vAlign w:val="bottom"/>
            <w:vMerge w:val="restart"/>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8,350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2,650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securities</w:t>
            </w:r>
          </w:p>
        </w:tc>
        <w:tc>
          <w:tcPr>
            <w:tcW w:w="6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w w:val="96"/>
              </w:rPr>
              <w:t>Total sales and maturities (including calls) of investment securities</w:t>
            </w: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Nine Months Ended September 30, 2018</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5"/>
              </w:rPr>
              <w:t>Gross Realized Gains</w:t>
            </w:r>
          </w:p>
        </w:tc>
        <w:tc>
          <w:tcPr>
            <w:tcW w:w="120" w:type="dxa"/>
            <w:vAlign w:val="bottom"/>
            <w:vMerge w:val="restart"/>
          </w:tcPr>
          <w:p>
            <w:pPr>
              <w:spacing w:after="0"/>
              <w:rPr>
                <w:sz w:val="13"/>
                <w:szCs w:val="13"/>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Gross Realized Losses</w:t>
            </w:r>
          </w:p>
        </w:tc>
        <w:tc>
          <w:tcPr>
            <w:tcW w:w="100" w:type="dxa"/>
            <w:vAlign w:val="bottom"/>
            <w:vMerge w:val="restart"/>
          </w:tcPr>
          <w:p>
            <w:pPr>
              <w:spacing w:after="0"/>
              <w:rPr>
                <w:sz w:val="13"/>
                <w:szCs w:val="13"/>
                <w:color w:val="auto"/>
              </w:rPr>
            </w:pPr>
          </w:p>
        </w:tc>
        <w:tc>
          <w:tcPr>
            <w:tcW w:w="15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148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89"/>
              </w:rPr>
              <w:t>Gross Proceeds from</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3"/>
              <w:spacing w:after="0"/>
              <w:rPr>
                <w:sz w:val="20"/>
                <w:szCs w:val="20"/>
                <w:color w:val="auto"/>
              </w:rPr>
            </w:pPr>
            <w:r>
              <w:rPr>
                <w:rFonts w:ascii="Arial" w:cs="Arial" w:eastAsia="Arial" w:hAnsi="Arial"/>
                <w:sz w:val="14"/>
                <w:szCs w:val="14"/>
                <w:b w:val="1"/>
                <w:bCs w:val="1"/>
                <w:color w:val="auto"/>
                <w:w w:val="87"/>
              </w:rPr>
              <w:t>Sales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16,457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Agency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Treasury securities</w:t>
            </w:r>
          </w:p>
        </w:tc>
        <w:tc>
          <w:tcPr>
            <w:tcW w:w="660" w:type="dxa"/>
            <w:vAlign w:val="bottom"/>
          </w:tcPr>
          <w:p>
            <w:pPr>
              <w:spacing w:after="0"/>
              <w:rPr>
                <w:sz w:val="21"/>
                <w:szCs w:val="21"/>
                <w:color w:val="auto"/>
              </w:rPr>
            </w:pPr>
          </w:p>
        </w:tc>
        <w:tc>
          <w:tcPr>
            <w:tcW w:w="9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Total sales and maturities (including calls) of investment securities</w:t>
            </w:r>
          </w:p>
        </w:tc>
        <w:tc>
          <w:tcPr>
            <w:tcW w:w="66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28,477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Interest income, net of the amortization and accretion of the premium and discount, was $0.1 million and $0.3 million for the three months ended September 30, 2019 and 2018, respectively, and $0.5 million and $0.8 million for the nine months ended September 30, 2019 and 2018, respectively.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September 30, 2019 and December 31, 2018 by level within the fair value hierarchy (in thousands):</w:t>
      </w:r>
    </w:p>
    <w:p>
      <w:pPr>
        <w:spacing w:after="0" w:line="200" w:lineRule="exact"/>
        <w:rPr>
          <w:sz w:val="20"/>
          <w:szCs w:val="20"/>
          <w:color w:val="auto"/>
        </w:rPr>
      </w:pPr>
    </w:p>
    <w:p>
      <w:pPr>
        <w:spacing w:after="0" w:line="202"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Level 1</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Money market funds</w:t>
            </w:r>
          </w:p>
        </w:tc>
        <w:tc>
          <w:tcPr>
            <w:tcW w:w="960" w:type="dxa"/>
            <w:vAlign w:val="bottom"/>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96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12,628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Agency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43"/>
        </w:trPr>
        <w:tc>
          <w:tcPr>
            <w:tcW w:w="5140" w:type="dxa"/>
            <w:vAlign w:val="bottom"/>
          </w:tcPr>
          <w:p>
            <w:pPr>
              <w:ind w:left="100"/>
              <w:spacing w:after="0"/>
              <w:rPr>
                <w:sz w:val="20"/>
                <w:szCs w:val="20"/>
                <w:color w:val="auto"/>
              </w:rPr>
            </w:pPr>
            <w:r>
              <w:rPr>
                <w:rFonts w:ascii="Arial" w:cs="Arial" w:eastAsia="Arial" w:hAnsi="Arial"/>
                <w:sz w:val="18"/>
                <w:szCs w:val="18"/>
                <w:color w:val="auto"/>
              </w:rPr>
              <w:t>Treasury securities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6,854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6,970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18,199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25,169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40" w:type="dxa"/>
            <w:vAlign w:val="bottom"/>
          </w:tcPr>
          <w:p>
            <w:pPr>
              <w:spacing w:after="0"/>
              <w:rPr>
                <w:sz w:val="24"/>
                <w:szCs w:val="24"/>
                <w:color w:val="auto"/>
              </w:rPr>
            </w:pP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23495</wp:posOffset>
            </wp:positionV>
            <wp:extent cx="3978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4"/>
                <w:szCs w:val="14"/>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14"/>
                <w:szCs w:val="14"/>
                <w:color w:val="auto"/>
              </w:rPr>
            </w:pPr>
          </w:p>
        </w:tc>
        <w:tc>
          <w:tcPr>
            <w:tcW w:w="1200" w:type="dxa"/>
            <w:vAlign w:val="bottom"/>
          </w:tcPr>
          <w:p>
            <w:pPr>
              <w:jc w:val="right"/>
              <w:ind w:right="336"/>
              <w:spacing w:after="0"/>
              <w:rPr>
                <w:sz w:val="20"/>
                <w:szCs w:val="20"/>
                <w:color w:val="auto"/>
              </w:rPr>
            </w:pPr>
            <w:r>
              <w:rPr>
                <w:rFonts w:ascii="Arial" w:cs="Arial" w:eastAsia="Arial" w:hAnsi="Arial"/>
                <w:sz w:val="14"/>
                <w:szCs w:val="14"/>
                <w:b w:val="1"/>
                <w:bCs w:val="1"/>
                <w:color w:val="auto"/>
              </w:rPr>
              <w:t>Total Fair</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4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10,694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23,557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23,557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10,694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27,887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38,581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estimated fair value of the $50.0 million term loan made available to us by Wells Fargo Bank, National Association, as administrative agent, and the lenders that are parties thereto ("Term Loan"), approximates its carrying value due to the variable interest rates. We consider the fair value of the Term Loan to be a Level 2 measurement as the Term Loan is not actively traded. We carry the Term Loan at face value less the unamortized discount on our Consolidated Balance Sheets.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for more information about the Term Loan.</w:t>
      </w:r>
    </w:p>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nine months ended September 30, 2019. The valuation techniques for the financial assets in the tables above are as follows: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and December 31, 2018, cash equivalents include cash invested in money market funds with a maturity of three months or less. Fair value is based on market prices for identical assets.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assets, including goodwill, intangible assets and our note receivable with SecureDocs, are also subject to measurement at fair value on a non-recurring basis using Level 3 measurement, but only when they are deemed to be impaired as a result of an impairment review. For the nine months ended September 30, 2019 and 2018, no impairments were identified on those assets required to be measured at fair value on a non-recurring basis.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Internal-Use Software Development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Internal-use software development costs as of September 30, 2019 and December 31,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75,307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(47,686)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(37,752)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27,621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software development costs for the three months ended September 30, 2019 and 2018 were $6.5 million and $3.6 million, respectively, and $17.1 million and $9.7 million for the nine months ended September 30, 2019 and 2018, respectively. Amortization expense with respect to software development costs totaled $3.6 million and $2.8 million for the three months ended September 30, 2019 and 2018, respectively, and $10.0 million and $8.1 million for the nine months ended September 30, 2019 and 2018, respectively.</w:t>
      </w:r>
    </w:p>
    <w:p>
      <w:pPr>
        <w:sectPr>
          <w:pgSz w:w="11900" w:h="16838" w:orient="portrait"/>
          <w:cols w:equalWidth="0" w:num="1">
            <w:col w:w="11420"/>
          </w:cols>
          <w:pgMar w:left="240" w:top="179"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79"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as of September 30, 2019 is estimated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12,538</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2,721</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27,621</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and 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consisted of the following as of September 30, 2019 and December 31, 2018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3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Useful Life in</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8,330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7,584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4,859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2,690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1,856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6,286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33,947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22,678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6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Gross Carrying</w:t>
            </w:r>
          </w:p>
        </w:tc>
        <w:tc>
          <w:tcPr>
            <w:tcW w:w="240" w:type="dxa"/>
            <w:vAlign w:val="bottom"/>
          </w:tcPr>
          <w:p>
            <w:pPr>
              <w:spacing w:after="0"/>
              <w:rPr>
                <w:sz w:val="13"/>
                <w:szCs w:val="13"/>
                <w:color w:val="auto"/>
              </w:rPr>
            </w:pPr>
          </w:p>
        </w:tc>
        <w:tc>
          <w:tcPr>
            <w:tcW w:w="14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3"/>
                <w:szCs w:val="13"/>
                <w:color w:val="auto"/>
              </w:rPr>
            </w:pPr>
          </w:p>
        </w:tc>
        <w:tc>
          <w:tcPr>
            <w:tcW w:w="1340" w:type="dxa"/>
            <w:vAlign w:val="bottom"/>
            <w:vMerge w:val="restart"/>
          </w:tcPr>
          <w:p>
            <w:pPr>
              <w:jc w:val="center"/>
              <w:ind w:right="193"/>
              <w:spacing w:after="0"/>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3"/>
                <w:szCs w:val="13"/>
                <w:color w:val="auto"/>
              </w:rPr>
            </w:pP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Average Useful Life in</w:t>
            </w: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1,232</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Database</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3,499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Trademarks &amp; trade names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658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Patents</w:t>
            </w: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13,169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Amortization expense with respect to intangible assets for the three months ended September 30, 2019 and 2018 was $1.3 million and $0.3 million, respectively, and $4.0 million and $0.9 million for the nine months ended September 30, 2019 and 2018,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79"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99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96"/>
        </w:trPr>
        <w:tc>
          <w:tcPr>
            <w:tcW w:w="9940" w:type="dxa"/>
            <w:vAlign w:val="bottom"/>
            <w:gridSpan w:val="2"/>
          </w:tcPr>
          <w:p>
            <w:pPr>
              <w:ind w:left="660"/>
              <w:spacing w:after="0"/>
              <w:rPr>
                <w:sz w:val="20"/>
                <w:szCs w:val="20"/>
                <w:color w:val="auto"/>
              </w:rPr>
            </w:pPr>
            <w:r>
              <w:rPr>
                <w:rFonts w:ascii="Arial" w:cs="Arial" w:eastAsia="Arial" w:hAnsi="Arial"/>
                <w:sz w:val="18"/>
                <w:szCs w:val="18"/>
                <w:color w:val="auto"/>
                <w:w w:val="91"/>
              </w:rPr>
              <w:t>Future amortization expense with respect to intangible assets as of September 30, 2019 is estimated as follows (in thousands):</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78"/>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4,642</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w:t>
            </w: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2022</w:t>
            </w:r>
          </w:p>
        </w:tc>
        <w:tc>
          <w:tcPr>
            <w:tcW w:w="8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4,445</w:t>
            </w:r>
          </w:p>
        </w:tc>
      </w:tr>
      <w:tr>
        <w:trPr>
          <w:trHeight w:val="27"/>
        </w:trPr>
        <w:tc>
          <w:tcPr>
            <w:tcW w:w="1280" w:type="dxa"/>
            <w:vAlign w:val="bottom"/>
          </w:tcPr>
          <w:p>
            <w:pPr>
              <w:spacing w:after="0"/>
              <w:rPr>
                <w:sz w:val="2"/>
                <w:szCs w:val="2"/>
                <w:color w:val="auto"/>
              </w:rPr>
            </w:pPr>
          </w:p>
        </w:tc>
        <w:tc>
          <w:tcPr>
            <w:tcW w:w="8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6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w:t>
            </w:r>
          </w:p>
        </w:tc>
      </w:t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4,914</w:t>
            </w:r>
          </w:p>
        </w:tc>
      </w:tr>
      <w:tr>
        <w:trPr>
          <w:trHeight w:val="27"/>
        </w:trPr>
        <w:tc>
          <w:tcPr>
            <w:tcW w:w="1280" w:type="dxa"/>
            <w:vAlign w:val="bottom"/>
            <w:tcBorders>
              <w:bottom w:val="single" w:sz="8" w:color="CCEEFF"/>
            </w:tcBorders>
          </w:tcPr>
          <w:p>
            <w:pPr>
              <w:spacing w:after="0"/>
              <w:rPr>
                <w:sz w:val="2"/>
                <w:szCs w:val="2"/>
                <w:color w:val="auto"/>
              </w:rPr>
            </w:pPr>
          </w:p>
        </w:tc>
        <w:tc>
          <w:tcPr>
            <w:tcW w:w="8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22,678</w:t>
            </w:r>
          </w:p>
        </w:tc>
      </w:tr>
      <w:tr>
        <w:trPr>
          <w:trHeight w:val="20"/>
        </w:trPr>
        <w:tc>
          <w:tcPr>
            <w:tcW w:w="128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goodwill balance is solely attributable to acquisitions. There have been no impairment charges recorded against goodwill. Goodwill recorded during the nine months ended September 30, 2019, which related to the acquisition of Dynasty was attributed to our one operating segment. The change in the carrying amount of goodwill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Goodwill at December 31, 2018</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Goodwill from acquisition of Dynasty</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42,844</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September 30, 2019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58,392</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operating leases for our corporate offices and data centers. Our leases have remaining lease terms ranging from one to nine years, with various term extensions available. Our lease agreements do not contain any residual value guarantees or material restrictive covenants. We have lease agreements with lease and non-lease components, which we have elected to combine for all asset classes. Leases with an initial term of 12 months or less are not recorded on the balance sheet; we recognize lease expense for these leases on a straight-line basis over the lease term. The total lease cost associated with our operating leases for the three and nine months ended September 30, 2019 was $1.3 million and $3.7 million, respectively.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at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16,433</w:t>
            </w:r>
          </w:p>
        </w:tc>
      </w:tr>
      <w:tr>
        <w:trPr>
          <w:trHeight w:val="27"/>
        </w:trPr>
        <w:tc>
          <w:tcPr>
            <w:tcW w:w="9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97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5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9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4,982</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Operating lease liabilities</w:t>
            </w:r>
          </w:p>
        </w:tc>
        <w:tc>
          <w:tcPr>
            <w:tcW w:w="56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18,448</w:t>
            </w:r>
          </w:p>
        </w:tc>
      </w:tr>
      <w:tr>
        <w:trPr>
          <w:trHeight w:val="27"/>
        </w:trPr>
        <w:tc>
          <w:tcPr>
            <w:tcW w:w="97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9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lease liabilities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23,430</w:t>
            </w:r>
          </w:p>
        </w:tc>
      </w:tr>
      <w:tr>
        <w:trPr>
          <w:trHeight w:val="20"/>
        </w:trPr>
        <w:tc>
          <w:tcPr>
            <w:tcW w:w="9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9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w:t>
            </w:r>
          </w:p>
        </w:tc>
      </w:tr>
      <w:tr>
        <w:trPr>
          <w:trHeight w:val="243"/>
        </w:trPr>
        <w:tc>
          <w:tcPr>
            <w:tcW w:w="974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 for the nine months ended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p>
      <w:pPr>
        <w:spacing w:after="0" w:line="63" w:lineRule="exact"/>
        <w:rPr>
          <w:sz w:val="20"/>
          <w:szCs w:val="20"/>
          <w:color w:val="auto"/>
        </w:rPr>
      </w:pPr>
    </w:p>
    <w:p>
      <w:pPr>
        <w:ind w:left="380"/>
        <w:spacing w:after="0"/>
        <w:tabs>
          <w:tab w:leader="none" w:pos="9840" w:val="left"/>
          <w:tab w:leader="none" w:pos="1088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Right-of-use assets obtained in exchange for lease obligations:</w:t>
      </w:r>
    </w:p>
    <w:p>
      <w:pPr>
        <w:spacing w:after="0" w:line="63" w:lineRule="exact"/>
        <w:rPr>
          <w:sz w:val="20"/>
          <w:szCs w:val="20"/>
          <w:color w:val="auto"/>
        </w:rPr>
      </w:pPr>
    </w:p>
    <w:p>
      <w:pPr>
        <w:ind w:left="380"/>
        <w:spacing w:after="0"/>
        <w:tabs>
          <w:tab w:leader="none" w:pos="9840" w:val="left"/>
          <w:tab w:leader="none" w:pos="1088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2,505</w:t>
      </w:r>
    </w:p>
    <w:p>
      <w:pPr>
        <w:sectPr>
          <w:pgSz w:w="11900" w:h="16838" w:orient="portrait"/>
          <w:cols w:equalWidth="0" w:num="1">
            <w:col w:w="11420"/>
          </w:cols>
          <w:pgMar w:left="240" w:top="16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62"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660"/>
              <w:spacing w:after="0"/>
              <w:rPr>
                <w:sz w:val="20"/>
                <w:szCs w:val="20"/>
                <w:color w:val="auto"/>
              </w:rPr>
            </w:pPr>
            <w:r>
              <w:rPr>
                <w:rFonts w:ascii="Arial" w:cs="Arial" w:eastAsia="Arial" w:hAnsi="Arial"/>
                <w:sz w:val="18"/>
                <w:szCs w:val="18"/>
                <w:color w:val="auto"/>
                <w:w w:val="94"/>
              </w:rPr>
              <w:t>Future minimum lease payments under non-cancellable leases as of September 30, 2019 were as follows (in thousands):</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1,407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4,639</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2,485</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9,384</w:t>
            </w:r>
          </w:p>
        </w:tc>
      </w:tr>
      <w:tr>
        <w:trPr>
          <w:trHeight w:val="237"/>
        </w:trPr>
        <w:tc>
          <w:tcPr>
            <w:tcW w:w="9820" w:type="dxa"/>
            <w:vAlign w:val="bottom"/>
          </w:tcPr>
          <w:p>
            <w:pPr>
              <w:ind w:left="280"/>
              <w:spacing w:after="0"/>
              <w:rPr>
                <w:sz w:val="20"/>
                <w:szCs w:val="20"/>
                <w:color w:val="auto"/>
              </w:rPr>
            </w:pPr>
            <w:r>
              <w:rPr>
                <w:rFonts w:ascii="Arial" w:cs="Arial" w:eastAsia="Arial" w:hAnsi="Arial"/>
                <w:sz w:val="18"/>
                <w:szCs w:val="18"/>
                <w:color w:val="auto"/>
              </w:rPr>
              <w:t>Total future minimum lease payments</w:t>
            </w: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26,891</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(3,461)</w:t>
            </w:r>
          </w:p>
        </w:tc>
      </w:tr>
      <w:tr>
        <w:trPr>
          <w:trHeight w:val="257"/>
        </w:trPr>
        <w:tc>
          <w:tcPr>
            <w:tcW w:w="9820" w:type="dxa"/>
            <w:vAlign w:val="bottom"/>
          </w:tcPr>
          <w:p>
            <w:pPr>
              <w:ind w:left="28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23,430</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 summary of our future minimum payments for obligations under non-cancellable operating leases as of December 31, 2018 was as follows (in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4,889</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2,717</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9,128</w:t>
            </w: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commitments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27,036</w:t>
            </w: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22, 2019, we signed a new sublease for approximately 10,500 square feet of office space located at 130 Castilian Drive, Santa Barbara, California. The sublease is for 32 months commencing on April 1, 2019 and ending on November 30, 2021. The total commitment under this sublease is $0.5 million.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January 28, 2019, we signed an amendment to our existing lease at 9201 Spectrum Center Boulevard in San Diego, California which increased the square footage leased by approximately 4,500 square feet. The total commitment under this lease extension is $0.2 million. All other terms and conditions of the original lease remain the same.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 2019, we signed a new lease with Rose Studios, LLC to lease approximately 5,000 square feet of office space located at 215-221 Rose Avenue, Venice, California. The lease is for a five-year term commencing August 1, 2019 and ending on July 31, 2024. The total commitment under this lease is $2.0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79"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98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8. Long-Term Debt</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820" w:type="dxa"/>
            <w:vAlign w:val="bottom"/>
            <w:gridSpan w:val="2"/>
          </w:tcPr>
          <w:p>
            <w:pPr>
              <w:ind w:left="660"/>
              <w:spacing w:after="0"/>
              <w:rPr>
                <w:sz w:val="20"/>
                <w:szCs w:val="20"/>
                <w:color w:val="auto"/>
              </w:rPr>
            </w:pPr>
            <w:r>
              <w:rPr>
                <w:rFonts w:ascii="Arial" w:cs="Arial" w:eastAsia="Arial" w:hAnsi="Arial"/>
                <w:sz w:val="18"/>
                <w:szCs w:val="18"/>
                <w:color w:val="auto"/>
              </w:rPr>
              <w:t>The following is a summary of our long-term debt at September 30, 2019 (in thousands):</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amounts due under term loan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49,063</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Less: Debt financing costs</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unamortized debt financing costs</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48,885</w:t>
            </w:r>
          </w:p>
        </w:tc>
        <w:tc>
          <w:tcPr>
            <w:tcW w:w="0" w:type="dxa"/>
            <w:vAlign w:val="bottom"/>
          </w:tcPr>
          <w:p>
            <w:pPr>
              <w:spacing w:after="0"/>
              <w:rPr>
                <w:sz w:val="1"/>
                <w:szCs w:val="1"/>
                <w:color w:val="auto"/>
              </w:rPr>
            </w:pP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Less: Current portion of long-term debt</w:t>
            </w: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85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net of current portion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47,677</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Arial" w:cs="Arial" w:eastAsia="Arial" w:hAnsi="Arial"/>
                <w:sz w:val="18"/>
                <w:szCs w:val="18"/>
                <w:color w:val="auto"/>
              </w:rPr>
              <w:t>Scheduled principal payments for the Term Loan at September 30, 2019 are as follows (in thousands):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98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Years Ending December 31,</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2020</w:t>
            </w:r>
          </w:p>
        </w:tc>
        <w:tc>
          <w:tcPr>
            <w:tcW w:w="8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43"/>
        </w:trPr>
        <w:tc>
          <w:tcPr>
            <w:tcW w:w="1280" w:type="dxa"/>
            <w:vAlign w:val="bottom"/>
          </w:tcPr>
          <w:p>
            <w:pPr>
              <w:ind w:left="40"/>
              <w:spacing w:after="0"/>
              <w:rPr>
                <w:sz w:val="20"/>
                <w:szCs w:val="20"/>
                <w:color w:val="auto"/>
              </w:rPr>
            </w:pPr>
            <w:r>
              <w:rPr>
                <w:rFonts w:ascii="Arial" w:cs="Arial" w:eastAsia="Arial" w:hAnsi="Arial"/>
                <w:sz w:val="18"/>
                <w:szCs w:val="18"/>
                <w:color w:val="auto"/>
              </w:rPr>
              <w:t>2022</w:t>
            </w:r>
          </w:p>
        </w:tc>
        <w:tc>
          <w:tcPr>
            <w:tcW w:w="8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42,500</w:t>
            </w:r>
          </w:p>
        </w:tc>
        <w:tc>
          <w:tcPr>
            <w:tcW w:w="0" w:type="dxa"/>
            <w:vAlign w:val="bottom"/>
          </w:tcPr>
          <w:p>
            <w:pPr>
              <w:spacing w:after="0"/>
              <w:rPr>
                <w:sz w:val="1"/>
                <w:szCs w:val="1"/>
                <w:color w:val="auto"/>
              </w:rPr>
            </w:pPr>
          </w:p>
        </w:tc>
      </w:tr>
      <w:tr>
        <w:trPr>
          <w:trHeight w:val="237"/>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Total principal payments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85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24, 2018, we amended our credit agreement (Amendment Number Two to the Credit Agreement, or the "Second Amendment") with Wells Fargo Bank, National Association ("Wells Fargo"), as administrative agent, and the lenders that are parties thereto (as amended, the "Credit Agreement"). Under the terms of the Second Amendment, the lenders made available to us a $50.0 million term loan (the "Term Loan") and increased the existing revolving line of credit from $25.0 million to $50.0 million ("Revolving Facility"). The maturity date of the Term Loan and Revolving Facility is December 24, 2023. In addition, the Second Amendment permits us to make certain restricted junior payments, including without limitation stock repurchases and enter into acquisitions in which we are the purchaser ("Acquisitions"), with no dollar cap on such Acquisitions, so long as we maintain certain specified liquidity requirements and leverage ratios.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Second Amendment also modifies certain financial covenants by, among other things, requiring us to maintain (i) an EBITDA to interest expense ratio of not less than 3.0 to 1.0, and (ii) a funded indebtedness to EBITDA ratio of not more than 3.5:1.0 (the "Required Leverage Ratio") (decreasing by 0.25 per year until the Required Leverage Ratio is 2.5 to 1.0); provided, however, that we are not required to maintain the foregoing ratios if our liquidity (sum of remaining borrowing capacity and available cash) has equaled or exceeded the greater of $20.0 million and 20% of the sum of the outstanding principal amount of the Term Loan and commitments under the Revolving Facility. If we enter into an Acquisition with a purchase price greater than or equal to $20.0 million, then the Required Leverage Ratio will be increased by 0.5 for the 12-month period immediately following the consummation of such Acquisition.</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affirmative, negative and financial covenants. The affirmative covenants require us to, among other things, disclose financial and other information to the lenders, maintain our business and properties, and maintain adequate insurance. The negative covenants restrict us from, among other things, incurring additional indebtedness, prepaying certain types of indebtedness, encumbering or disposing of our assets, making fundamental changes to our corporate structure, and making certain dividends and distributions. At September 30, 2019, we were in compliance with the financial covenants under the Credit Agreement.</w:t>
      </w:r>
    </w:p>
    <w:p>
      <w:pPr>
        <w:spacing w:after="0" w:line="1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terms of the Second Amendment, borrowings under the Credit Agreement bear interest at a fluctuating rate per annum equal to, at our option, (i) the adjusted London Interbank Offered Rate ("LIBOR") or (ii) an alternate base rate, in each case plus the applicable interest rate margin. The interest rate will fluctuate between adjusted LIBOR plus 1.5% per annum and adjusted LIBOR plus 2.0% per annum (or between the alternate base rate plus 0.5% per annum and the alternate base rate plus 1.0% per annum), based upon our leverage ratio. The average interest rate during the nine months ended September 30, 2019 was 4.0%.</w:t>
      </w:r>
    </w:p>
    <w:p>
      <w:pPr>
        <w:spacing w:after="0" w:line="14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Fees payable on the unused portion of the Revolving Facility are 25 basis points per annum, unless the average usage of the Revolving Facility is equal to or less than $30.0 million for the applicable period, in which case the fees on the unused portion of the Revolving Facility are 0.375% per annum.</w:t>
      </w:r>
    </w:p>
    <w:p>
      <w:pPr>
        <w:sectPr>
          <w:pgSz w:w="11900" w:h="16838" w:orient="portrait"/>
          <w:cols w:equalWidth="0" w:num="1">
            <w:col w:w="11420"/>
          </w:cols>
          <w:pgMar w:left="240" w:top="162" w:right="23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62"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2019 and December 31, 2018, there was no outstanding balance under the Revolving Facility.</w:t>
      </w: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will be amortized over the remaining life of the related debt, $0.2 million of which was related to the Term Loan and $0.2 million of which was related to the Revolving Facility. The Second Amendment is accounted for as a debt modification, and as a result, the unamortized deferred debt financing costs related to the Revolving Facility prior to the Second Amendment were added to the $0.2 million of deferred debt financing costs related to the Second Amendment and are amortized over the remaining life of the Revolving Facility.</w:t>
      </w:r>
    </w:p>
    <w:p>
      <w:pPr>
        <w:spacing w:after="0" w:line="3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Debt financing costs are deferred and amortized using the straight-line method, which approximates the effective interest method, for costs related to the Term Loan and the straight-line method for costs related to the Revolving Facility over the term of the debt arrangement; such amortization is included in interest expense in the Condensed Consolidated Statements of Operations. Amortization of deferred debt financing costs was $27,000 and $16,000 for the three months ended September 30, 2019 and 2018, respectively, and $81,000 and $48,000 for the nine months ended September 30, 2019 and 2018, respectively. At September 30, 2019 and December 31, 2018, the remaining unamortized deferred debt financing costs were $0.5 million, of which $0.2 million was offset against debt. At September 30, 2019 and December 31, 2018, $0.3 million of the remaining unamortized deferred debt financing costs were recorded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Condensed Consolidated Balance Sheets, as they pertained to the Revolving Facility.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September 30, 2019 and December 31, 2018 was $1.1 million and $0.6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Condensed Consolidated Balance Sheets.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September 30, 2019 and December 31, 2018, are $1.4 million and $1.8 million, respectively, of deposits held with a third party related to requirements to maintain collateral for this insurance service.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received a Request for Information ("RFI") from the Civil Rights Division (Housing and Civil Enforcement Section) of the U.S. Department of Justice ("DOJ") requesting certain information relating to our compliance with the Servicemembers Civil Relief Act in connection with our tenant screening Value+ service. We continue to fully cooperate with the DOJ, and do not presently have sufficient information to predict the outcome of, or any potential costs or penalties associated with, the DOJ investigation.</w:t>
      </w:r>
    </w:p>
    <w:p>
      <w:pPr>
        <w:spacing w:after="0" w:line="2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December 2018, we received a Civil Investigative Demand ("CID") from the Federal Trade Commission ("FTC") requesting certain information relating to our compliance with the Fair Credit Reporting Act ("FCRA") in connection with our tenant screening Value+ service. We continue to fully cooperate with the FTC, and do not presently have sufficient information to predict the outcome of, or any potential costs or penalties associated with, the FTC investigation.</w:t>
      </w:r>
    </w:p>
    <w:p>
      <w:pPr>
        <w:spacing w:after="0" w:line="3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from time to time, we are involved in various other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such legal proceedings or claims which, if determined adversely to us, would, individually or taken together, have a material adverse effect on our business, operating results, financial condition or cash flows.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79"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vendors,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September 30, 2019 and December 31, 2018, we had not accrued a liability for these indemnification arrangements because we determined that the likelihood of incurring any payment obligation, in connection with these indemnification arrangements is not probable or reasonably possible and the amount or range of amounts of any such liability is not reasonably estimable.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20, 2019, the Board of Directors authorized a $100.0 million Share Repurchase Program (the "Program") of our outstanding Class A Common Stock. Under the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Program does not obligate us to repurchase any specific dollar amount or number of shares, there is no expiration date to the Program, and it may be modified, suspended or terminated at any time and for any reason. We did not repurchase any Class A Common Stock under the Program during the nine months ended September 30, 2019.</w:t>
      </w:r>
    </w:p>
    <w:p>
      <w:pPr>
        <w:spacing w:after="0" w:line="391" w:lineRule="exact"/>
        <w:rPr>
          <w:sz w:val="20"/>
          <w:szCs w:val="20"/>
          <w:color w:val="auto"/>
        </w:rPr>
      </w:pPr>
    </w:p>
    <w:p>
      <w:pPr>
        <w:ind w:left="660" w:right="9040" w:hanging="652"/>
        <w:spacing w:after="0" w:line="453" w:lineRule="auto"/>
        <w:tabs>
          <w:tab w:leader="none" w:pos="27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Stock Options</w:t>
      </w:r>
    </w:p>
    <w:p>
      <w:pPr>
        <w:spacing w:after="0" w:line="1" w:lineRule="exact"/>
        <w:rPr>
          <w:rFonts w:ascii="Arial" w:cs="Arial" w:eastAsia="Arial" w:hAnsi="Arial"/>
          <w:sz w:val="15"/>
          <w:szCs w:val="15"/>
          <w:b w:val="1"/>
          <w:bCs w:val="1"/>
          <w:color w:val="auto"/>
        </w:rPr>
      </w:pP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A summary of our stock option activity for the nine months ended September 30, 2019, is as follows (number of shares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4"/>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Price per Share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December 31, 2018</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1,513</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Options 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 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Options cancelled/forfeited</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13.44</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September 30, 2019</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1,416</w:t>
            </w:r>
          </w:p>
        </w:tc>
        <w:tc>
          <w:tcPr>
            <w:tcW w:w="1280" w:type="dxa"/>
            <w:vAlign w:val="bottom"/>
            <w:tcBorders>
              <w:bottom w:val="single" w:sz="8" w:color="CCEEFF"/>
            </w:tcBorders>
            <w:gridSpan w:val="2"/>
            <w:shd w:val="clear" w:color="auto" w:fill="CCEEFF"/>
          </w:tcPr>
          <w:p>
            <w:pPr>
              <w:jc w:val="right"/>
              <w:ind w:right="988"/>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11.43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options outstanding as of September 30, 2019 are 172,000 PSOs granted in 2017. Vesting of these PSOs is based on the achievement of pre-established performance targets for the year ending December 31, 2019 and continued employment throughout the performance period. Of these PSOs, 132,000 shares vest based on the achievement of a pre-established free cash flow performance target for the year ending December 31, 2019, assuming achievement of the performance metric at the maximum level, which is 150% of the performance target, resulting in a maximum payout of 100% of the initial target award. The remaining 40,000 PSOs have a pre-established adjusted gross margin target for the year ending December 31, 2019. PSOs tied to the gross margin performance target have two levels of vesting, with 50% vesting based on the achievement of 110% of the targeted amount and the remaining 50% vesting based on the achievement of 115% of the targeted amount.</w:t>
      </w:r>
    </w:p>
    <w:p>
      <w:pPr>
        <w:spacing w:after="0" w:line="1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2019, 200,000 PSOs vested based on the achievement of 120% of the pre-established free cash flow performance target for the year ended December 31, 2018.</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expense for the PSOs based on the grant date fair value of the PSOs that we determine are probable of vesting. Adjustments to compensation expense are made each period based on changes in our estimate of the number of PSOs that are probable of vesting. Our stock-based compensation expense for stock options, including the PSOs, for the three months ended September 30, 2019 and 2018, was $0.1 million and $0.6 million, respectively, and $0.4 million and $1.2 million for the nine months ended September 30, 2019 and 2018,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79"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nine months ended September 30, 2019 and 2018.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September 30, 2019, the total estimated remaining stock-based compensation expense for unvested stock options, including the PSOs, was $0.2 million, which is expected to be recognized over a weighted average period of 0.4 years.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nine months ended September 30, 2019 is as follows (number of shares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Unvested at December 31, 2018</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32.61</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43.74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September 30, 2019</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nine months ended September 30, 2019, we granted a total of 148,000 RSUs and PSUs: 136,000 RSUs are subject to time-based vesting in equal annual installments over four years; 6,000 PSUs vest based on the achievement of a pre-established consolidated net revenue growth target for the year ending December 31, 2021 and continued employment throughout the performance period; and 6,000 PSUs were granted and vested as a result of the achievement of a pre-established free cash flow performance target for the year ended December 31, 2018.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target between 100% and 150% of the performance target will result in a performance based cash bonus payment between 100% and 165% of the initial target awards.</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nine months ended September 30, 2019, 29,000 of the PSUs vested and an additional 6,000 PSUs were granted and vested based on the achievement of 120% of the pre-established free cash flow performance target for the year ended December 31, 2018.</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Included in the unvested RSUs as of September 30, 2019 are 101,000 and 88,000 PSUs granted in 2018 and 2017, respectively. Of the PSUs granted in 2018, 54,000 vest based on the achievement of a pre-established consolidated net revenue growth target for the year ending December 31, 2020 and 47,000 vest based on the achievement of a pre-established consolidated net revenue growth target for the year ending December 31, 2021. Vesting of the PSUs granted in 2017 is based on the achievement of pre-established free cash flow performance targets for the year ending December 31, 2019, and continued employment throughout the performance period. The number of PSUs granted assumes achievement of the performance metric at 100% of the performance target. For the PSUs granted in 2018, the actual number of shares to be issued at the end of the performance period will range from 0% to 100% of the initial target awards. Achievement of the performance target between 100% and 150% of the performance target will result in a performance based cash bonus payment between 100% and 165% of the initial target awards. For the PSUs granted in 2017, the actual number of shares to be issued at the end of the performance period will range from 0% to 165% of the initial target award.</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three months ended September 30, 2019 and 2018 was $2.5 million and $1.3 million, respectively, and $6.1 million and $3.7 million for the nine months ended September 30, 2019 and 2018, respectively.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the total estimated remaining stock-based compensation expense for the RSUs and PSUs was $17.3 million, which is expected to be recognized over a weighted average period of 2.0 years.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79"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52" w:lineRule="exact"/>
        <w:rPr>
          <w:sz w:val="20"/>
          <w:szCs w:val="20"/>
          <w:color w:val="auto"/>
        </w:rPr>
      </w:pPr>
    </w:p>
    <w:p>
      <w:pPr>
        <w:jc w:val="both"/>
        <w:ind w:right="20" w:firstLine="648"/>
        <w:spacing w:after="0" w:line="340" w:lineRule="auto"/>
        <w:rPr>
          <w:sz w:val="20"/>
          <w:szCs w:val="20"/>
          <w:color w:val="auto"/>
        </w:rPr>
      </w:pPr>
      <w:r>
        <w:rPr>
          <w:rFonts w:ascii="Arial" w:cs="Arial" w:eastAsia="Arial" w:hAnsi="Arial"/>
          <w:sz w:val="18"/>
          <w:szCs w:val="18"/>
          <w:color w:val="auto"/>
        </w:rPr>
        <w:t>A summary of activity in connection with our restricted stock awards for the nine months ended September 30, 2019, is as follows (number of shares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30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4"/>
              </w:rPr>
              <w:t>Number of</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9"/>
              </w:rPr>
              <w:t>Shares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3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43"/>
        </w:trPr>
        <w:tc>
          <w:tcPr>
            <w:tcW w:w="920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September 30, 2019</w:t>
            </w:r>
          </w:p>
        </w:tc>
        <w:tc>
          <w:tcPr>
            <w:tcW w:w="13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the right to repurchase any unvested restricted stock awards subject to certain conditions. Restricted stock awards vest over a four-year period for employees and a one-year period for non-employee directors. We recognized stock-based compensation expense for restricted stock awards of $0.1 million for each of the three months ended September 30, 2019 and 2018, and $0.2 million and $0.3 million for the nine months ended September 30, 2019 and 2018, respectively.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the total estimated remaining stock-based compensation expense for unvested restricted stock awards with a repurchasing right was $0.2 million which is expected to be recognized over a weighted average period of 0.7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For the three and nine months ended September 30, 2019, we recorded an income tax benefit of $1.3 million and $26.9 million, respectively. The income tax benefit recorded during the three months ended September 30, 2019 was primarily due to the tax benefit associated with research and development tax credits. During the second quarter of 2019, the Company evaluated all available positive and negative evidence, including the Company's sustained profitability in 2018 and 2019, the impact of recent acquisitions and future projections of profitability. As a result, the Company determined that all of its deferred tax assets were more likely than not to be realized and reversed the valuation allowance against those deferred tax assets accordingly.</w:t>
      </w:r>
    </w:p>
    <w:p>
      <w:pPr>
        <w:spacing w:after="0" w:line="5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and nine months ended September 30, 2018, we recorded income tax expense of $183,000 and $252,000 on pre-tax income of $5.7 million and $17.6 million, respectively, for an effective tax rate of 3.2% and 1.4%, respectively. The income tax expense was based on our payments of state minimum and franchise taxes, and the amortization of tax deductible goodwill that is not an available source of income to realize the deferred tax asset.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revenue categories for the three and nine months ended September 30, 2019 and 2018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22,503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64,934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51,101</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21"/>
                <w:szCs w:val="21"/>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41,645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30,797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114,399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84,189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9,317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4,416</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67,935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188,650</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139,706</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2019 and 2018, we recognized $3.2 million and $6.7 million of revenue, respectively, that were included in the deferred revenue balances at December 31, 2018 and 2017,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revenue is generated primarily from customers in the United States. All of our property and equipment is located in the United States.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79"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mission is to revolutionize vertical industry businesses by providing great software and services. To that end, today we offer industry-specific, cloud-based business software solutions, services and data analytics to the real estate market, which comprises a significant majority of our revenue, and, to a lesser extent, to the legal market. Our real estate software solutions provide our customers with a system of record to automate essential business processes, a system of engagement to enhance business interactions between our customers and their clients and other stakeholders, and a system of intelligence designed to leverage data to predict and optimize business workflows in order to enable superior customer experiences and increase efficiency across our customers' businesses. Our mobile-optimized software solutions are designed for use across multiple devices and operating systems. Our software solutions are all offered as a service for our customers and hosted using a modern cloud-based architecture. This architecture leads to rich data sets that have a consistent schema across our customer base and enables us to deploy data-powered products and services for our customers. We also provide software solutions to the legal market that enable law firms to administer their practice and manage their caseloads more efficiently by centralizing case details in a single system of record and system of engagement.</w:t>
      </w:r>
    </w:p>
    <w:p>
      <w:pPr>
        <w:spacing w:after="0" w:line="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were formed in 2006 with a vision to revolutionize the way that small and medium-sized businesses ("SMBs"), grow and compete by enabling their digital transformation. In 2008, we entered the real estate market with our first product, AppFolio Property Manager ("APM"), a property management solution designed to address the unique operational and business requirements of property management companies. Recognizing that our customers and their stakeholders would benefit from additional business critical services, we launched a series of Value+ services beginning in 2009. Our first Value+ service assisted our customers in the marketing of their rental properties by offering property level website design and hosting services. In 2010, we commenced the roll out of our electronic payment services, thereby facilitating the payment of rent via ACH by tenants. In 2011, we launched tenant screening services, further assisting our customers with the leasing process. In 2012, we introduced our legal liability to landlord insurance program, which protects property owners and managers from certain defined losses. In 2013, we expanded our electronic payment services by allowing residents to pay rent by Electronic Cash Payment and credit or debit card. In 2014, we launched a tenant-facing contact center solution to assist our property managers with resolving incoming maintenance requests. In 2015, with the acquisition of RentLinx, we expanded the marketing services offered to our property manager customers with a premium leads service and expanded our electronic payment services to facilitate payments made between our customers and property owners and vendors. In 2016, we introduced a tenant debt collection Value+ service to assist our property managers with running a more efficient business. In 2017, we expanded our insurance services to enable tenants to purchase renters insurance from within APM, protecting both our property manager customers and their tenants. In 2018, we acquired substantially all of the assets of WegoWise, Inc. ("WegoWise"), a provider of cloud-based utility analytics software solutions and began offering AppFolio Utility Management as a Value+ service to our property manager customers in mid-2019. In 2018, we also released AppFolio Property Manager PLUS, ("APM PLUS"), a new tier of APM designed for larger businesses with more complex needs. APM PLUS builds upon the functionality of APM and additionally offers data analytics, configurable workflows, and revenue management and optimization functionality for our customers. In January 2019, we acquired Dynasty Marketplace, Inc., ("Dynasty"), a provider of advanced artificial intelligence ("AI") solutions for the real estate market and began offering an AI Leasing Assistant, Lisa, as a Value+ service to our property manager customers in mid-2019. In April 2019, we launched AppFolio Investment Management, which enables real estate investment managers to better manage their investor relationships by increasing transparency and streamlining certain business processes.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the legal market with the acquisition of MyCase in 2012. In 2013, we introduced website design and hosting services, our first Value+ service for our legal market customers, designed to assist smaller law firms and solo practitioners with the marketing of their practices, electronic storage of case information and communications. In 2016, we launched electronic payments services for the legal market, which streamlined the billing and receivables process through MyCase.</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focused on growing our revenue by increasing the size of our customer base in the markets we serve, increasing the number of units under management, introducing new or expanded Value+ services, retaining customers, and increasing the adoption and utilization of our Value+ services by new and existing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79"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To date, we have experienced rapid revenue growth due to our investments in research and product development, sales and marketing, customer service and support, and infrastructure. We intend to continue to invest in growth across our organization as we expand in our current markets, adjacent markets and into new verticals. These investments to grow our business will continue to increase our costs and operating expenses on an absolute basis. Many of these investments will occur in advance of our realization of revenue or any other benefit, which will make it difficult to determine if we are allocating our resources efficiently. We expect our operating margins will improve over the long term, but this trend may be interrupted from time to time as a result of accelerated investment opportunities occurring in advance of realization of revenue.</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managed, and plan to continue to manage, our business towards the achievement of long-term growth that we believe will positively impact long-term stockholder value, and not towards the realization of short-term financial or business metrics, or short-term stockholder value. Accordingly, if opportunities arise that might cause us to sacrifice our performance with respect to short-term financial or business metrics, but that we believe are in the best interests of our stockholders in the long term, we will take those opportunities.</w:t>
      </w:r>
    </w:p>
    <w:p>
      <w:pPr>
        <w:spacing w:after="0" w:line="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Today our real estate property manager customers directly and indirectly account for more than 90% of our annual revenue. We define our real estate property manager customer base as the number of customers subscribing to our AppFolio Property Manager and AppFolio Property Manager PLUS core solutions. Customer count and property manager units under management are presented in the table below:</w:t>
      </w:r>
    </w:p>
    <w:p>
      <w:pPr>
        <w:spacing w:after="0" w:line="294"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94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940" w:type="dxa"/>
            <w:vAlign w:val="bottom"/>
          </w:tcPr>
          <w:p>
            <w:pPr>
              <w:spacing w:after="0"/>
              <w:rPr>
                <w:sz w:val="22"/>
                <w:szCs w:val="22"/>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Pr>
          <w:p>
            <w:pPr>
              <w:jc w:val="right"/>
              <w:ind w:right="459"/>
              <w:spacing w:after="0"/>
              <w:rPr>
                <w:sz w:val="20"/>
                <w:szCs w:val="20"/>
                <w:color w:val="auto"/>
              </w:rPr>
            </w:pPr>
            <w:r>
              <w:rPr>
                <w:rFonts w:ascii="Arial" w:cs="Arial" w:eastAsia="Arial" w:hAnsi="Arial"/>
                <w:sz w:val="14"/>
                <w:szCs w:val="14"/>
                <w:b w:val="1"/>
                <w:bCs w:val="1"/>
                <w:color w:val="auto"/>
              </w:rPr>
              <w:t>June 30,</w:t>
            </w: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1320" w:type="dxa"/>
            <w:vAlign w:val="bottom"/>
          </w:tcPr>
          <w:p>
            <w:pPr>
              <w:jc w:val="right"/>
              <w:ind w:right="199"/>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ind w:right="419"/>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1940" w:type="dxa"/>
            <w:vAlign w:val="bottom"/>
            <w:tcBorders>
              <w:bottom w:val="single" w:sz="8" w:color="CCEEFF"/>
            </w:tcBorders>
          </w:tcPr>
          <w:p>
            <w:pPr>
              <w:spacing w:after="0"/>
              <w:rPr>
                <w:sz w:val="21"/>
                <w:szCs w:val="21"/>
                <w:color w:val="auto"/>
              </w:rPr>
            </w:pPr>
          </w:p>
        </w:tc>
        <w:tc>
          <w:tcPr>
            <w:tcW w:w="142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1199"/>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top w:val="single" w:sz="8" w:color="auto"/>
              <w:bottom w:val="single" w:sz="8" w:color="auto"/>
            </w:tcBorders>
          </w:tcPr>
          <w:p>
            <w:pPr>
              <w:spacing w:after="0"/>
              <w:rPr>
                <w:sz w:val="21"/>
                <w:szCs w:val="21"/>
                <w:color w:val="auto"/>
              </w:rPr>
            </w:pPr>
          </w:p>
        </w:tc>
      </w:tr>
      <w:tr>
        <w:trPr>
          <w:trHeight w:val="215"/>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manager</w:t>
            </w:r>
          </w:p>
        </w:tc>
        <w:tc>
          <w:tcPr>
            <w:tcW w:w="1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customers</w:t>
            </w:r>
          </w:p>
        </w:tc>
        <w:tc>
          <w:tcPr>
            <w:tcW w:w="142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14,034</w:t>
            </w:r>
          </w:p>
        </w:tc>
        <w:tc>
          <w:tcPr>
            <w:tcW w:w="13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13,737</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13,409</w:t>
            </w: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13,046</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15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12,317</w:t>
            </w:r>
          </w:p>
        </w:tc>
        <w:tc>
          <w:tcPr>
            <w:tcW w:w="12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12,030</w:t>
            </w:r>
          </w:p>
        </w:tc>
      </w:tr>
      <w:tr>
        <w:trPr>
          <w:trHeight w:val="229"/>
        </w:trPr>
        <w:tc>
          <w:tcPr>
            <w:tcW w:w="1940" w:type="dxa"/>
            <w:vAlign w:val="bottom"/>
          </w:tcPr>
          <w:p>
            <w:pPr>
              <w:ind w:left="20"/>
              <w:spacing w:after="0"/>
              <w:rPr>
                <w:sz w:val="20"/>
                <w:szCs w:val="20"/>
                <w:color w:val="auto"/>
              </w:rPr>
            </w:pPr>
            <w:r>
              <w:rPr>
                <w:rFonts w:ascii="Arial" w:cs="Arial" w:eastAsia="Arial" w:hAnsi="Arial"/>
                <w:sz w:val="18"/>
                <w:szCs w:val="18"/>
                <w:color w:val="auto"/>
              </w:rPr>
              <w:t>Property manager units</w:t>
            </w:r>
          </w:p>
        </w:tc>
        <w:tc>
          <w:tcPr>
            <w:tcW w:w="14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under management (in</w:t>
            </w:r>
          </w:p>
        </w:tc>
        <w:tc>
          <w:tcPr>
            <w:tcW w:w="1420" w:type="dxa"/>
            <w:vAlign w:val="bottom"/>
          </w:tcPr>
          <w:p>
            <w:pPr>
              <w:jc w:val="right"/>
              <w:ind w:right="216"/>
              <w:spacing w:after="0"/>
              <w:rPr>
                <w:sz w:val="20"/>
                <w:szCs w:val="20"/>
                <w:color w:val="auto"/>
              </w:rPr>
            </w:pPr>
            <w:r>
              <w:rPr>
                <w:rFonts w:ascii="Arial" w:cs="Arial" w:eastAsia="Arial" w:hAnsi="Arial"/>
                <w:sz w:val="18"/>
                <w:szCs w:val="18"/>
                <w:color w:val="auto"/>
              </w:rPr>
              <w:t>4.41</w:t>
            </w:r>
          </w:p>
        </w:tc>
        <w:tc>
          <w:tcPr>
            <w:tcW w:w="1360" w:type="dxa"/>
            <w:vAlign w:val="bottom"/>
          </w:tcPr>
          <w:p>
            <w:pPr>
              <w:jc w:val="right"/>
              <w:ind w:right="199"/>
              <w:spacing w:after="0"/>
              <w:rPr>
                <w:sz w:val="20"/>
                <w:szCs w:val="20"/>
                <w:color w:val="auto"/>
              </w:rPr>
            </w:pPr>
            <w:r>
              <w:rPr>
                <w:rFonts w:ascii="Arial" w:cs="Arial" w:eastAsia="Arial" w:hAnsi="Arial"/>
                <w:sz w:val="18"/>
                <w:szCs w:val="18"/>
                <w:color w:val="auto"/>
              </w:rPr>
              <w:t>4.23</w:t>
            </w:r>
          </w:p>
        </w:tc>
        <w:tc>
          <w:tcPr>
            <w:tcW w:w="1220" w:type="dxa"/>
            <w:vAlign w:val="bottom"/>
          </w:tcPr>
          <w:p>
            <w:pPr>
              <w:jc w:val="right"/>
              <w:ind w:right="36"/>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8"/>
                <w:szCs w:val="18"/>
                <w:color w:val="auto"/>
              </w:rPr>
            </w:pPr>
          </w:p>
        </w:tc>
        <w:tc>
          <w:tcPr>
            <w:tcW w:w="1320" w:type="dxa"/>
            <w:vAlign w:val="bottom"/>
          </w:tcPr>
          <w:p>
            <w:pPr>
              <w:jc w:val="right"/>
              <w:ind w:right="99"/>
              <w:spacing w:after="0"/>
              <w:rPr>
                <w:sz w:val="20"/>
                <w:szCs w:val="20"/>
                <w:color w:val="auto"/>
              </w:rPr>
            </w:pPr>
            <w:r>
              <w:rPr>
                <w:rFonts w:ascii="Arial" w:cs="Arial" w:eastAsia="Arial" w:hAnsi="Arial"/>
                <w:sz w:val="18"/>
                <w:szCs w:val="18"/>
                <w:color w:val="auto"/>
              </w:rPr>
              <w:t>3.91</w:t>
            </w: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580" w:type="dxa"/>
            <w:vAlign w:val="bottom"/>
          </w:tcPr>
          <w:p>
            <w:pPr>
              <w:jc w:val="right"/>
              <w:ind w:right="179"/>
              <w:spacing w:after="0"/>
              <w:rPr>
                <w:sz w:val="20"/>
                <w:szCs w:val="20"/>
                <w:color w:val="auto"/>
              </w:rPr>
            </w:pPr>
            <w:r>
              <w:rPr>
                <w:rFonts w:ascii="Arial" w:cs="Arial" w:eastAsia="Arial" w:hAnsi="Arial"/>
                <w:sz w:val="18"/>
                <w:szCs w:val="18"/>
                <w:color w:val="auto"/>
              </w:rPr>
              <w:t>3.55</w:t>
            </w:r>
          </w:p>
        </w:tc>
        <w:tc>
          <w:tcPr>
            <w:tcW w:w="1200" w:type="dxa"/>
            <w:vAlign w:val="bottom"/>
          </w:tcPr>
          <w:p>
            <w:pPr>
              <w:jc w:val="right"/>
              <w:ind w:right="36"/>
              <w:spacing w:after="0"/>
              <w:rPr>
                <w:sz w:val="20"/>
                <w:szCs w:val="20"/>
                <w:color w:val="auto"/>
              </w:rPr>
            </w:pPr>
            <w:r>
              <w:rPr>
                <w:rFonts w:ascii="Arial" w:cs="Arial" w:eastAsia="Arial" w:hAnsi="Arial"/>
                <w:sz w:val="18"/>
                <w:szCs w:val="18"/>
                <w:color w:val="auto"/>
              </w:rPr>
              <w:t>3.40</w:t>
            </w: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millions)</w:t>
            </w:r>
          </w:p>
        </w:tc>
        <w:tc>
          <w:tcPr>
            <w:tcW w:w="14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legal software solution, MyCase, enables small law firms to administer their practices and manage their caseloads more efficiently. MyCase is continuously evolving to help our customers more effectively market, manage and grow their businesses, and contains core functionality that addresses key operational issues, including managing calendars, contacts and documents, time tracking, billing and collections, communicating with clients and sharing sensitive and privileged materials.</w:t>
      </w:r>
    </w:p>
    <w:p>
      <w:pPr>
        <w:spacing w:after="0" w:line="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legal customers directly and indirectly account for less than 10% of our annual revenue. We define our legal customer base as the number of customers subscribing to MyCase core solutions, exclusive of free trial periods. Legal customer count is summarized in the table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Quarter Ended</w:t>
            </w:r>
          </w:p>
        </w:tc>
        <w:tc>
          <w:tcPr>
            <w:tcW w:w="1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1960" w:type="dxa"/>
            <w:vAlign w:val="bottom"/>
          </w:tcPr>
          <w:p>
            <w:pPr>
              <w:spacing w:after="0"/>
              <w:rPr>
                <w:sz w:val="22"/>
                <w:szCs w:val="22"/>
                <w:color w:val="auto"/>
              </w:rPr>
            </w:pPr>
          </w:p>
        </w:tc>
        <w:tc>
          <w:tcPr>
            <w:tcW w:w="1460" w:type="dxa"/>
            <w:vAlign w:val="bottom"/>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June 30,</w:t>
            </w: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w:t>
            </w: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right"/>
              <w:ind w:right="442"/>
              <w:spacing w:after="0"/>
              <w:rPr>
                <w:sz w:val="20"/>
                <w:szCs w:val="20"/>
                <w:color w:val="auto"/>
              </w:rPr>
            </w:pPr>
            <w:r>
              <w:rPr>
                <w:rFonts w:ascii="Arial" w:cs="Arial" w:eastAsia="Arial" w:hAnsi="Arial"/>
                <w:sz w:val="14"/>
                <w:szCs w:val="14"/>
                <w:b w:val="1"/>
                <w:bCs w:val="1"/>
                <w:color w:val="auto"/>
              </w:rPr>
              <w:t>June 30,</w:t>
            </w:r>
          </w:p>
        </w:tc>
        <w:tc>
          <w:tcPr>
            <w:tcW w:w="120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w:t>
            </w:r>
          </w:p>
        </w:tc>
      </w:tr>
      <w:tr>
        <w:trPr>
          <w:trHeight w:val="250"/>
        </w:trPr>
        <w:tc>
          <w:tcPr>
            <w:tcW w:w="1960" w:type="dxa"/>
            <w:vAlign w:val="bottom"/>
            <w:tcBorders>
              <w:bottom w:val="single" w:sz="8" w:color="CCEEFF"/>
            </w:tcBorders>
          </w:tcPr>
          <w:p>
            <w:pPr>
              <w:spacing w:after="0"/>
              <w:rPr>
                <w:sz w:val="21"/>
                <w:szCs w:val="21"/>
                <w:color w:val="auto"/>
              </w:rPr>
            </w:pPr>
          </w:p>
        </w:tc>
        <w:tc>
          <w:tcPr>
            <w:tcW w:w="146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jc w:val="right"/>
              <w:ind w:right="1222"/>
              <w:spacing w:after="0"/>
              <w:rPr>
                <w:sz w:val="20"/>
                <w:szCs w:val="20"/>
                <w:color w:val="auto"/>
              </w:rPr>
            </w:pPr>
            <w:r>
              <w:rPr>
                <w:rFonts w:ascii="Arial" w:cs="Arial" w:eastAsia="Arial" w:hAnsi="Arial"/>
                <w:sz w:val="14"/>
                <w:szCs w:val="14"/>
                <w:b w:val="1"/>
                <w:bCs w:val="1"/>
                <w:color w:val="auto"/>
                <w:w w:val="89"/>
              </w:rPr>
              <w:t>2018</w:t>
            </w:r>
          </w:p>
        </w:tc>
        <w:tc>
          <w:tcPr>
            <w:tcW w:w="1200" w:type="dxa"/>
            <w:vAlign w:val="bottom"/>
            <w:tcBorders>
              <w:top w:val="single" w:sz="8" w:color="auto"/>
              <w:bottom w:val="single" w:sz="8" w:color="auto"/>
            </w:tcBorders>
          </w:tcPr>
          <w:p>
            <w:pPr>
              <w:spacing w:after="0"/>
              <w:rPr>
                <w:sz w:val="21"/>
                <w:szCs w:val="21"/>
                <w:color w:val="auto"/>
              </w:rPr>
            </w:pPr>
          </w:p>
        </w:tc>
      </w:tr>
      <w:tr>
        <w:trPr>
          <w:trHeight w:val="243"/>
        </w:trPr>
        <w:tc>
          <w:tcPr>
            <w:tcW w:w="1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Law firm customers</w:t>
            </w:r>
          </w:p>
        </w:tc>
        <w:tc>
          <w:tcPr>
            <w:tcW w:w="146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10,781</w:t>
            </w:r>
          </w:p>
        </w:tc>
        <w:tc>
          <w:tcPr>
            <w:tcW w:w="13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10,631</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10,485</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10,279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10,173</w:t>
            </w:r>
          </w:p>
        </w:tc>
        <w:tc>
          <w:tcPr>
            <w:tcW w:w="160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10,001</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9,706</w:t>
            </w:r>
          </w:p>
        </w:tc>
      </w:tr>
      <w:tr>
        <w:trPr>
          <w:trHeight w:val="27"/>
        </w:trPr>
        <w:tc>
          <w:tcPr>
            <w:tcW w:w="19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2019, we had approximately 1,210 employees, and we consider our relationship with them to be very good. We also hire temporary employees and consultants, and feel similarly about our relationships with them. None of our employees is represented by a labor union or covered by a collective bargaining agreement.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charge our customers on a subscription basis for our core solutions and certain of our Value+ services. Our subscription fees are designed to scale to the size of our customers’ businesses. We recognize subscription revenue over time on a straight-line basis over the contract term beginning on the date that our service is made available to the customer. We generally invoice our customers for subscription services in monthly or annual installments, typically in advance of the subscription period. Revenue from subscription services is impacted by a number of factors, including the change in the number and type of our customers, the size and needs of our customers’ businesses, our customer renewal rates, and the level of adoption of our Value+ subscription services by new and existing customers.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79"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also charge our customers usage-based fees for using certain Value+ services. Certain of the usage-based fees are paid by either our customers or clients of our customers. Usage-based fees are charged on a flat fee per transaction basis with no minimum usage commitments. We recognize revenue for usage-based services in the period the service is rendered. We generally invoice our customers for usage-based services on a monthly basis for services rendered in the preceding month. Revenue from usage-based services is impacted by a number of factors, including the number of new and existing customers that adopt and utilize our Value+ services, the size and needs of our customers and our customer renewal rates.</w:t>
      </w:r>
    </w:p>
    <w:p>
      <w:pPr>
        <w:spacing w:after="0" w:line="13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experience limited seasonality in our Value+ services revenue, primarily with respect to certain leasing-related services we provide to our property manager customers, including our tenant screening services and new tenant applications. These customers historically have processed fewer applications for new tenants during the winter holiday season; therefore, revenue associated with our leasing services typically declines in the fourth quarter. As a result of this seasonal decline in revenue, we have typically experienced slower sequential revenue growth or a sequential decline in revenue in the fourth quarter of each of our most recent fiscal years. We expect this seasonality to continue in the foreseeable future although the impact from seasonality may decline as our revenue from other services increases.</w:t>
      </w:r>
    </w:p>
    <w:p>
      <w:pPr>
        <w:spacing w:after="0" w:line="15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offer assistance to our customers with on-boarding to our core solutions, as well as website design services. We generally invoice our customers for these other services in advance of the services being completed. We recognize revenue for these other services upon completion of the related service. We generate revenue from legacy RentLinx customers by providing services that allow these customers to advertise rental houses and apartments online. Revenue derived from customers using the RentLinx services outside of our property manager core solution platform is recorded in Other revenue. We also generate revenue from legacy WegoWise customers by providing utility analytics services and from legacy Dynasty customers by providing artificial intelligence solutions for the real estate market. Revenue derived from customers using the WegoWise and Dynasty services outside of our property manager core solution platform is also recorded in Other revenue.</w:t>
      </w:r>
    </w:p>
    <w:p>
      <w:pPr>
        <w:spacing w:after="0" w:line="3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Cost of revenue consists of fees paid to third-party service providers associated with delivering certain of our Value+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legal fees and costs associated with the delivery and provision of those services, as well as loss reserves and other costs associated with our legal liability to landlord insurance services), personnel-related costs (including salaries, incentive-based compensation, benefits, and stock-based compensation) for our employees focused on customer service and the support of our operations, platform infrastructure costs (such as data center operations and hosting-related costs), payment processing fees and allocated shared and other costs. We typically allocate shared costs across our organization based on headcount within the applicable part of our organization. Cost of revenue excludes depreciation of property and equipment, and amortization of capitalized software development costs and intangible assets. We intend to continue to invest in customer service and support and the expansion of our technology infrastructure as we grow the number of our customers, enter new markets and offer additional Value+ services. These investments could impact cost of revenue both in absolute dollars and as an overall percentage of revenue.</w:t>
      </w:r>
    </w:p>
    <w:p>
      <w:pPr>
        <w:spacing w:after="0" w:line="7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 consists of personnel-related costs (including salaries, sales commissions, incentive-based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benefits, and stock-based compensation) for our employees focused on sales and marketing, costs associated with sales and marketing activities, and allocated shared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that we have determined to be three years. We focus our sales and marketing efforts on generating awareness of our software solutions, creating sales leads, establishing and promoting our brands, and cultivating an educated community of successful and vocal customers. We intend to continue to invest in sales and marketing as we grow to increase our customer base in new and existing markets and increase the adoption and utilization of Value+ services by our new and existing customers.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Research and Product Development. </w:t>
      </w:r>
      <w:r>
        <w:rPr>
          <w:rFonts w:ascii="Arial" w:cs="Arial" w:eastAsia="Arial" w:hAnsi="Arial"/>
          <w:sz w:val="18"/>
          <w:szCs w:val="18"/>
          <w:color w:val="auto"/>
        </w:rPr>
        <w:t>Research and product development expense consists of personnel-related costs (including salaries, incentive-based compensation, benefits, and stock-based compensation) for our employees focused on research and product development, fees for third-party development resources, and allocated shared costs. Our research and product development efforts are focused on enhancing the ease of use and functionality of our existing software solutions by adding new core functionality, Value+ services and other improvements, as well as developing new products and services for new and existing markets. We capitalize the portion of our software development costs that meets the criteria for capitalization. Amortization of capitalized software development costs is included in depreciation and amortization expense. We intend to continue to invest in research and product development as we continue to introduce new core functionality, roll out new Value+ services, develop new products and services, and expand into adjacent markets and new verticals.</w:t>
      </w:r>
    </w:p>
    <w:p>
      <w:pPr>
        <w:spacing w:after="0" w:line="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of personnel-related costs (including salaries, a majority of total incentive-based compensation, benefits, and stock-based compensation) for employees in our executive, finance, information technology, human resources, corporate development, legal, and administrative organizations. In addition, general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79"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administrative expense includes fees for third-party professional services (including audit, legal, tax, and consulting services), transaction costs related to business combinations, other corporate expenses, and allocated shared costs. We intend to continue to incur incremental general and administrative costs associated with supporting the growth of our business.</w:t>
      </w:r>
    </w:p>
    <w:p>
      <w:pPr>
        <w:spacing w:after="0" w:line="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 includes depreciation of property and equipment, amortization of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 As we continue to invest in our research and product development organization and the development or acquisition of new technology, we expect to have increased capitalized software development costs and incremental amortization. Further, we may incur additional amortization expense to the extent that we enter into additional arrangements to acquire or invest in new technologies or markets adjacent to those we serve today or entirely new verticals. Finally, as we expand our facilities footprint and increase our base of employees, we expect to have increased property and equipment expenditures and incremental depreciation expense.</w:t>
      </w:r>
    </w:p>
    <w:p>
      <w:pPr>
        <w:spacing w:after="0" w:line="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Interest income includes interest earned on investment securities, amortization and accretion of the premium and</w:t>
      </w:r>
      <w:r>
        <w:rPr>
          <w:rFonts w:ascii="Arial" w:cs="Arial" w:eastAsia="Arial" w:hAnsi="Arial"/>
          <w:sz w:val="18"/>
          <w:szCs w:val="18"/>
          <w:i w:val="1"/>
          <w:iCs w:val="1"/>
          <w:color w:val="auto"/>
        </w:rPr>
        <w:t xml:space="preserve"> </w:t>
      </w:r>
      <w:r>
        <w:rPr>
          <w:rFonts w:ascii="Arial" w:cs="Arial" w:eastAsia="Arial" w:hAnsi="Arial"/>
          <w:sz w:val="18"/>
          <w:szCs w:val="18"/>
          <w:color w:val="auto"/>
        </w:rPr>
        <w:t>discounts paid from the purchase of investment securities, and interest earned on notes receivable and on cash deposited in our bank accounts. Interest expense includes interest paid on outstanding borrowings under the credit agreement with Wells Fargo, as administrative agent, and the lenders that are parties thereto, ("the Credit Agreement").</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Provision for (Benefit from) Income Taxes. </w:t>
      </w:r>
      <w:r>
        <w:rPr>
          <w:rFonts w:ascii="Arial" w:cs="Arial" w:eastAsia="Arial" w:hAnsi="Arial"/>
          <w:sz w:val="18"/>
          <w:szCs w:val="18"/>
          <w:color w:val="auto"/>
        </w:rPr>
        <w:t>Provision for (benefit from) income taxes consists of federal and state income taxes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a non-cash benefit related to the release of the valuation allowance for our deferred tax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79"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720" w:type="dxa"/>
            <w:vAlign w:val="bottom"/>
          </w:tcPr>
          <w:p>
            <w:pPr>
              <w:spacing w:after="0"/>
              <w:rPr>
                <w:sz w:val="14"/>
                <w:szCs w:val="14"/>
                <w:color w:val="auto"/>
              </w:rPr>
            </w:pPr>
          </w:p>
        </w:tc>
      </w:t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264"/>
        </w:trPr>
        <w:tc>
          <w:tcPr>
            <w:tcW w:w="3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jc w:val="right"/>
              <w:ind w:right="29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Pr>
          <w:p>
            <w:pPr>
              <w:jc w:val="right"/>
              <w:ind w:right="2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tcPr>
          <w:p>
            <w:pPr>
              <w:jc w:val="right"/>
              <w:ind w:right="27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8"/>
              </w:rPr>
              <w:t>Amount</w:t>
            </w:r>
          </w:p>
        </w:tc>
        <w:tc>
          <w:tcPr>
            <w:tcW w:w="720" w:type="dxa"/>
            <w:vAlign w:val="bottom"/>
          </w:tcPr>
          <w:p>
            <w:pPr>
              <w:jc w:val="right"/>
              <w:ind w:right="291"/>
              <w:spacing w:after="0"/>
              <w:rPr>
                <w:sz w:val="20"/>
                <w:szCs w:val="20"/>
                <w:color w:val="auto"/>
              </w:rPr>
            </w:pPr>
            <w:r>
              <w:rPr>
                <w:rFonts w:ascii="Arial" w:cs="Arial" w:eastAsia="Arial" w:hAnsi="Arial"/>
                <w:sz w:val="14"/>
                <w:szCs w:val="14"/>
                <w:b w:val="1"/>
                <w:bCs w:val="1"/>
                <w:color w:val="auto"/>
              </w:rPr>
              <w:t>%</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Consolidated Statements of Operations Data:</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67,935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50,126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188,650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9"/>
              </w:rPr>
              <w:t>100.0 %</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139,706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9"/>
              </w:rPr>
              <w:t>100.0 %</w:t>
            </w: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9"/>
        </w:trPr>
        <w:tc>
          <w:tcPr>
            <w:tcW w:w="3540" w:type="dxa"/>
            <w:vAlign w:val="bottom"/>
          </w:tcPr>
          <w:p>
            <w:pPr>
              <w:ind w:left="380"/>
              <w:spacing w:after="0"/>
              <w:rPr>
                <w:sz w:val="20"/>
                <w:szCs w:val="20"/>
                <w:color w:val="auto"/>
              </w:rPr>
            </w:pPr>
            <w:r>
              <w:rPr>
                <w:rFonts w:ascii="Arial" w:cs="Arial" w:eastAsia="Arial" w:hAnsi="Arial"/>
                <w:sz w:val="18"/>
                <w:szCs w:val="18"/>
                <w:color w:val="auto"/>
                <w:w w:val="93"/>
              </w:rPr>
              <w:t>Cost of revenue (exclusive of depreciation</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7"/>
        </w:trPr>
        <w:tc>
          <w:tcPr>
            <w:tcW w:w="354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and amortization) </w:t>
            </w:r>
            <w:r>
              <w:rPr>
                <w:rFonts w:ascii="Arial" w:cs="Arial" w:eastAsia="Arial" w:hAnsi="Arial"/>
                <w:sz w:val="25"/>
                <w:szCs w:val="25"/>
                <w:color w:val="auto"/>
                <w:vertAlign w:val="superscript"/>
              </w:rPr>
              <w:t>(1)</w:t>
            </w: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25,930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19,282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75,239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53,624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38.4</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8,681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37,087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23,711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17.0</w:t>
            </w:r>
          </w:p>
        </w:tc>
      </w:tr>
      <w:tr>
        <w:trPr>
          <w:trHeight w:val="270"/>
        </w:trPr>
        <w:tc>
          <w:tcPr>
            <w:tcW w:w="354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Research and product development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10,602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6,440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28,422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17,523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12.5</w:t>
            </w:r>
          </w:p>
        </w:tc>
      </w:tr>
      <w:tr>
        <w:trPr>
          <w:trHeight w:val="270"/>
        </w:trPr>
        <w:tc>
          <w:tcPr>
            <w:tcW w:w="35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8,955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25,361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17,105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12.2</w:t>
            </w: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3,705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16,169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10,784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7.7</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64"/>
        </w:trPr>
        <w:tc>
          <w:tcPr>
            <w:tcW w:w="3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Total costs and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63,801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182,278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122,747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87.8</w:t>
            </w: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12.1</w:t>
            </w: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0.5</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0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before provision for (benefit from)</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31"/>
              <w:spacing w:after="0"/>
              <w:rPr>
                <w:sz w:val="20"/>
                <w:szCs w:val="20"/>
                <w:color w:val="auto"/>
              </w:rPr>
            </w:pPr>
            <w:r>
              <w:rPr>
                <w:rFonts w:ascii="Arial" w:cs="Arial" w:eastAsia="Arial" w:hAnsi="Arial"/>
                <w:sz w:val="18"/>
                <w:szCs w:val="18"/>
                <w:color w:val="auto"/>
              </w:rPr>
              <w:t>0.2</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5,524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17,318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20"/>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Includes stock-based compensation expense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92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9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Stock-based compensation expense included in costs and 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Cost of revenue (exclusive of depreciation and amortization)</w:t>
            </w:r>
          </w:p>
        </w:tc>
        <w:tc>
          <w:tcPr>
            <w:tcW w:w="16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Research and product development</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3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5,431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vMerge w:val="restart"/>
          </w:tcPr>
          <w:p>
            <w:pPr>
              <w:jc w:val="right"/>
              <w:ind w:right="1110"/>
              <w:spacing w:after="0"/>
              <w:rPr>
                <w:sz w:val="20"/>
                <w:szCs w:val="20"/>
                <w:color w:val="auto"/>
              </w:rPr>
            </w:pPr>
            <w:r>
              <w:rPr>
                <w:rFonts w:ascii="Arial" w:cs="Arial" w:eastAsia="Arial" w:hAnsi="Arial"/>
                <w:sz w:val="18"/>
                <w:szCs w:val="18"/>
                <w:color w:val="auto"/>
                <w:w w:val="79"/>
              </w:rPr>
              <w:t>30</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6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79"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2019 and 2018</w:t>
      </w:r>
    </w:p>
    <w:p>
      <w:pPr>
        <w:spacing w:after="0" w:line="3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following comparative financial information includes the impact of ongoing investment in our business that we believe will positively impact long-term stockholder value, including (i) the acquisition of substantially all of the assets of WegoWise completed in August 2018, (ii) the development and launch of AppFolio Property Manager PLUS in September 2018, (iii) the acquisition of Dynasty completed in January 2019, and (iv) the development and launch of AppFolio Investment Management in April 2019. The WegoWise platform empowers building owners and third-party property managers to better manage operating and capital expenditures relating to utilities. Earlier this year we launched our AppFolio Utility Management Value+ service, which has been developed from certain key aspects of the WegoWise platform, and is a fully integrated offering that provides enhanced functionality to our real estate customers for utility analytics and management. Dynasty offers advanced conversational AI solutions that automate leasing communications, replace manual tasks and help customers grow their portfolios. The acquisition of Dynasty strengthens AppFolio's system of intelligence capabilities, and has enabled the launch of Lisa, AppFolio’s AI Leasing Assistant Value+ service for real estate customers.</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Pr>
          <w:p>
            <w:pPr>
              <w:spacing w:after="0"/>
              <w:rPr>
                <w:sz w:val="14"/>
                <w:szCs w:val="14"/>
                <w:color w:val="auto"/>
              </w:rPr>
            </w:pPr>
          </w:p>
        </w:tc>
        <w:tc>
          <w:tcPr>
            <w:tcW w:w="118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2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Core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22,503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64,934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51,101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2780" w:type="dxa"/>
            <w:vAlign w:val="bottom"/>
          </w:tcPr>
          <w:p>
            <w:pPr>
              <w:ind w:left="40"/>
              <w:spacing w:after="0"/>
              <w:rPr>
                <w:sz w:val="20"/>
                <w:szCs w:val="20"/>
                <w:color w:val="auto"/>
              </w:rPr>
            </w:pPr>
            <w:r>
              <w:rPr>
                <w:rFonts w:ascii="Arial" w:cs="Arial" w:eastAsia="Arial" w:hAnsi="Arial"/>
                <w:sz w:val="18"/>
                <w:szCs w:val="18"/>
                <w:color w:val="auto"/>
              </w:rPr>
              <w:t>Value+ services</w:t>
            </w:r>
          </w:p>
        </w:tc>
        <w:tc>
          <w:tcPr>
            <w:tcW w:w="240" w:type="dxa"/>
            <w:vAlign w:val="bottom"/>
          </w:tcPr>
          <w:p>
            <w:pPr>
              <w:spacing w:after="0"/>
              <w:rPr>
                <w:sz w:val="21"/>
                <w:szCs w:val="21"/>
                <w:color w:val="auto"/>
              </w:rPr>
            </w:pP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41,645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30,797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10,848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114,399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84,189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30,210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3,787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27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67,935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50,126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17,809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188,650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139,706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48,944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Total revenue was $67.9 million for the three months ended September 30, 2019 compared to $50.1 million for the three months ended September 30, 2018, an increase of $17.8 million, or 36%. Core solutions revenue was $22.5 million for the three months ended September 30, 2019 compared to $17.9 million for the three months ended September 30, 2018, an increase of $4.6 million, or 26%. Value+ services revenue was $41.6 million for the three months ended September 30, 2019 compared to $30.8 million for the three months ended September 30, 2018, an increase of $10.8 million, or 35%. Other revenue was $3.8 million for the three months ended September 30, 2019, compared to $1.4 million for the three months ended September 30, 2018, an increase of $2.4 million or 167%. The increase in Core solutions and Value+ services revenue was mainly attributed to the growth in the number of property manager customers and units under management. Combining new customer acquisition and strong customer renewal rates, we experienced an 11% year over year increase in the number of property manager customers and a 19% year over year increase in the number of property management units under management. In addition to the growth in customer count and units, property managers, residents, applicants and owners increased usage of our Value+ services platforms during the period. The increase in Other revenue was primarily attributed to revenue generated from customer subscriptions for the WegoWise platform and Dynasty technology services and an increase in one-time website setup fees associated with our property manager customers' upgrading to a new website hosting platform.</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Total revenue was $188.7 million for the nine months ended September 30, 2019 compared to $139.7 million for the nine months ended September 30, 2018, an increase of $48.9 million, or 35%. Core solutions revenue was $64.9 million for the nine months ended September 30, 2019 compared to $51.1 million for the nine months ended September 30, 2018, an increase of $13.8 million, or 27%. Value+ services revenue was $114.4 million for the nine months ended September 30, 2019 compared to $84.2 million for the nine months ended September 30, 2018, an increase of $30.2 million, or 36%. Other revenue was $9.3 million for the nine months ended September 30, 2019, compared to $4.4 million for the nine months ended September 30, 2018, an increase of $4.9 million or 111%. The increase in Core solutions and Value+ services revenue was mainly attributed to the growth in the number of property manager customers and units under management. Combining new customer acquisition and strong customer renewal rates, we experienced an 11% year over year increase in the number of property manager customers and a 19% year over year increase in the number of property management units under management. In addition to the growth in customer count and units, property managers, residents, applicants and owners increased usage of our Value+ services platforms during the period. The increase in Other revenue was primarily attributed to revenue generated from customer subscriptions for the WegoWise platform and Dynasty technology services and an increase in one-time website setup fees associated with with our property manager customers' upgrading to a new website hosting platform.</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For the three and nine months ended September 30, 2019 and 2018, we derived more than 90% of our revenue from our real estate customers.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79"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w w:val="94"/>
              </w:rPr>
              <w:t>(dollars in thousands)</w:t>
            </w: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 (exclusive of</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25,930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19,282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6,648</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75,239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53,624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21,615</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39.9%</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(exclusive of depreciation and amortization) was $25.9 million for the three months ended September 30, 2019 compared to $19.3 million for the three months ended September 30, 2018, an increase of $6.6 million, or 34%. This increase in cost of revenue (exclusive of depreciation and amortization) was primarily attributed to the 36% increase in revenue over the same period and an increase in personnel-related investments made in advance of expected revenue generation. Expenditures to third-party service providers increased $3.4 million directly associated with the increased adoption and utilization of our Value+ services, as evidenced by the 35% increase in Value+ services revenues. There was also an increase in personnel-related costs of $3.0 million, related to increased headcount to support the increased number of customers, including those acquired in our recent acquisitions and investments made for future growth of our business. Allocated and other costs increased by $0.3 million primarily driven by an increase in facilities, platform infrastructure, payment processing and other costs incurred in support of our overall growth, as well as costs associated with the delivery and provision of our Value+ services.</w:t>
      </w:r>
    </w:p>
    <w:p>
      <w:pPr>
        <w:spacing w:after="0" w:line="18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and prices of Value+ services in the period and investments made in advance of expected revenue generation. For the three months ended September 30, 2019 cost of revenue (exclusive of depreciation and amortization), as a percentage of revenue, was 38.2% compared to 38.5% for the three months ended September 30, 2018. This improvement in cost as a percentage of revenue was primarily driven by increased costs associated with settling a litigation matter during the prior year quarter ended September 30, 2018. Adjusting for these costs, cost of revenue (exclusive of depreciation and amortization) as a percentage of revenue would have increased primarily due to increased personnel-related investments made in advance of expected revenue generation associated with growth initiatives including without limitation the Dynasty and WegoWise acquisitions.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 (exclusive of depreciation and amortization) was $75.2 million for the nine months ended September 30, 2019 compared to $53.6 million for the nine months ended September 30, 2018, an increase of $21.6 million, or 40%. This increase in cost of revenue (exclusive of depreciation and amortization) was primarily attributed to the 35% increase in revenue over the same period and an increase in personnel-related investments made in advance of expected revenue generation. Personnel-related costs increased by $9.7 million, related to increased headcount to support the increased number of customers, including those acquired in our recent acquisitions and investments made for future growth of our business. There was also an increase in expenditures to third-party service providers of $8.8 million directly associated with the increased adoption and utilization of our Value+ services, as evidenced by the 36% increase in Value+ services revenues. Allocated and other costs increased by $3.1 million primarily driven by an increase in facilities, platform infrastructure, payment processing and other costs incurred in support of our overall growth, as well as costs associated with the delivery and provision of our Value+ services.</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and prices of Value+ services in the period and investments made in advance of expected revenue generation. For the nine months ended September 30, 2019 compared to the nine months ended September 30, 2018, cost of revenue (exclusive of depreciation and amortization), as a percentage of revenue, increased to 39.9% from 38.4%. This increase in cost as a percentage of revenue was primarily due to increased personnel-related investments made in advance of expected revenue generation associated with growth initiatives including without limitation the Dynasty and WegoWise acquisitions.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79"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4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0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w w:val="95"/>
              </w:rPr>
              <w:t>(dollars in thousands)</w:t>
            </w:r>
          </w:p>
        </w:tc>
        <w:tc>
          <w:tcPr>
            <w:tcW w:w="4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12,636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8,681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3,955</w:t>
            </w:r>
          </w:p>
        </w:tc>
        <w:tc>
          <w:tcPr>
            <w:tcW w:w="10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46%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37,087</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7"/>
              </w:rPr>
              <w:t>23,711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13,376</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19.7%</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Sales and marketing expense was $12.6 million for the three months ended September 30, 2019 compared to $8.7 million for the three months ended September 30, 2018, an increase of $4.0 million, or 46%. This increase was primarily due to an increase in personnel-related costs of $3.6 million driven by an increase in the average headcount to support our growth and investments made in advance of expected revenue generation. In addition, there was an increase in allocated and other costs of $0.7 million driven by an increase in IT and other costs incurred in support of our overall growth in personnel. These increases were offset by a decrease in advertising and promotion costs of $0.3 million primarily related to a decrease in costs associated with our real estate customer conference that occurred during the fourth quarter of 2019, compared to the third quarter of 2018, offset by an increase in advertising and promotion related to our new and expanding services offerings.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Sales and marketing expense was $37.1 million for the nine months ended September 30, 2019 compared to $23.7 million for the nine months ended September 30, 2018, an increase of $13.4 million, or 56%. This increase was primarily due to an increase in personnel-related costs of $9.7 million driven by an increase in the average headcount to support our growth and investments made in advance of expected revenue generation. There was also an increase in advertising and promotion costs of $1.9 million related to our new and expanding service offerings, offset by a decrease of $0.5 million related to costs associated with our real estate customer conference that occurred during the fourth quarter of 2019, compared to the third quarter of 2018. In addition, there was an increase in allocated and other costs of $2.3 million driven by an increase in consulting services, IT and other costs incurred in support of our overall growth in personnel.</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percentage of revenue, sales and marketing expense increased to 18.6% from 17.3% for the three months ended September 30, 2019 compared to the three months ended September 30, 2018, and to 19.7% from 17.0% for the nine months ended September 30, 2019 compared to the nine months ended September 30, 2018. These increases were primarily driven by personnel-related investments made in advance of expected revenue generation associated with growth initiatives in the business offset by the impact of a timing change of our real estate customer conference.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80" w:type="dxa"/>
            <w:vAlign w:val="bottom"/>
            <w:gridSpan w:val="4"/>
          </w:tcPr>
          <w:p>
            <w:pPr>
              <w:jc w:val="right"/>
              <w:ind w:right="401"/>
              <w:spacing w:after="0"/>
              <w:rPr>
                <w:sz w:val="20"/>
                <w:szCs w:val="20"/>
                <w:color w:val="auto"/>
              </w:rPr>
            </w:pPr>
            <w:r>
              <w:rPr>
                <w:rFonts w:ascii="Arial" w:cs="Arial" w:eastAsia="Arial" w:hAnsi="Arial"/>
                <w:sz w:val="14"/>
                <w:szCs w:val="14"/>
                <w:b w:val="1"/>
                <w:bCs w:val="1"/>
                <w:color w:val="auto"/>
                <w:w w:val="94"/>
              </w:rPr>
              <w:t>(dollars in thousands)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product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10,602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6,440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4,162</w:t>
            </w:r>
          </w:p>
        </w:tc>
        <w:tc>
          <w:tcPr>
            <w:tcW w:w="10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28,422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17,523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62"/>
              <w:spacing w:after="0"/>
              <w:rPr>
                <w:sz w:val="20"/>
                <w:szCs w:val="20"/>
                <w:color w:val="auto"/>
              </w:rPr>
            </w:pPr>
            <w:r>
              <w:rPr>
                <w:rFonts w:ascii="Arial" w:cs="Arial" w:eastAsia="Arial" w:hAnsi="Arial"/>
                <w:sz w:val="18"/>
                <w:szCs w:val="18"/>
                <w:color w:val="auto"/>
              </w:rPr>
              <w:t>10,899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product development expense was $10.6 million for the three months ended September 30, 2019 compared to $6.4 million for the three months ended September 30, 2018, an increase of $4.2 million, or 65%. This increase was the result of an increase in personnel-related costs, net of capitalized software development costs, of $2.9 million due to investments in headcount growth within our research and product development organization, and an increase in allocated and other costs of $1.3 million driven by an increase in facilities, IT and other costs incurred in support of our overall growth in personnel.</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product development expense was $28.4 million for the nine months ended September 30, 2019 compared to $17.5 million for the nine months ended September 30, 2018, an increase of $10.9 million, or 62%. This increase was the result of an increase in personnel-related costs, net of capitalized software development costs, of $7.2 million due to investments in headcount growth within our research and product development organization, and an increase in allocated and other costs of $3.7 million driven by an increase in facilities, IT and other costs incurred in support of our overall growth in personnel.</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intend to continue to invest in research and product development as we continue to introduce additional functionality into our software solutions, services and data offerings, develop or integrate acquired Value+ services to attract new customers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79"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and expand offerings to existing customers, develop new products to serve new or existing customers and expand into adjacent markets or new verticals.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w w:val="94"/>
              </w:rPr>
              <w:t>(dollars in thousands)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General and administrative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8,955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2,414</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25,361</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87"/>
              </w:rPr>
              <w:t>17,105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8,256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13.4%</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was $9.0 million for the three months ended September 30, 2019 compared to $6.5 million for the three months ended September 30, 2018, an increase of $2.4 million, or 37%. This increase was primarily due to an increase in personnel-related costs of $2.0 million driven by growth in headcount and an increase in allocated and other costs of $0.4 million related to an increase in facilities and other costs incurred to support our growth.</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 was $25.4 million for the nine months ended September 30, 2019 compared to $17.1 million for the nine months ended September 30, 2018, an increase of $8.3 million, or 48%. This increase was primarily due to an increase in personnel-related costs of $5.7 million driven by growth in headcount and an increase in professional services fees and allocated and other costs of $2.5 million related to expanded audit services, legal and other services fees associated with compliance with Section 404(b) of the Sarbanes-Oxley Act of 2002, increased leasing activities, due diligence and acquisition related activities, as well as other costs incurred to support our growth.</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00" w:type="dxa"/>
            <w:vAlign w:val="bottom"/>
            <w:gridSpan w:val="4"/>
          </w:tcPr>
          <w:p>
            <w:pPr>
              <w:jc w:val="right"/>
              <w:ind w:right="421"/>
              <w:spacing w:after="0"/>
              <w:rPr>
                <w:sz w:val="20"/>
                <w:szCs w:val="20"/>
                <w:color w:val="auto"/>
              </w:rPr>
            </w:pPr>
            <w:r>
              <w:rPr>
                <w:rFonts w:ascii="Arial" w:cs="Arial" w:eastAsia="Arial" w:hAnsi="Arial"/>
                <w:sz w:val="14"/>
                <w:szCs w:val="14"/>
                <w:b w:val="1"/>
                <w:bCs w:val="1"/>
                <w:color w:val="auto"/>
                <w:w w:val="94"/>
              </w:rPr>
              <w:t>(dollars in thousands)</w:t>
            </w: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Depreciation and amortization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5,678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8"/>
                <w:szCs w:val="18"/>
                <w:color w:val="auto"/>
              </w:rPr>
              <w:t>1,973</w:t>
            </w: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  $</w:t>
            </w:r>
          </w:p>
        </w:tc>
        <w:tc>
          <w:tcPr>
            <w:tcW w:w="88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16,169</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87"/>
              </w:rPr>
              <w:t>10,784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82"/>
              <w:spacing w:after="0"/>
              <w:rPr>
                <w:sz w:val="20"/>
                <w:szCs w:val="20"/>
                <w:color w:val="auto"/>
              </w:rPr>
            </w:pPr>
            <w:r>
              <w:rPr>
                <w:rFonts w:ascii="Arial" w:cs="Arial" w:eastAsia="Arial" w:hAnsi="Arial"/>
                <w:sz w:val="18"/>
                <w:szCs w:val="18"/>
                <w:color w:val="auto"/>
              </w:rPr>
              <w:t>5,385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860" w:type="dxa"/>
            <w:vAlign w:val="bottom"/>
          </w:tcPr>
          <w:p>
            <w:pPr>
              <w:jc w:val="right"/>
              <w:ind w:right="1"/>
              <w:spacing w:after="0"/>
              <w:rPr>
                <w:sz w:val="20"/>
                <w:szCs w:val="20"/>
                <w:color w:val="auto"/>
              </w:rPr>
            </w:pPr>
            <w:r>
              <w:rPr>
                <w:rFonts w:ascii="Arial" w:cs="Arial" w:eastAsia="Arial" w:hAnsi="Arial"/>
                <w:sz w:val="18"/>
                <w:szCs w:val="18"/>
                <w:color w:val="auto"/>
              </w:rPr>
              <w:t>8.4%</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1"/>
              <w:spacing w:after="0"/>
              <w:rPr>
                <w:sz w:val="20"/>
                <w:szCs w:val="20"/>
                <w:color w:val="auto"/>
              </w:rPr>
            </w:pPr>
            <w:r>
              <w:rPr>
                <w:rFonts w:ascii="Arial" w:cs="Arial" w:eastAsia="Arial" w:hAnsi="Arial"/>
                <w:sz w:val="18"/>
                <w:szCs w:val="18"/>
                <w:color w:val="auto"/>
              </w:rPr>
              <w:t>8.6%</w:t>
            </w:r>
          </w:p>
        </w:tc>
        <w:tc>
          <w:tcPr>
            <w:tcW w:w="4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expense was $5.7 million for the three months ended September 30, 2019 compared to $3.7 million for the three months ended September 30, 2018, an increase of $2.0 million, or 53%. This increase was primarily due to increased amortization expense associated with intangible assets acquired from WegoWise and Dynasty and in amortization expense associated with higher accumulated capitalized software development balances.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expense was $16.2 million for the nine months ended September 30, 2019 compared to $10.8 million for the nine months ended September 30, 2018, an increase of $5.4 million, or 50%. This increase was primarily due to increased amortization expense associated with intangible assets acquired from WegoWise and Dynasty and in amortization expense associated with higher accumulated capitalized software development balances.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79"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16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left="34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9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(629)</w:t>
            </w:r>
          </w:p>
        </w:tc>
        <w:tc>
          <w:tcPr>
            <w:tcW w:w="10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(275)%  $</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(1,324)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(1,955)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6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(0.7)%</w:t>
            </w:r>
          </w:p>
        </w:tc>
        <w:tc>
          <w:tcPr>
            <w:tcW w:w="4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Interest expense, net, was $0.4 million for the three months ended September 30, 2019 compared to interest income of $0.2 million for the three months ended September 30, 2018, a decrease of $0.6 million, due to an increase in interest expense associated with increased borrowings under the Credit Agreement and a decrease in interest income due to lower investment security balances in the more recent period.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Interest expense, net, was $1.3 million for the nine months ended September 30, 2019 compared to interest income of $0.6 million for the nine months ended September 30, 2018, a decrease of $2.0 million, due to an increase in interest expense associated with increased borrowings under the Credit Agreement and a decrease in interest income due to lower investment security balances in the more recent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14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2020" w:type="dxa"/>
            <w:vAlign w:val="bottom"/>
            <w:gridSpan w:val="2"/>
            <w:vMerge w:val="restart"/>
          </w:tcPr>
          <w:p>
            <w:pPr>
              <w:jc w:val="right"/>
              <w:ind w:right="6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Amount</w:t>
            </w: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940" w:type="dxa"/>
            <w:vAlign w:val="bottom"/>
            <w:gridSpan w:val="4"/>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(1,255)</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2"/>
              <w:spacing w:after="0"/>
              <w:rPr>
                <w:sz w:val="20"/>
                <w:szCs w:val="20"/>
                <w:color w:val="auto"/>
              </w:rPr>
            </w:pPr>
            <w:r>
              <w:rPr>
                <w:rFonts w:ascii="Arial" w:cs="Arial" w:eastAsia="Arial" w:hAnsi="Arial"/>
                <w:sz w:val="18"/>
                <w:szCs w:val="18"/>
                <w:color w:val="auto"/>
              </w:rPr>
              <w:t>(1,438)</w:t>
            </w:r>
          </w:p>
        </w:tc>
        <w:tc>
          <w:tcPr>
            <w:tcW w:w="100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(786)%  $</w:t>
            </w:r>
          </w:p>
        </w:tc>
        <w:tc>
          <w:tcPr>
            <w:tcW w:w="94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(26,874)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99"/>
              </w:rPr>
              <w:t>$   (27,126)</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1"/>
              <w:spacing w:after="0"/>
              <w:rPr>
                <w:sz w:val="20"/>
                <w:szCs w:val="20"/>
                <w:color w:val="auto"/>
              </w:rPr>
            </w:pPr>
            <w:r>
              <w:rPr>
                <w:rFonts w:ascii="Arial" w:cs="Arial" w:eastAsia="Arial" w:hAnsi="Arial"/>
                <w:sz w:val="18"/>
                <w:szCs w:val="18"/>
                <w:color w:val="auto"/>
              </w:rPr>
              <w:t>(14.2)%</w:t>
            </w:r>
          </w:p>
        </w:tc>
        <w:tc>
          <w:tcPr>
            <w:tcW w:w="4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The benefit from income taxes was $1.3 million and $26.9 million for the three and nine months ended September 30, 2019, respectively, compared to a provision for income taxes of $183,000 and $252,000 for the three and nine months ended September 30, 2018, respectively. The change in the provision for income taxes was primarily due to the release of the valuation allowance during the second quarter of 2019 as further described in Note 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of our Condensed Consolidated Financial Statements. Our estimated annual effective tax rate is (12.2%) which differs from the US federal statutory rate of 21% primarily due to tax benefits from research and development tax credits.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our principal sources of liquidity were cash and cash equivalents and investment securities, which had an aggregate balance of $45.2 million.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2019, we had working capital of $22.4 million, compared to working capital of $79.8 million as of December 31, 2018. The decrease in our working capital was primarily due to a decrease in cash and cash equivalents related to the acquisition of Dynasty, an increase in other current liabilities due to the $6.0 million Holdback Amount related to the Dynasty acquisition, the recording of lease liabilities associated with the adoption of ASU 2016-02, and increases in accrued employee expenses and accrued expenses. The decrease in our working capital was partially offset by increases in prepaid expenses and other current assets, investment securities-current, and accounts receivable due to an increase in revenue from Value+ services.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Revolving Facility</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of September 30, 2019, we had a $50.0 million revolving line of credit, ("the Revolving Facility"), under the terms of the Credit Agreement, as further described in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of our Condensed Consolidated Financial Statements. As of both September 30, 2019 and December 31, 2018, we had no outstanding balance under the Revolving Facility.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79"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our existing cash and cash equivalents, investment securities, available borrowing capacity of $50.0 million under the Revolving Facility, and cash generated from operating activities will be sufficient to meet our working capital and capital expenditure requirements for at least the next 12 months.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Our future capital requirements will depend on many factors, including the continued market acceptance of our software solutions, the change in the number of our customers, the adoption and utilization of our Value+ services by new and existing customers, the timing and extent of the introduction of new core functionality, products and Value+ services, the timing and extent of our expansion into adjacent or new markets and the timing and extent of our investments across our organization.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in open market transactions, privately negotiated transactions or otherwise.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63"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(70,728)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(24,784)</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(53,954)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w:t>
            </w:r>
          </w:p>
        </w:tc>
      </w:tr>
      <w:tr>
        <w:trPr>
          <w:trHeight w:val="27"/>
        </w:trPr>
        <w:tc>
          <w:tcPr>
            <w:tcW w:w="8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3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the nine months ended September 30, 2019, net cash provided by operating activities was $23.4 million resulting from net income of $31.9 million, adjusted by non-cash charges of $2.3 million and a net decrease in our operating assets and liabilities of $6.2 million. The non-cash charges primarily consist of a one-time benefit of $27.0 million related to the release of the valuation allowance for our deferred tax assets, offset by $16.2 million of depreciation and amortization of our property and equipment and capitalized software development costs, $5.4 million of stock-based compensation and $3.0 million of amortization of operating lease right-of-use ("ROU") assets in accordance with ASU 2016-02. The net decrease in our operating assets and liabilities was mostly attributable to an increase of $4.4 million in prepaid expenses and other current assets, a $2.9 million decrease in operating lease liabilities, and a $2.8 million increase in accounts receivable primarily driven by growth of our Value+ services. The decrease in our operating assets and liabilities was partially offset by a $1.1 million decrease in other assets, a $1.0 million increase in deferred revenue, a $1.0 million increase in other liabilities, and a $0.5 million increase in accrued employee expenses.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For the nine months ended September 30, 2018, net cash provided by operating activities was $24.6 million resulting from net income of $17.3 million, adjusted by non-cash charges of $15.4 million and offset by a net decrease in our operating assets and liabilities of $8.1 million. The non-cash charges primarily consist of $10.8 million of depreciation and amortization of our property and equipment and capitalized software development costs and $4.4 million of stock-based compensation. The net decrease in our operating assets and liabilities was mostly attributable to a $5.0 million increase in other assets due to the capitalization of deferred costs in accordance with ASU 2014-09, a $4.2 million decrease in deferred revenue due to an increase in the number of customers invoiced monthly versus annually, a $3.9 million increase in prepaid expenses and other current assets, a $3.2 million decrease in accrued employee expenses due to the payout of accrued employee bonuses, and a $1.5 million increase in accounts receivable primarily driven by growth of our Value+ services. This decrease in our operating assets and liabilities was partially offset by an increase in other liabilities of $5.9 million and an increase in accrued expenses of $3.4 million.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79"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is generally comprised of purchases, maturities and sales of investment securities, additions to capitalized software development, cash paid for business acquisitions and capital expenditures.</w:t>
      </w:r>
    </w:p>
    <w:p>
      <w:pPr>
        <w:spacing w:after="0" w:line="3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the nine months ended September 30, 2019, investing activities used $70.7 million in cash primarily due to $54.0 million used to acquire Dynasty, as well as capitalized software development costs of $15.7 million for the continued investment in our software development, purchases of investment securities of $10.7 million, and capital expenditures of $4.1 million to purchase property and equipment for the continued growth and expansion of our business. These uses were partially offset by sales and maturities of investment securities of $2.8 million and $11.0 million, respectively.</w:t>
      </w:r>
    </w:p>
    <w:p>
      <w:pPr>
        <w:spacing w:after="0" w:line="1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2018, investing activities used $24.8 million in cash primarily as a result of $28.8 million of investment securities purchased, partially offset by $28.5 million of maturities of investment securities. In addition, we used $14.4 million of cash to acquire WegoWise, incurred capitalized software development costs of $9.0 million for the continued investment in our software development, and capital expenditures of $1.7 million to purchase property and equipment for the continued growth and expansion of our business.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is generally comprised of proceeds from the exercise of stock options, net share settlements for employee tax withholdings associated with the vesting of restricted stock units ("RSUs"), and activities associated with the Revolving Facility.</w:t>
      </w:r>
    </w:p>
    <w:p>
      <w:pPr>
        <w:spacing w:after="0" w:line="30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For the nine months ended September 30, 2019, financing activities used $6.6 million in cash primarily as a result of net share settlements for employee tax withholdings associated with the vesting of RSUs of $5.5 million, as well as principal payments on debt of $2.6 million, and payments of debt issuance costs of $0.4 million, partially offset by proceeds from issuance of debt of $1.7 million and proceeds from stock option exercises of $0.3 million.</w:t>
      </w:r>
    </w:p>
    <w:p>
      <w:pPr>
        <w:spacing w:after="0" w:line="147" w:lineRule="exact"/>
        <w:rPr>
          <w:sz w:val="20"/>
          <w:szCs w:val="20"/>
          <w:color w:val="auto"/>
        </w:rPr>
      </w:pPr>
    </w:p>
    <w:p>
      <w:pPr>
        <w:ind w:right="460" w:firstLine="648"/>
        <w:spacing w:after="0" w:line="342" w:lineRule="auto"/>
        <w:rPr>
          <w:sz w:val="20"/>
          <w:szCs w:val="20"/>
          <w:color w:val="auto"/>
        </w:rPr>
      </w:pPr>
      <w:r>
        <w:rPr>
          <w:rFonts w:ascii="Arial" w:cs="Arial" w:eastAsia="Arial" w:hAnsi="Arial"/>
          <w:sz w:val="16"/>
          <w:szCs w:val="16"/>
          <w:color w:val="auto"/>
        </w:rPr>
        <w:t>For the nine months ended September 30, 2018, financing activities used $2.2 million in cash primarily as a result of net share settlements for employee tax withholdings associated with the vesting of RSUs of $2.9 million, partially offset by proceeds from stock option exercises of $0.7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2019,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 Actual results could differ materially from those estimates.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for the accounting policies for leases that were updated as a result of adopting ASU 2016-02, there have been no changes to our critical accounting policies and estimates described in our Annual Report that have had a material impact on our Condensed Consolidated Financial Statements and related notes.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ROU assets, other current liabilities, and operating lease liabilities on our Condensed Consolidated Balance Sheets. Operating lease ROU assets and 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79"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lease payments made and excludes lease incentives and initial direct costs incurred. Our lease terms may include options to extend or terminate the lease when it is reasonably certain that we will exercise that option.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We have lease arrangements with lease and non-lease components, which are generally accounted for as a single lease component. Leases with an initial term of 12 months or less are not recorded on the balance sheet; we recognize lease expense for these leases on a straight-line basis over the lease term.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Short-Term Investments</w:t>
      </w:r>
    </w:p>
    <w:p>
      <w:pPr>
        <w:spacing w:after="0" w:line="11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September 30, 2019, we had cash and cash equivalents of $20.1 million consisting of bank deposits, money market funds, and treasury securities, and $25.1 million of investment securities consisting of corporate bonds,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 As of September 30, 2019, a hypothetical 100 basis point decrease in interest rates would have resulted in an immaterial impact on the fair value of our investment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September 30, 2019, we had a $49.1 million balance outstanding under our Term Loan, which bears interest at a variable rate (refer to Note 8, </w:t>
      </w: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of our Condensed Consolidated Financial Statements for additional information). If interest rates rise, our debt service obligations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the Revolving Facility would increase even if the amount borrowed remained the same, which would affect our results of operations. At September 30, 2019, a hypothetical 100 basis point increase in interest rates would have had an immaterial impact on our interest expense under our Term Loan.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2019, except as discussed above, there were no material changes in the market risks described in the section of our Annual Report entitled “Quantitative and Qualitative Disclosure about Market Risk.”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on our management's evaluation, our principal executive officer and principal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79"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is accumulated and communicated to our management, including our principal executive officer and principal financial officer, as appropriate, to allow timely decisions regarding required disclosure.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as set forth below, 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4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2019, we implemented changes to our internal control processes in response to the adoption of the new leasing standard that became effective January 1, 2019. This implementation resulted in changes to our internal controls relating to the evaluation, accounting and disclosure of leases. The operating effectiveness of these changes will be evaluated as part of our annual assessment of the effectiveness of our internal control over financial reporting.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79"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are involved in various legal proceedings arising from or related to claims incident to the ordinary course of our business activities, including without limitation actions involving intellectual property, employment and contractual matters. Although the results of such legal proceedings and claims cannot be predicted with certainty, we believe that we are not currently a party to any legal proceeding(s) which, if determined adversely to us, would, individually or taken together, have a material adverse effect on our business, operating results, financial condition or cash flows. However, regardless of the merit of any claims raised or the ultimate outcome, legal proceedings may generally have an adverse impact on us as a result of defense and settlement costs, diversion of management resources, and other factors.</w:t>
      </w:r>
    </w:p>
    <w:p>
      <w:pPr>
        <w:spacing w:after="0" w:line="16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For additional information regarding legal proceedings, refer to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our Condensed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investment in our Class A common stock involves risks. You should consider carefully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9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towards the achievement of long-term growth, which may not be consistent with the short-term expectations of some investors.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plan to continue to manage our business towards the achievement of long-term growth that we believe will positively impact long-term stockholder value, and not towards the realization of short-term financial or business metrics, or short-term stockholder value. If opportunities arise that might cause us to sacrifice our performance with respect to short-term financial or business metrics, but that we believe are in the best interests of our stockholders, we will take those opportunities.</w:t>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focus on growing our customer base by launching new and innovative core functionality and Value+ services to address our customers’ evolving business needs, developing and/or acquiring new products for adjacent markets and additional verticals, and improving the experience of our users across our targeted verticals. We prioritize product innovation and user experience over short-term financial or business metrics. We will make product decisions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from period to period. In addition, notwithstanding our intention to make strategic decisions that positively impact long-term stockholder value, the decisions we make may not produce the long-term benefits we expect.</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executive officers, directors and principal stockholders control a majority of the combined voting power of our outstanding capital stock. As a result, they are able to exercise significant influence and control over the establishment and implementation of our future business plans and strategic objectives, as well as control all matters submitted to our stockholders for approval. These persons may manage our business in ways with which you disagree and which may be adverse to your interests.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our growth effectively, it could adversely affect our operating results and preclude us from achieving our strategic objectives.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experienced significant growth since our formation in 2006, and 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To manage the expected growth of our operations, we will need to continue to develop and improve our operational and financial controls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79"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our reporting systems and procedures, continue to attract and retain highly qualified and motivated personnel across our organization, and continue to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enhanced legal and regulatory risks, increases in costs and operating expenses, and other operational difficulties. We expect these risks will only be increased as a result of our recent launch of AppFolio Investment Management and acquisitions of WegoWise and Dynasty, and any future acquisitions or adjacent markets we may pursue. If any of these risks actually occur, it could adversely affect our operating results, and preclude us from achieving our strategic objectives.</w:t>
      </w:r>
    </w:p>
    <w:p>
      <w:pPr>
        <w:spacing w:after="0" w:line="13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have a limited operating history and limited experience selling our solutions. We expect to make substantial investments across our organization to grow our business and, as a result, we expect our financial results may fluctuate significantly from period to period and we may not sustain profitability.</w:t>
      </w:r>
    </w:p>
    <w:p>
      <w:pPr>
        <w:spacing w:after="0" w:line="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formed in 2006 and in 2008 entered the real estate market with our first product, APM, to serve property managers. Recently, we expanded our offerings to the real estate market with the launch of APM PLUS in late 2018 and AppFolio Investment Management in April 2019. In 2012, we entered the legal vertical through the acquisition of MyCase. As a result, we have a limited operating history and limited experience selling our software solutions in two continually evolving vertical markets. These and other factors combine to make it more difficult for us to accurately forecast our future operating results, which in turn makes it more difficult for us to prepare accurate budgets and implement strategic plans. We expect that this uncertainty will continue to exist in our business for the foreseeable future, and will be exacerbated to the extent we introduce new functionality, or enter adjacent markets or new verticals, or complete additional acquisitions.</w:t>
      </w:r>
    </w:p>
    <w:p>
      <w:pPr>
        <w:spacing w:after="0" w:line="12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made substantial investments across our organization to develop our software solutions and capitalize on our market opportunity. In order to implement our business strategy, we intend to continue to make substantial investments in, among other things:</w:t>
      </w:r>
    </w:p>
    <w:p>
      <w:pPr>
        <w:spacing w:after="0" w:line="103" w:lineRule="exact"/>
        <w:rPr>
          <w:sz w:val="20"/>
          <w:szCs w:val="20"/>
          <w:color w:val="auto"/>
        </w:rPr>
      </w:pPr>
    </w:p>
    <w:p>
      <w:pPr>
        <w:jc w:val="both"/>
        <w:ind w:left="1140" w:hanging="484"/>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research and product development organization to enhance the ease of use and functionality of our software solutions by adding new core functionality, Value+ services and other improvements to address the evolving needs of our customers, as well as to develop new products for adjacent markets and new verticals;</w:t>
      </w:r>
    </w:p>
    <w:p>
      <w:pPr>
        <w:spacing w:after="0" w:line="113"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strategic efforts to identify acquisition targets that enhance the depth or functionality of our software solutions or Value+ services, or that enable our expansion into adjacent markets or new vertical markets;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 service organization to deepen our relationships with our customers, assist our customers in achieving success through the use of our software solutions, and promote customer retention;</w:t>
      </w:r>
    </w:p>
    <w:p>
      <w:pPr>
        <w:spacing w:after="0" w:line="102" w:lineRule="exact"/>
        <w:rPr>
          <w:rFonts w:ascii="Arial" w:cs="Arial" w:eastAsia="Arial" w:hAnsi="Arial"/>
          <w:sz w:val="18"/>
          <w:szCs w:val="18"/>
          <w:color w:val="auto"/>
        </w:rPr>
      </w:pPr>
    </w:p>
    <w:p>
      <w:pPr>
        <w:jc w:val="both"/>
        <w:ind w:left="1140" w:right="20" w:hanging="484"/>
        <w:spacing w:after="0" w:line="264"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sales and marketing organization, including expansion of our direct sales organization and marketing programs, to increase the size of our customer base, increase adoption and utilization of new and existing Value+ services by our new and existing customers, and enter adjacent markets and new verticals;</w:t>
      </w:r>
    </w:p>
    <w:p>
      <w:pPr>
        <w:spacing w:after="0" w:line="113"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and expanding our technology infrastructure and operational support, including data center operations, to promote the security and availability of our software solutions, and support our growth;</w:t>
      </w:r>
    </w:p>
    <w:p>
      <w:pPr>
        <w:spacing w:after="0" w:line="102" w:lineRule="exact"/>
        <w:rPr>
          <w:rFonts w:ascii="Arial" w:cs="Arial" w:eastAsia="Arial" w:hAnsi="Arial"/>
          <w:sz w:val="18"/>
          <w:szCs w:val="18"/>
          <w:color w:val="auto"/>
        </w:rPr>
      </w:pPr>
    </w:p>
    <w:p>
      <w:pPr>
        <w:ind w:left="1140" w:hanging="484"/>
        <w:spacing w:after="0" w:line="342" w:lineRule="auto"/>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general and administrative functions, including hiring additional finance, IT, human resources, legal and administrative personnel, to support our growth and assist us in achieving and maintaining compliance with public company reporting and compliance obligations; and</w:t>
      </w:r>
    </w:p>
    <w:p>
      <w:pPr>
        <w:spacing w:after="0" w:line="56" w:lineRule="exact"/>
        <w:rPr>
          <w:rFonts w:ascii="Arial" w:cs="Arial" w:eastAsia="Arial" w:hAnsi="Arial"/>
          <w:sz w:val="16"/>
          <w:szCs w:val="16"/>
          <w:color w:val="auto"/>
        </w:rPr>
      </w:pPr>
    </w:p>
    <w:p>
      <w:pPr>
        <w:ind w:left="1140" w:right="20" w:hanging="484"/>
        <w:spacing w:after="0" w:line="277"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expansion of our existing facilities, including leasing and building out additional office space, to support our growth and strategic development.</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of our continuing investments to grow our business in these and other areas, we expect our expenses to increase significantly, and we may not be consistently profitable. Even if we are successful in growing our customer base and increasing revenue from new and existing customers, we may not be able to generate additional revenue in an amount that is sufficient to cover our expenses. We may incur significant losses in a particular period for a number of reasons, and may experience significant fluctuations in our operating results from period to period, including as a result of the other risks and uncertainties described elsewhere in this Quarterly Report. We cannot assure you that we will continue to achieve profitability in the near term or that we will sustain profitability over any particular period of time. Any additional operating losses will have a negative impact on our stockholders’ equity.</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and may in the future acquire, other companies or technologies, which could divert our management’s attention, result in additional dilution to our stockholders and otherwise disrupt our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79"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acquired, and may in the future acquire, other companies or technologies to complement or expand our software solutions, optimize our technical capabilities, enhance our ability to compete in our targeted verticals, provide an opportunity to expand into an adjacent market or new vertical, or otherwise offer growth or strategic opportunities. For example, we acquired substantially all of the assets of WegoWise in 2018, and completed the acquisition of Dynasty in 2019. The pursuit of acquisitions may divert the attention of management and cause us to incur various expenses in identifying, investigating and pursuing suitable acquisitions, whether or not they are consummated.</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have limited experience acquiring other businesses. We may not be able to integrate acquired assets, technologies, personnel and operations successfully or achieve the anticipated synergies or other benefits from the acquired business due to a number of risks associated with acquisitions, including:</w:t>
      </w:r>
    </w:p>
    <w:p>
      <w:pPr>
        <w:spacing w:after="0" w:line="56" w:lineRule="exact"/>
        <w:rPr>
          <w:sz w:val="20"/>
          <w:szCs w:val="20"/>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cost, whether in cash or equity securities, to acquire the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integrating the assets, technologies, personnel or operations of the acquired business in a cost-effective manner;</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services of the acquired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converting the customers of the acquired business to our software solutions and contract terms;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diversion of management’s attention from our business to address acquisition and integration challenges, as well as post-acquisition disputes;</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effects on our existing business relationships with customers and strategic partners as a result of the acquisition;</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organization into our company;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color w:val="auto"/>
        </w:rPr>
        <w:t>use of substantial portions of our available cash resources to consummate the acquisition or pay acquisition-related expenses; and</w:t>
      </w:r>
    </w:p>
    <w:p>
      <w:pPr>
        <w:spacing w:after="0" w:line="169" w:lineRule="exact"/>
        <w:rPr>
          <w:rFonts w:ascii="Arial" w:cs="Arial" w:eastAsia="Arial" w:hAnsi="Arial"/>
          <w:sz w:val="17"/>
          <w:szCs w:val="17"/>
          <w:color w:val="auto"/>
        </w:rPr>
      </w:pPr>
    </w:p>
    <w:p>
      <w:pPr>
        <w:ind w:left="1060" w:hanging="485"/>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 In addition, acquisitions could result in the issuance of equity securities, which would result in immediate dilution to our stockholders or, the incurrence of debt, which could impose debt service obligations and restrictions on our ability to operate our business.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and sensitive information, which could harm our relationships with customers or employees, expose us to litigation or regulatory proceedings, or harm our reputation, any of which could materially harm our business and operating results.</w:t>
      </w:r>
    </w:p>
    <w:p>
      <w:pPr>
        <w:spacing w:after="0" w:line="11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Cyber-attacks and other malicious Internet-based activities continue on a regular basis, as evidenced by the recent targeting of a number of high profile companies and organizations. Like many other businesses, we have experienced, and are continually at risk of being subject to, attacks and data security incidents. As our business grows, the number of users of our software solutions, as well as the amount of information we collect and store, is increasing, and our brands are becoming more widely recognized. We believe these factors combine to make us an even greater target for this type of malicious activity. Although we take data security seriously, there can be no assurance that the security measures we employ will prevent malicious or unauthorized access to our systems and information.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79"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Techniques used to sabotage, or to obtain unauthorized access to, systems or networks change frequently and may not recognized until launched against a target. Furthermore, no security program can eliminate entirely the risk of non-malicious human error, such as an employee or contractor’s failure to follow one or more security protocols. Therefore, despite our significant efforts to keep our systems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 and these service providers are subject to similar threats of cyber-attacks and other malicious Internet-based activities.</w:t>
      </w:r>
    </w:p>
    <w:p>
      <w:pPr>
        <w:spacing w:after="0" w:line="12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for example, fines from payment processing networks and/or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any security breaches could result in reputational damage, adversely affect our ability to attract new customers and cause existing customers to reduce or discontinue the use of our software solutions, any of which could harm our business and operating results.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 outages due to malicious activities or performance problems associated with our technology infrastructure could harm our reputation, adversely affect our ability to attract new customers and cause us to lose existing customers.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experienced significant growth in the number of users and the amount of data that our technology infrastructure supports, and we expect this growth to continue. We seek to maintain sufficient excess capacity in our technology infrastructure to meet the needs of all of our customers, including to facilitate the expansion of existing customer deployments and the provisioning of new customer deployments. In addition, we need to properly manage our technology infrastructure in order to support version control, changes in hardware and software parameters, and the evolution of our software solutions. However, the provision of new hosting infrastructure requires significant lead-time.</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data centers, human or software errors, viruses, security breaches, fraud or other malicious activity, spikes in customer usage and distributed denial of service attacks. In some instances, we may not be able to identify the cause or causes of these service outages and performance problems within an acceptable period of time.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10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may result in loss of or damage to our customers’ data and disruption to our customers’ businesses, which could harm our reputation. We provide continuous updates to our software solutions and, while our software updates undergo extensive testing prior to their release,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In any such event, we may be required to expend additional resources in order to help correct the problem or, in order to address customer service or reputational concerns,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79"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electronic payment services business that could adversely affect our business or operating results.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w:t>
      </w:r>
    </w:p>
    <w:p>
      <w:pPr>
        <w:spacing w:after="0" w:line="98" w:lineRule="exact"/>
        <w:rPr>
          <w:sz w:val="20"/>
          <w:szCs w:val="20"/>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liability for customer costs related to disputed or fraudulent transactions if those costs exceed the amount of the customer reserves we have, if any, during the clearing period or after payments have been settled to our customers;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electronic processing limits on the amounts that any single electronic payment services provider, or collectively all of our electronic payment services providers, will underwrite;</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reliance on sponsoring clearing banks, card payment processors and other electronic payment providers to process electronic transactions;</w:t>
      </w:r>
    </w:p>
    <w:p>
      <w:pPr>
        <w:spacing w:after="0" w:line="180" w:lineRule="exact"/>
        <w:rPr>
          <w:rFonts w:ascii="Arial" w:cs="Arial" w:eastAsia="Arial" w:hAnsi="Arial"/>
          <w:sz w:val="16"/>
          <w:szCs w:val="16"/>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by us, our electronic payment services providers or our customers to adhere to applicable laws, regulations and standards that apply to the provision of electronic payment services;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continually evolving laws and regulations governing money transmission and anti-money laundering, the application or interpretation of which is not clear in some jurisdictions;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incidences of fraud, security breaches, errors, defects, failures, vulnerabilities or bugs in our electronic payment services business, or our failure to comply with required external audit standards; and</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increase our fees when our electronic payment services providers increase their transaction processing fees, or to increase our fees in a sufficient amount to maintain our existing margins.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these risks related to our electronic payment services were to materialize, our business or operating results could be negatively affected. Although we attempt to structure and adapt our electronic payment services to comply with complex and evolving laws, regulations and standards, our underwriting efforts do not guarantee compliance. In the event that we are found to be in violation of our legal, regulatory or contractual requirements, we may be subject to monetary fines or penalties, cease and desist orders, mandatory product changes, or other liabilities that could have an adverse effect on our operating results.</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(such as if the customer is illegitimate, or if the customer refuses or is unable to reimburse us for the amounts charged back), we bear the ultimate risk of loss for the transaction amount. While we have not experienced material losses resulting from amounts charged back in the past, there can be no assurance that we will not experience these types of significant losses in the future.</w:t>
      </w:r>
    </w:p>
    <w:p>
      <w:pPr>
        <w:spacing w:after="0" w:line="12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risks associated with our electronic payment services, there is an overarching risk stemming from the potential widespread adoption of quickly evolving financial technology products, including, for example, blockchain or other distributed ledger technologies, that could materially impact the manner in which payments are processed and the regulatory framework applicable to such payments. The adoption of disruptive financial technologies could significantly reduce the volume of our electronic payment services business or change the transaction costs associated with or potential revenue derived from those payments, thereby reducing our revenue and increasing our associated expenses, which could materially impact our business, financial condition, operating results and, ultimately, our stock price.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79"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in our tenant screening services business that could adversely affect our business or operating results.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tenant screening services business is subject to a number of complex laws that are subject to varying interpretations, including without limitation the Fair Credit Reporting Act (the "FCRA") and related regulations. The FCRA has recently been the subject of multiple class-based litigation proceedings, as well as numerous regulatory inquiries and enforcement actions. In addition, entities such as the Federal Trade Commission (the "FTC") and the Consumer Financial Protection Bureau ("CFPB") have the authority to promulgate rules and regulations that may impact our customers and our business. Although we attempt to structure and adapt our tenant screening services to comply with these and other relevant laws and regulations, we may from time to time be found to be in violation of them. Further, regardless of our compliance with applicable laws and regulations, we may from time to time be subject to regulatory inquiries, enforcement actions, class-based litigation or indemnity demands.</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As we have discussed, we recently settled a class action lawsuit related to alleged violations of the FCRA. In addition, and as previously announced, we received a CID from the FTC in December 2018 requesting certain information relating to our compliance with the FCRA in connection with our tenant screening services business. Further, we received a Request for Information from the Civil Rights Division (Housing and Civil Enforcement Section) of the U.S. Department of Justice in July 2019 requesting certain information relating to our compliance with the Servicemembers Civil Relief Act in connection with our tenant screening services business. (For additional information regarding legal proceedings, refer to Note 9,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of our Condensed Consolidated Financial Statements.) Due to the large number of tenant screening transactions in which we participate, our potential liability in an enforcement action or a class action lawsuit could be significant,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 Any of the foregoing events may negatively affect our business, financial condition, operating results and, ultimately, our stock price.</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third-party service providers for important electronic payment and tenant screening services, and their failure to fulfill their contractual obligations could harm our reputation, disrupt our business and adversely affect our operating results.</w:t>
      </w:r>
    </w:p>
    <w:p>
      <w:pPr>
        <w:spacing w:after="0" w:line="10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to our customers, and third-party tenant screening services providers to enable us to provide tenant screening services, such as background and credit checks, to our customers. We rely on these service providers to provide us with accurate and timely information, and therefore have significantly less control over our electronic payment and tenant screening services than if we were to maintain and operate them ourselves. In some cases, functions necessary to our business are performed on proprietary third-party systems and software to which we have no access. We also generally do not have long-term contracts with these service providers. In addition, some of these service providers compete with us directly or indirectly in the markets we serve. The failure of these service providers to provide us with accurate and timely information, to fulfill their contractual obligations of us, or to renew their contracts with us, could result in direct liability to us, harm our reputation, result in significant disruptions to our business, and adversely affect our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Privacy and data security laws and regulations could impose additional costs on us and reduce the demand for our software solutions.</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store and transmit personal information relating to our employees and other individuals, and our customers use our technology platform to store and transmit a significant amount of personal information relating to their clients, vendors, employees and other industry participants. Privacy and data security have become significant issues in the United States and in other jurisdictions where we may operate or offer our software solutions. The regulatory framework relating to privacy and data security worldwide is rapidly evolving and is likely to remain uncertain for the foreseeable future. Federal, state and foreign government bodies and agencies have in the past adopted, and may in the future adopt, laws and regulations regarding the collection, 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79"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processing, storage and disclosure of personal or identifying information obtained from customers and other individuals. For instance, the California Consumer Privacy Act, which is scheduled to take effect on January 1, 2020, creates new data privacy and security rights for California residents. Similarly, there are a number of existing and proposed laws and regulations in the European Union,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1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new laws, regulations and industry standards take effect, and as we expand into new jurisdictions or verticals, we will need to understand and comply with various new requirements, which may result in significant additional costs.</w:t>
      </w:r>
    </w:p>
    <w:p>
      <w:pPr>
        <w:spacing w:after="0" w:line="10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applicable to our business or the businesses of our customers, these laws, regulations and industry standards could have negative effects on our business, including by increasing our costs and operating expenses, and/or delaying or impeding our deployment of new or existing core functionality or Value+ services. Compliance with these laws, regulations and industry standards requires significant management time and attention, and failure to comply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Even the perception of privacy and data security concerns, whether or not valid, may inhibit market acceptance of our software solutions in certain verticals.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participate are intensely competitive and, if we do not compete effectively, our business could be harmed.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overall market for business management software is global, highly competitive and continually evolving in response to a number of factors, including changes in technology, operational requirements, and laws and regulations. Although relatively early in its development, the market for cloud-based business management software is also highly competitive and subject to similar market factors.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While we focus on providing industry-specific, cloud-based business management software solutions in our targeted verticals,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Although the domain expertise required to successfully develop, market and sell cloud-based business management software solutions in the real estate and legal verticals may hinder new entrants that are unable to invest the necessary resources to develop and deploy cloud-based solutions with the same level of functionality as ours, many of our competitors and potential competitors are larger and have greater name recognition, longer operating histories, and significantly greater resources than we do. As a result, our competitors may be able to respond more quickly and effectively to new or changing opportunities, technologies, operational requirements and industry standards. Some of these competitors may have more established customer relationships or strategic partnerships with third parties that enhance their products and services. Other competitors may offer products or services that address one or a number of business functions on a standalone basis at lower prices or bundled as part of a broader product sale, or with greater depth than our software solutions. In addition, our current and potential competitors may develop, market and sell new technologies with comparable functionality to our software solutions, which could cause us to lose customers, slow the rate of growth of new customers and cause us to decrease our prices in order to remain competitive. For all of these reasons, we may not be able to compete effectively against our current and future competitors, which could harm our business.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Business management software for SMBs is a relatively new and developing market and, if the market is smaller than we estimate or develops more slowly than we expect, our operating results could be adversely affected.</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provide cloud-based business management software for SMBs in the real estate and legal markets and, as part of our business strategy, we will assess entry into new markets. While the overall market for cloud-based business management software is rapidly growing, it is not as mature as the market for legacy on-premise software applications. In addition, when compared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79"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larger enterprises, SMBs have not historically purchased enterprise resource planning or other enterprise-wide software systems to manage their businesses due to the cost and complexity of implementing such systems, which generally did not address their industry-specific needs. Furthermore, a number of widely adopted cloud-based solutions have not traditionally targeted SMBs. As a result, many SMBs still run their businesses using manual processes and disparate software systems that are not web-optimized, while others may have invested substantial resources to integrate a variety of point solutions into their organizations to address one or more specific business needs and, therefore, may be reluctant to migrate to a vertical cloud-based solution designed to apply to their entire business. Our success will depend, in part, on the widespread adoption by SMBs of cloud computing in general and of cloud-based business management software in particular.</w:t>
      </w:r>
    </w:p>
    <w:p>
      <w:pPr>
        <w:spacing w:after="0" w:line="12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for industry-specific, cloud-based business management software for SMBs, both generally, and specifically within the real estate and legal markets, is evolving and, in comparison to the overall market for cloud-based solutions, is relatively small. The continued expansion of this market depends on numerous factors, including:</w:t>
      </w:r>
    </w:p>
    <w:p>
      <w:pPr>
        <w:spacing w:after="0" w:line="114" w:lineRule="exact"/>
        <w:rPr>
          <w:sz w:val="20"/>
          <w:szCs w:val="20"/>
          <w:color w:val="auto"/>
        </w:rPr>
      </w:pPr>
    </w:p>
    <w:p>
      <w:pPr>
        <w:ind w:left="1060" w:hanging="485"/>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perceived value associated with cloud-based business management software relative to on-premise software applications and disparate point solutions;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cloud-based solution providers to offer SMBs the functionality they need to operate and grow their businesses;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willingness of SMBs to transition from their existing software systems, or otherwise alter their existing businesses practices, to migrate their businesses to a vertical cloud-based business management software solution; and</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cloud-based solution providers to address security, privacy, availability and other concerns.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cloud-based business management software does not achieve widespread market acceptance among SMBs, our revenue may increase at a slower rate than we expect and may even decline, which could adversely affect our operating results. In addition, it is difficult to estimate the rate at which SMBs will be willing to transition to vertical cloud-based business management software in any particular period, which makes it difficult to estimate the overall size and growth rate of the market for cloud-based business management software for SMBs at any given point in time or to forecast growth in our revenue or market share.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If we had made different assumptions, our estimates of market opportunity could be materially different.</w:t>
      </w:r>
    </w:p>
    <w:p>
      <w:pPr>
        <w:spacing w:after="0" w:line="1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even if the markets in which we compete meet or exceed our size estimates, our software solutions could fail to gain market acceptance and our business may not grow in line with our forecasts, or at all, which would have a material adverse impact on our financial condition and operating results.</w:t>
      </w:r>
    </w:p>
    <w:p>
      <w:pPr>
        <w:spacing w:after="0" w:line="1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are unable to introduce successful enhancements, including new and innovative core functionality and Value+ services for our existing markets and verticals, or new products for adjacent markets or additional verticals, our operating results could be adversely affected.</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software industry in general, and our targeted verticals in particular, are characterized by rapid technological advances, changing industry standards, evolving customer requirements and intense competition. Our ability to attract new customers, increase revenue from our existing customers, and expand into adjacent markets or new verticals depends, in part, on our ability to enhance the functionality of our existing software solutions by introducing new and innovative core functionality and Value+ services that keep pace with technological developments, and provide functionality that addresses the evolving business needs of our customers. In addition, our growth over the long term depends, in part, on our ability to introduce new products for adjacent markets and additional verticals that we identify through our market validation process. Market acceptance of our current and future software solutions will depend on numerous factors, including:</w:t>
      </w:r>
    </w:p>
    <w:p>
      <w:pPr>
        <w:spacing w:after="0" w:line="122" w:lineRule="exact"/>
        <w:rPr>
          <w:sz w:val="20"/>
          <w:szCs w:val="20"/>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unique functionality and ease of use of our software solutions and the extent to which our software solutions meet the business needs of our customers;</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perceived benefits and security of our cloud-based business management software solutions relative to on-premise software applications or other competitive products;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pricing of our software solutions relative to competitive products;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79"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perceptions about the security, privacy and availability of our software solutions relative to competitive products;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time-to-market of the updates and enhancements to our core functionality, Value+ services and new products;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perceptions about the quality and responsiveness of our customer service organization.</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are unable to successfully enhance the functionality of our existing software solutions, including our core solutions and Value+ services, and develop or acquire new products that gain market acceptance in adjacent markets and additional verticals, our revenue may increase at a slower rate than we expect and may even decline, which could adversely affect our operating results.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customer renewal rates, or failure to convince existing customers to adopt and utilize our Value+ services, could adversely impact our operating results.</w:t>
      </w:r>
    </w:p>
    <w:p>
      <w:pPr>
        <w:spacing w:after="0" w:line="1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Our customers have no obligation to renew their subscriptions with us upon expiration of their subscription periods, which typically range from one month to one year. We cannot assure you that our customers will renew their subscriptions with us. In addition, our law firm customers that start their accounts using a 10-day free trial have no obligation to begin a paid subscription. Furthermore, although a significant portion of our revenue growth has historically resulted from the adoption and utilization of our Value+ services by our existing customers, we cannot assure you that our existing customers will continue to broaden their adoption and utilization of our Value+ services, or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Word-of-mouth referrals represent a significant source of new customers for us and provide us with an opportunity to cost-effectively market and sell our software solutions. The loss of our existing customers could have a significant impact on our reputation in our targeted verticals and our ability to acquire new customers cost-effectively. A reduction in the number of our existing customers, even if offset by an increase in new customers, could have the impact of reducing our revenue and operating margins.</w:t>
      </w:r>
    </w:p>
    <w:p>
      <w:pPr>
        <w:spacing w:after="0" w:line="119" w:lineRule="exact"/>
        <w:rPr>
          <w:sz w:val="20"/>
          <w:szCs w:val="20"/>
          <w:color w:val="auto"/>
        </w:rPr>
      </w:pPr>
    </w:p>
    <w:p>
      <w:pPr>
        <w:jc w:val="both"/>
        <w:ind w:firstLine="227"/>
        <w:spacing w:after="0" w:line="257" w:lineRule="auto"/>
        <w:rPr>
          <w:sz w:val="20"/>
          <w:szCs w:val="20"/>
          <w:color w:val="auto"/>
        </w:rPr>
      </w:pPr>
      <w:r>
        <w:rPr>
          <w:rFonts w:ascii="Arial" w:cs="Arial" w:eastAsia="Arial" w:hAnsi="Arial"/>
          <w:sz w:val="18"/>
          <w:szCs w:val="18"/>
          <w:color w:val="auto"/>
        </w:rPr>
        <w:t>In an effort to retain our customers and to expand our customers’ adoption and utilization of our Value+ services, we may choose to use increasingly costly sales and marketing efforts. In addition, we may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w:t>
      </w:r>
    </w:p>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Pricing pressure may cause us to change our pricing model, which could hurt our renewal rates and our ability to attract new customers, as well as our ability to increase adoption and usage of our Value+ services, which could adversely affect our operating results.</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If this were to occur, it is possible that we would have to change our pricing model, offer pricing incentives, or generally reduce our prices, which may adversely affect our revenue even if adoption and utilization remain constant. In addition, many of our customers are smaller companies or firms, which are typically more cost sensitive than larger enterprises. Changes to our pricing model could harm our customer retention rates and our ability to attract new customers, whether in connection with our core solutions or our Value+ services, which could adversely affect our operating results.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continue to derive a significant portion of our revenue from our property manager customers, and factors resulting in a loss of these customers could adversely affect our operating results.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more than 90% of our revenue has been derived from APM, and we expect that our property manager customers will continue to account for a significant portion of our revenue for the foreseeable future. We could lose property manager customers as a result of numerous factors, including:</w:t>
      </w:r>
    </w:p>
    <w:p>
      <w:pPr>
        <w:spacing w:after="0" w:line="114" w:lineRule="exact"/>
        <w:rPr>
          <w:sz w:val="20"/>
          <w:szCs w:val="20"/>
          <w:color w:val="auto"/>
        </w:rPr>
      </w:pPr>
    </w:p>
    <w:p>
      <w:pPr>
        <w:ind w:left="5620" w:right="3820" w:hanging="5045"/>
        <w:spacing w:after="0" w:line="559" w:lineRule="auto"/>
        <w:tabs>
          <w:tab w:leader="none" w:pos="105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expiration and non-renewal of subscriptions or termination of subscription agreements; 48</w:t>
      </w:r>
    </w:p>
    <w:p>
      <w:pPr>
        <w:sectPr>
          <w:pgSz w:w="11900" w:h="16838" w:orient="portrait"/>
          <w:cols w:equalWidth="0" w:num="1">
            <w:col w:w="11420"/>
          </w:cols>
          <w:pgMar w:left="240" w:top="179"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introduction of competitive products or technologies;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failure to provide updates and enhancements to our core functionality and Value+ services, and to introduce new Value+ services to our customers;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pricing policies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consolidations within the property management industry;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bankruptcies or other financial difficulties facing our customers;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conditions or trends that are specific to the property management industry such as the economic factors that impact the rental market.</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loss of a significant number of our property manager customers, or the loss of even a small number of our larger property manager customers, could cause our revenue to increase at a slower rate than we expect or even decline. In addition, even if we are able to retain our property manager customers, we may be unable to grow revenue from these property manager customers by increasing their adoption and utilization of our Value+ services. Any of these outcomes could adversely affect our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In addition, our quarterly results may not fully reflect the underlying performance of our business. Factors that may cause fluctuations in our quarterly results include, but are not limited to:</w:t>
      </w:r>
    </w:p>
    <w:p>
      <w:pPr>
        <w:spacing w:after="0" w:line="119" w:lineRule="exact"/>
        <w:rPr>
          <w:sz w:val="20"/>
          <w:szCs w:val="20"/>
          <w:color w:val="auto"/>
        </w:rPr>
      </w:pPr>
    </w:p>
    <w:p>
      <w:pPr>
        <w:ind w:left="1140" w:right="2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retain our existing customers, and to expand adoption and utilization of our core solutions and Value+ services by our existing customers;</w:t>
      </w:r>
    </w:p>
    <w:p>
      <w:pPr>
        <w:spacing w:after="0" w:line="10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new customers, the type of customers we are able to attract, the size and needs of their businesses, and the cost of acquiring these customers;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mix of our core solutions and Value+ services sold during the period;</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impact of security breaches, service outages or other performance problems with our technology infrastructure and software solutions;</w:t>
      </w:r>
    </w:p>
    <w:p>
      <w:pPr>
        <w:spacing w:after="0" w:line="102"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the timing of sales of our core solutions and Value+ services as a result of trends impacting the verticals in which we sell our software solutions;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timing and market acceptance of new core functionality, Value+ services and other products introduced by us and our competitors;</w:t>
      </w:r>
    </w:p>
    <w:p>
      <w:pPr>
        <w:spacing w:after="0" w:line="169" w:lineRule="exact"/>
        <w:rPr>
          <w:rFonts w:ascii="Arial" w:cs="Arial" w:eastAsia="Arial" w:hAnsi="Arial"/>
          <w:sz w:val="17"/>
          <w:szCs w:val="17"/>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our recognition of revenue;</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maintenance and expansion of our business, infrastructure and operations;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associated with assessing or entering adjacent markets or new verticals;</w:t>
      </w:r>
    </w:p>
    <w:p>
      <w:pPr>
        <w:spacing w:after="0" w:line="157"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amount and timing of costs and operating expenses related to the development or acquisition of businesses, services, technologies or intellectual property rights, and potential future charges for impairment of goodwill from these acquisitions;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costs associated with legal proceedings, enforcement actions, regulatory inquiries or similar matters;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 strategic partners or customers;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79"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our executive officers or other key employees;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industry conditions and trends that are specific to the verticals in which we sell or intend to sell our software solutions; and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focus on managing our business towards the achievement of long-term growth, rather than the realization of short-term financial or business metrics, may serve to exacerbate the fluctuations in our quarterly results, which could result in downward pressure on the market price of our Class A common stock. In addition, fluctuations in quarterly results may negatively impact the value of our Class A common stock, regardless of whether they impact or reflect the overall performance of our business. Furthermore, if our quarterly results fall below the expectations of investors or any securities analysts who follow our stock, or below any financial guidance we may provide, the price of our Class A common stock could decline substantially.</w:t>
      </w:r>
    </w:p>
    <w:p>
      <w:pPr>
        <w:spacing w:after="0" w:line="1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lose key members of our management team, our business may be harmed.</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success and future growth depend, in part, upon the continued services of our executive officers and other key employees. From time to time, there may be changes in our executive officers or other key employees resulting from the hiring or departure of these personnel, which may disrupt our business. Our executive officers and other key employees are generally employed on an at-will basis, which means that these personnel could terminate their employment with us at any time. Additionally, the equity awards held by many of our executive officers and other key employees are close to fully vested, and these employees may not have sufficient financial incentive to stay with us. The loss of one or more of our executive officers or other key employees, or the failure by our executive team to work effectively with our employees and lead our company, could have an adverse effect on our business.</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we may not be able to achieve our strategic objectives.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In addition, in order for us to achieve broader market acceptance of our software solutions, grow our customer base, and pursue adjacent markets and new verticals, we will need to continue to increase the size of our sales and marketing and customer service organizations. Identifying and recruiting qualified personnel training them in the use of our software solutions and ensuring they are well-equipped to provide great service to our customers requires a significant investment of time and resources, and it can be particularly difficult to retain these individuals.</w:t>
      </w:r>
    </w:p>
    <w:p>
      <w:pPr>
        <w:spacing w:after="0" w:line="9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Many of the companies with which we compete for experienced personnel have greater name recognition and financial resources than we have. If we hire employees from competitors or other companies, their former employers may attempt to assert that we or these employees have breached their legal obligations, resulting in a diversion of our time and resources.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are unable to attract and retain the personnel necessary to execute our growth plan, we may be unable to achieve our strategic objectives and our operating results may suffer.</w:t>
      </w:r>
    </w:p>
    <w:p>
      <w:pPr>
        <w:spacing w:after="0" w:line="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fail to attract new personnel or to retain and motivate our current personnel, we may not be able to achieve our strategic objectives.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79"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third parties, and if we are unsuccessful in establishing or maintaining these relationships, our ability to compete in the market place or grow our revenue could be impaired.</w:t>
      </w:r>
    </w:p>
    <w:p>
      <w:pPr>
        <w:spacing w:after="0" w:line="10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our data center operators,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 Even if we are successful, we cannot assure you that these relationships will result in increased customer adoption and usage of our software solutions or improved operating results. Furthermore, if our partners fail to perform as expected, we may be subjected to litigation, our reputation may be harmed, and our business and operating results could be adversely affected.</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data centers and computing infrastructure operated by third parties and any disruption in these operations could adversely affect our operating results.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currently serve our customers through a combination of our own servers located in third-party data center facilities, and servers and data centers operated by Amazon and other third parties. While we control and have access to our own servers and the other components of our network that are located in our third-party data centers, we do not control the operation of any of these third-party data center facilities. The owners of our data center facilities have no obligation to renew their agreements with us on commercially reasonable terms, or at all. If we are unable to renew these agreements on commercially reasonable terms, or if one of our third-party data center operators is acquired, we may be required to transfer our servers and other infrastructure to new data center facilities, and we may incur significant costs and possible service interruptions in connection with doing so. Further, our third-party data center providers could experience significant outages outside of our control that could adversely affect our business.</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Problems faced by our third-party data center operators, or with any of the service providers with whom we or they contract, could adversely affect the experience of our customers. Our third-party data center operators could decide to close their facilities without adequate notice. In addition, any financial difficulties, such as bankruptcy, faced by our third-party data center operators, or any of the service providers with whom we or they contract, may have negative effects on our business. Additionally, if our data centers are unable to keep up with our growing needs for capacity or any spikes in customer demand, this could have an adverse effect on our business. Any changes in third-party service levels at our data centers could result in loss of or damage to our customers’ stored information and service interruptions, which could harm our reputation. These issues could also cause us to lose customers, harm our ability to attract new customers, and subject us to potential liability, any of which could adversely affect our operating results.</w:t>
      </w:r>
    </w:p>
    <w:p>
      <w:pPr>
        <w:spacing w:after="0" w:line="1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systems are not yet fully redundant and, although the redundancies we do have in place will permit us to respond, at least to some degree, to service outages, our third-party data centers are vulnerable in the event of failure. We do not yet have adequate structure or systems in place to recover from a data center’s severe impairment or total destruction, and recovery from the total destruction or severe impairment of any of our third-party data centers could be difficult or may not be possible at all.</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1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offer our software solutions across a variety of operating systems and through the Internet. We are dependent on the interoperability of our platform with third-party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79"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and our operating results could be adversely affected.</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property manager customers stop requiring residents to provide proof of legal liability to landlord insurance, if insurance premiums decline or if insureds experience greater than expected losses, our operating results could be harmed.</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generate revenue by offering legal liability to landlord insurance through a wholly owned subsidiary. Some of our property manager customers require residents to provide proof of legal liability to landlord insurance and offer to enroll residents in their legal liability to landlord insurance policy. If demand for rental housing declines, or if our property manager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manager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w:t>
      </w:r>
    </w:p>
    <w:p>
      <w:pPr>
        <w:spacing w:after="0" w:line="1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our legal liability to landlord insurance policies are underwritten by us, and we are required by our insurance partner to maintain a reserve to cover potential claims under the policies. While our policies have a limit of $100,000 per occurrence, there is no limit on the dollar amount of claims that could be made against us in any particular period or in the aggregate. In the event that claims by the insureds increase unexpectedly, our reserve may not be sufficient to cover our resulting liability under the policies. To the extent we are required to pay out amounts to insureds that are significantly higher than our current reserves, this could have a material adverse effect on our operating results.</w:t>
      </w:r>
    </w:p>
    <w:p>
      <w:pPr>
        <w:spacing w:after="0" w:line="1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10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This state governmental supervision could limit the growth of our insurance business by increasing the costs of regulatory compliance, limiting or restricting the products or services we provide or the methods by which we provide them, and subjecting us to the possibility of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state insurance departments conduct periodic examinations, audits and investigations of the affairs of insurance companies and agencies, any of which could result in the expenditure of significant management time or financial resources.</w:t>
      </w:r>
    </w:p>
    <w:p>
      <w:pPr>
        <w:spacing w:after="0" w:line="99"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In all jurisdictions, the applicable laws and regulations are subject to amendment and interpretation by regulatory authorities.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in a given jurisdiction. No assurances can be given that our insurance business can continue to be conducted in any given jurisdiction as it has been conducted in the past or that we will be able to expand our insurance business in the future.</w:t>
      </w:r>
    </w:p>
    <w:p>
      <w:pPr>
        <w:spacing w:after="0" w:line="13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enter new verticals, or if our software solution for any new vertical fails to achieve market acceptance, our operating results could be adversely affected and we may be required to reconsider our growth strategy.</w:t>
      </w:r>
    </w:p>
    <w:p>
      <w:pPr>
        <w:spacing w:after="0" w:line="1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strategy is dependent, in part, on our ability to expand into new verticals, beyond the real estate and legal markets. However, we may be unable to identify new verticals that meet our criteria for selecting industries that cloud-based solutions are ideally suited to address. In addition, our market validation process may not support entry into selected verticals due to our perception of the overall market opportunity or of the willingness of market participants within those verticals to adopt our software solutions. Further, instead of pursuing new verticals, we may prefer for various reasons to pursue alternative growth strategies, such as entry into markets that are adjacent to the markets in which we currently participate within our existing verticals, or the development of additional products or services for our existing markets.</w:t>
      </w:r>
    </w:p>
    <w:p>
      <w:pPr>
        <w:spacing w:after="0" w:line="30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if we choose to enter new verticals, our market validation process does not guarantee our success. We may be unable to develop a software solution for a new vertical or, in the event that we enter a new vertical by way of a strategic acquisition, we may be unable to leverage the acquired software solution in time to take advantage of the identified market opportunity, and any delay in our time-to-market could expose us to additional competition or other factors that could impede our success. In addition, any software solution we develop or acquire for a new vertical may not provide the functionality required by potential customers and, as a result, may not achieve widespread market acceptance within the new vertical. To the extent we choose to enter new verticals, whether organically or via strategic acquisition, we may invest significant resources to develop and expand the functionality of our software solutions to meet the needs of customers in those verticals, which investments will occur in advance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79"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of our realization of revenue from them.</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while we expedited our entry into the legal vertical through the acquisition of MyCase in 2012, our practice and case management solution is in an earlier stage of development than APM, our property management solution, and we are at an earlier stage in the process of expanding the core functionality and Value+ services associated with our legal software. We face significant competition in the legal market from both vertical software vendors and cloud-based solution providers that offer one or more point solutions. There can be no assurance that we will be able to achieve market acceptance for our legal software at or near the levels achieved by our property management software. The success of our vertical market strategy depends, in part, on our ability to continue to significantly increase the number and size of our law firm customers and the revenue derived from them, and our failure to achieve these objectives could have an adverse impact on our operating results.</w:t>
      </w:r>
    </w:p>
    <w:p>
      <w:pPr>
        <w:spacing w:after="0" w:line="1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All of our revenues are generated by sales to customers in our targeted verticals, and factors that adversely affect the applicable industry could also adversely affect us.</w:t>
      </w:r>
    </w:p>
    <w:p>
      <w:pPr>
        <w:spacing w:after="0" w:line="1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Currently, all of our sales are to customers in the real estate market and, to a lesser extent, the legal market. Demand for our software solutions could be affected by factors that are unique to and adversely affect our targeted verticals. In particular, the real estate and legal markets are highly regulated, subject to intense competition and impacted by changes in general economic and market conditions. For example, changes in applicable laws and regulations could significantly impact the software functionality demanded by our customers and require us to expend significant resources to ensure our software solutions continue to meet their evolving needs. In addition, other industry-specific factors, such as industry consolidation or the introduction of competing or disruptive technology, could lead to a significant reduction in the number of customers that use our software solutions within a particular vertical or the Value+ services demanded by these customers. Further, if the real estate or legal markets decline, our customers may decide not to renew their subscriptions or they may cease using our Value+ services in order to reduce costs to remain competitive. As a result, our ability to generate revenue from our real estate and legal market customers could be adversely affected by specific factors that affect the real estate or legal markets.</w:t>
      </w:r>
    </w:p>
    <w:p>
      <w:pPr>
        <w:spacing w:after="0" w:line="9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foregoing risks associated with our targeted verticals themselves, there is an overarching risk stemming from potential widespread adoption of quickly evolving financial or other disruptive technology products that could significantly impact our targeted verticals, even if that technology is not specifically designed to apply directly to our targeted verticals. The adoption of these new technologies could significantly reduce the volume or demand of customers in our targeted verticals, thereby reducing our revenue, which could materially impact our business, financial condition, operating results and, ultimately, our stock price.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1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While we plan to continue to market and sell our software solutions to smaller companies or firms, our growth strategy is dependent, in part, upon increasing sales of our software solutions to larger customers within the real estate and legal markets.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than we have in selling our software solutions to smaller businesses. Although we generally have not configured our software solutions or negotiated our pricing for specific customers, which has historically resulted in reduced upfront selling costs, our ability to successfully sell our software solutions to larger customers may be dependent, in part, on our ability to develop functionality, or to implement pricing policies, that are unique to particular customers. It may also be dependent on our ability to attract and retain sales personnel with experience selling to larger organizations.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deliver effective customer service, it could harm our relationships with our existing customers and adversely affect our ability to attract new customers.</w:t>
      </w:r>
    </w:p>
    <w:p>
      <w:pPr>
        <w:spacing w:after="0" w:line="10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which contributes to retaining customers and increasing adoption and utilization of our Value+ services by our existing customers. Once our software solutions are deployed, our customers depend on our customer service organization to resolve technical issues relating to their use of our solutions. We may be unable to respond quickly to accommodate short-term increases in customer demand for support services or may otherwise encounter a customer issue that is difficult to resolve. If a customer is not satisfied with the quality or responsiveness of our customer service, we could incur additional costs to address the situation. As we do not separately charge our customers for support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79"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services, increased demand for our support services would increase costs without corresponding revenue, which could adversely affect our operating results. In addition, regardless of the quality or responsiveness of our customer service efforts, a customer that is not satisfied with an outcome may choose to terminate, or not to renew, their relationship with us.</w:t>
      </w:r>
    </w:p>
    <w:p>
      <w:pPr>
        <w:spacing w:after="0" w:line="11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software solutions address functions within the heavily regulated real estate and legal markets, and our customers’ failure to comply with applicable laws and regulations could subject us to litigation.</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our software solutions to customers within the real estate market and, to a lesser extent, the legal market. Our customers use our software solutions for business activities that are subject to a number of laws and regulations, including without limitation federal, state and local real property laws and legal ethics rules. Any failure by our customers to comply with laws and regulations applicable to their businesses could result in fines, penalties or claims for substantial damages against our customers. To the extent our customers believe that our software solutions or our customer service organization caused or contributed to such failures, our customers may make claims for damages against us, regardless of whether we are responsible for the failure. As a result, we may be subject to lawsuits that, even if unsuccessful, could divert our resources and our management’s attention and adversely affect our business, and our insurance coverage may not be sufficient to cover such claims against us.</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promote our brands, or to do so in a cost-effective manner, our ability to maintain and expand our customer base will be impaired, and our operating results could be adversely affected.</w:t>
      </w:r>
    </w:p>
    <w:p>
      <w:pPr>
        <w:spacing w:after="0" w:line="10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our targeted verticals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Additionally, the actions of third parties which are out of our control may affect our brands and reputation if customers do not have a positive experience using the services of our third-party partners that support our software solutions.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1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10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w:t>
      </w:r>
    </w:p>
    <w:p>
      <w:pPr>
        <w:spacing w:after="0" w:line="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10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considerable patent, trademark, copyright, trade secret and other intellectual property development activity in our industry. Our success depends, in part, on our not infringing upon the intellectual property rights of others. Our competitors, as well as a number of other entities and individuals, may legally own or claim to own intellectual property relating to our technology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9"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or software solutions, including without limitation technology we develop and build internally and that which we acquire. From time to time, our competitors or other third parties may claim that we are infringing upon their intellectual property rights. However, we may be unaware of the intellectual property rights that others may claim cover some or all of our technology or software solutions.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costs as a result of operating as a public company, and our management is required to devote substantial time to compliance with legal requirements and corporate governance initiatives.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public company, we have incurred and expect to continue to incur significant legal, accounting, compliance and other expenses. We are subject to the reporting requirements of the Exchange Act, the listing requirements of the NASDAQ Global Market, and other applicable securities rules and regulations. Compliance with these rules and regulations will continue to increase our legal and financial compliance costs, make some activities more difficult, time-consuming or costly, and increase demand on our systems and resources, particularly now that we are no longer an “emerging growth company” as defined in the JOBS Act.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example, the Exchange Act requires that we publicly file annual, quarterly and current reports with respect to our business and operating results, and the Sarbanes-Oxley Act of 2002, or SOX, requires that we maintain effective disclosure controls and procedures and internal control over financial reporting. In order to meet these requirements, significant resources and management oversight will be required. As a result, management’s attention may be diverted from other business concerns, which could harm our business and operating results.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Because we are no longer an “emerging growth company,” we are subject to, among other things, the requirement under Section 404 of SOX to obtain an attestation report on internal control over financial reporting from our independent registered public accounting firm, enhanced disclosure obligations regarding executive compensation in our periodic reports and proxy statements, and the requirement to hold a nonbinding advisory vote on executive compensation. Compliance with these additional requirements will only further increase our legal and financial compliance costs.</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requirements are creating uncertainty for public companies, increasing legal and financial compliance costs, and making some activities more difficult and time consuming. These laws, regulations and standards are subject to varying interpretations and their application in practice may evolve over time as new guidance is provided by regulatory and governing bodies. This could result in continuing uncertainty regarding compliance matters and higher costs necessitated by ongoing revisions to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which could result in a material adverse impact on our business.</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Compliance with the requirements of Section 404 of SOX will be costly and divert management resources, and we and our independent registered public accounting firm may be unable to conclude that our internal control over financial reporting is effective.</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Section 404 of SOX, we are required to furnish an annual report by our management on our internal control over financial reporting. Because we are no longer an "emerging growth company," we are required to include in our Annual Report an attestation report on internal control over financial reporting issued by our independent registered public accounting firm. To achieve and maintain compliance with Section 404, we have been and will continue to be engaged in a process to document and evaluate our internal control over financial reporting, which will be costly and result in a diversion of management resources.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our efforts, there is a risk that in the future neither we nor our independent registered public accounting firm will be able to conclude that our internal control over financial reporting is effective as required by Section 404. If this were to occur, we could be subject to investigations or enforcement actions by the SEC or other regulatory authorities, stockholder lawsuits or other adverse actions, any of which could require us to incur defense costs, pay fines, settlements or judgments, or incur other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79"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or expenses. Furthermore, investor perceptions of our business may suffer if deficiencies are found, which could cause a decline in the market price of our Class A common stock.</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Irrespective of our compliance with Section 404, any failure of our internal control over financial reporting could have a material adverse effect on our stated results of operations and harm our reputation. If we are unable to implement these requirements effectively, it could harm our business, and could result in an adverse opinion on our internal control over financial reporting from our independent registered public accounting firm.</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software solutions over the term of each subscription agreement, downturns or upturns in new business may not be immediately reflected in our operating results.</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revenue from customers ratably over the term of each subscription agreement, which typically ranges from one month to one year. As a result, some of the revenue we report in each period is derived from the recognition of deferred revenue relating to subscription agreements entered into during previous periods. Consequently, a decline in new or renewed subscriptions in any one period may not be reflected in our revenue results for that period. However, any such decline will negatively affect our revenue in future quarters. Our subscription model also makes it difficult for us to rapidly increase our revenue through additional sales in any period, as revenue from new customers must be recognized over the applicable subscription period. Accordingly, the effect of downturns or upturns in our sales, the market acceptance of our software solutions, and potential changes in our customer retention rates, may not be apparent in our operating results until future periods.</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invoicing is generally for periods less than one year, our revenue growth is heavily dependent on new subscription sales, consumption of our usage-based Value+ services and renewals of our subscription services in the current year.</w:t>
      </w:r>
    </w:p>
    <w:p>
      <w:pPr>
        <w:spacing w:after="0" w:line="10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growth is heavily dependent on subscription sales, adoption and consumption of our usage-based Value+ services and renewals of our subscription services in the current year. We offer our core solutions and Value+ subscription services to customers pursuant to subscription agreements with relatively short terms, typically ranging from one month to one year. We generally invoice our customers for subscription services in monthly, quarterly or annual installments, typically in advance of the subscription period. We do not currently intend to extend the typical terms of our subscription agreements with any regularity, or to invoice our customers less frequently, and we expect that we will continue to depend on current-year sales and renewals to drive our growth.</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core functionality and Value+ services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These risks could be difficult to eliminate or manage, and could have a negative impact on our business and operating results.</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solutions, and could have a negative impact on our business.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future success of our business depends upon the continued use of the Internet as a primary medium for commerce, communication and business services. Federal, state or foreign government bodies or agencies have in the past adopted, and may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79"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future adopt, laws or regulations affecting the use of the Internet as a commercial medium. Changes in these laws or regulations, including laws impacting net neutrality, could decrease the demand for our software solutions and services and/or increase our cost of doing business, or require us to modify our software solutions to comply with or otherwise address any new or changed laws or regulations.</w:t>
      </w:r>
    </w:p>
    <w:p>
      <w:pPr>
        <w:spacing w:after="0" w:line="1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government agencies or private organizations may begin to impose taxes, fees or other charges for accessing the Internet, or for the commerce conducted via the Internet. These laws or charges could limit the growth of Internet-related commerce or communications generally, result in reductions in the demand for Internet-based business services such as ours, and cause us to incur significant expenses.</w:t>
      </w:r>
    </w:p>
    <w:p>
      <w:pPr>
        <w:spacing w:after="0" w:line="1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use of the Internet in general could be adversely affected by delays in the development or adoption of new standards and protocols to handle increased demands of Internet activity, accessibility, reliability, security, cost, ease of use and quality of service. In addition, the use of the Internet as a medium for commerce, communication and business services may have been, and may continue to be, adversely affected by concerns regarding network outages, software errors, viruses, security breaches, fraud or other malicious activity. If the use of the Internet is adversely affected by these issues, demand for our software solutions could decrease.</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Financing agreements that we are party to or may become party to may contain operating and financial covenants that restrict our business and financing activities. Failure to comply with these covenants, or other restrictions, could result in default under these agreements.</w:t>
      </w:r>
    </w:p>
    <w:p>
      <w:pPr>
        <w:spacing w:after="0" w:line="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existing credit agreement with Wells Fargo as administrative agent, and the lenders that are parties thereto, which we refer to as the Second Amendment of our Original Credit Agreement, contains certain operating and financial restrictions and covenants, including limitations on dividends, dispositions, mergers or consolidations, incurrence of indebtedness and liens, and other corporate activities. These restrictions and covenants, as well as those contained in any future financing agreements that we may enter into, may restrict our ability to finance our operations, and to engage in, expand or otherwise pursue our business activities and strategic objectives. Our ability to comply with these covenants may be affected by events beyond our control, and breaches of these covenants could result in a default under the Second Amendment of our Original Credit Agreement and any future financing agreements that we may enter into. If not waived, defaults could cause any outstanding indebtedness under the Second Amendment of our Original Credit Agreement and any future financing agreements that we may enter into to become immediately due and payable.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favorable terms when required, or at all.</w:t>
      </w:r>
    </w:p>
    <w:p>
      <w:pPr>
        <w:spacing w:after="0" w:line="10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need additional capital to grow our business and meet our strategic objectives. Our ability to obtain additional capital, if and when required, will depend on numerous factors, including investor and lender demand, our historical and forecasted financial and operating performance, our market position, and the overall condition of the capital markets. We cannot guarantee that additional financing will be available to us on favorable terms when required, or at all. In addition, if we raise additional funds through the issuance of equity securities, those securities may have powers, preferences or rights senior to the rights of our Class A common stock, and our existing stockholders may experience immediate dilution. If we raise additional funds through the issuance of debt securities, we may incur interest expense or other costs to service the indebtedness, we may be required to encumber certain assets, and we may become subject to restrictions on our ability to conduct business, any of which could negatively impact our operating results. Furthermore, if we are unable to obtain adequate financing or financing on terms satisfactory to us when we require it, our ability to continue to support the growth of our business and the achievement of our strategic objectives could be significantly impaired and our operating results may be harmed.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of December 31, 2018, the date of our most recent audited financial statements, we had federal net operating loss carryforwards of approximately $57.7 million and state net operating loss carryforwards of approximately $41.2 million, which begin to expire in 2031 and 2023, respectively. We also had federal and state research and development credit carryforwards of $7.4 million and $7.5 million, respectively. The federal credits carryforwards will begin to expire in 2031, while the majority of state credit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79"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acquired or may acquire in the future may be subject to limitations. Any such limitations on our ability to use our net operating loss carryforwards and other tax assets could adversely impact our business, financial condition and operating results.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Tax laws or regulations could be enacted or changed and existing tax laws or regulations could be applied to us or to our customers in a manner that could increase the costs of our software solutions and adversely impact our operating results.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the taxes would represent and could ultimately result in a negative impact on our operating results.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additional tax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income, sales, use, value added and other taxes in the United States and other jurisdictions in which we conduct business, and such laws and rates vary by jurisdiction. Certain jurisdictions in which we do not collect sales, use, value added or other taxes on our sales may assert that such taxes are applicable, which could result in tax assessments, penalties and interest, and we may be required to pay or collect such taxes in the future. If we receive an adverse determination as a result of an audit or related litigation, or we unilaterally determine that we have misinterpreted provisions of the tax regulations to which we are subject, there could be a material effect on our tax provision, net income or cash flows in the period or periods for which that determination is made.</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our long-term growth strategy involves expansion of our sales to customers outside the United States, our business will be susceptible to the risks associated with international operations.</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component of our growth strategy involves the expansion of our international operations and worldwide customer base. To date, we have realized an immaterial amount of revenue from customers outside the United States. Operating in international markets will require significant resources and management attention and will subject us to regulatory, economic, geographic and political risks that are different from those in the United States. Because of our limited experience with international operations and significant differences between the United States and international markets, our international expansion efforts may not be successful in creating demand for our software solutions outside of the United States or in effectively selling our software solutions in any international markets we may enter. If we invest substantial time and resources to expand our international operations and are unable to do so successfully, our business and operating results could suffer.</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the SEC and various bodies formed to promulgate and interpret appropriate accounting principles. A change in these principles or interpretations could have a significant impact on our reported financial results, and could affect the reporting of transactions completed before the announcement of a change.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market price of our Class A common stock has been, and is likely to continue to be, highly volatile, and fluctuations in the price of our Class A common stock could cause you to lose all or part of your investment. For example, from September 30, 2018 to September 30, 2019, the share price of our Class A common stock on the NASDAQ Global Market fluctuated between $54.36 and $107.70.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79"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There are numerous factors that could cause fluctuations in the market price of our Class A common stock, including:</w:t>
      </w:r>
    </w:p>
    <w:p>
      <w:pPr>
        <w:spacing w:after="0" w:line="198" w:lineRule="exact"/>
        <w:rPr>
          <w:sz w:val="20"/>
          <w:szCs w:val="20"/>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trading volume of our Class A common stock;</w:t>
      </w:r>
    </w:p>
    <w:p>
      <w:pPr>
        <w:spacing w:after="0" w:line="15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price and volume fluctuations in the overall stock market;</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market prices and trading volumes of securities issued by software companies;</w:t>
      </w:r>
    </w:p>
    <w:p>
      <w:pPr>
        <w:spacing w:after="0" w:line="157" w:lineRule="exact"/>
        <w:rPr>
          <w:rFonts w:ascii="Arial" w:cs="Arial" w:eastAsia="Arial" w:hAnsi="Arial"/>
          <w:sz w:val="18"/>
          <w:szCs w:val="18"/>
          <w:color w:val="auto"/>
        </w:rPr>
      </w:pPr>
    </w:p>
    <w:p>
      <w:pPr>
        <w:ind w:left="1060" w:right="2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software companies generally, and of companies that sell cloud-based solutions within our targeted verticals in particular;</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 or perceptions that such sales may occur;</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future announcements to repurchase our Class A common stock, and any actual share repurchases that we may undertake from time to time;</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us, or our failure to meet these estimates or the expectations of investors;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guidance we may provide to the public, any changes in that guidance, and our performance relative to that guidance;</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or services;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public reaction to our press releases, filings with the SEC and other public announcements;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software companies;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proceedings, enforcement actions or regulatory inquiries relating to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to our business or the industries in which we operate;</w:t>
      </w:r>
    </w:p>
    <w:p>
      <w:pPr>
        <w:spacing w:after="0" w:line="180" w:lineRule="exact"/>
        <w:rPr>
          <w:rFonts w:ascii="Arial" w:cs="Arial" w:eastAsia="Arial" w:hAnsi="Arial"/>
          <w:sz w:val="16"/>
          <w:szCs w:val="16"/>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management; and</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conditions and trends, including slow or negative growth of our markets.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 potentially, the price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a limited number of stockholders, including our executive officers, directors and principal stockholders, which will limit your ability to influence corporate matters.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At December 31, 2018, the holders of the outstanding shares of our Class B common stock, including our executive officers, directors, and principal stockholders, collectively hold approximately 92%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are able to exercise significant influence and control over the establishment and implementation of our future business plans and strategic objectives, as well as to control all matters submitted to our stockholders for approval. These persons may manage our business in ways with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79"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you disagree and which may be adverse to your interests. This concentrated control may also have the effect of delaying, deterring or preventing a change-in-control transaction, depriving our stockholders of an opportunity to receive a premium for their capital stock or negatively affecting the market price of our Class A common stock.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At September 30, 2019, the holders of the outstanding shares of our Class B common stock, including our executive officers, directors, and principal stockholders, collectively hold approximately 92% of the combined voting power of our outstanding capital stock. Many investment funds are precluded from investing in companies that are not included in such indices, and these funds would be unable to purchase our Class A common stock. We cannot assure you that other stock indices will not take a similar approach in the future. Exclusion from indices could make our Class A common stock less attractive to investors and, as a result, the market price of our Class A common stock could be adversely affected.</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several shareholder advisory firms have announced their opposition to the use of multiple class structures. As a result, the dual class structure of our common stock may cause shareholder advisory firms to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 repurchases could increase the volatility of the trading price of our common stock and diminish our cash reserves, and we cannot guarantee that our share repurchase program will enhance long-term stockholder value.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2018, our Board of Directors adopted a $30.0 million Share Repurchase Program relating to our outstanding shares of our Class A common stock. In February 2019, our Board of Directors adopted a $100.0 million Share Repurchase Program relating to our outstanding shares of our Class A common stock, which is inclusive of, and not in addition to, the remaining availability under the October 2018 authorization. Although our Board of Directors has authorized the Repurchase Program, it does not obligate us to repurchase any specific dollar amount or number of shares, there is no expiration date for the Repurchase Program, and the Repurchase Program may be modified, suspended or terminated at any time and for any reason. The timing and actual number of shares repurchased under the Repurchase Program will depend on a variety of factors, including the acquisition price of the shares, our liquidity position, general market and economic conditions, legal and regulatory requirements and other considerations. Our ability to repurchase shares may also be limited by restrictive covenants in our existing credit agreement or in future borrowing arrangements we may enter into from time to time.</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Repurchases of our shares could increase the volatility of the trading price of our shares, which could have a negative impact on the trading price of our shares. Similarly, the future announcement of the termination or suspension of the Repurchase Program, or our decision not to utilize the full authorized repurchase amount under the Repurchase Program, could result in a decrease in the trading price of our shares. In addition, the Repurchase Program could have the impact of diminishing our cash reserves, which may impact our ability to finance our growth, complete acquisitions and execute our strategic plan. There can be no assurance that any share repurchases we do elect to make will enhance stockholder value because the market price of our common stock may decline below the levels at which we repurchased our shares. Although our share repurchase program is intended to enhance long-term stockholder value, we cannot guarantee that it will do so and short-term stock price fluctuations could reduce the effectiveness of the Repurchase Program.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79"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w:t>
      </w:r>
    </w:p>
    <w:p>
      <w:pPr>
        <w:spacing w:after="0" w:line="114" w:lineRule="exact"/>
        <w:rPr>
          <w:sz w:val="20"/>
          <w:szCs w:val="20"/>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the issuance of preferred stock with powers, preferences and rights that may be senior to our common stock, which can be created and issued by our board of directors without prior stockholder approval;</w:t>
      </w:r>
    </w:p>
    <w:p>
      <w:pPr>
        <w:spacing w:after="0" w:line="102"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the adoption of a staggered board of directors whereby our board is divided into three classes, each of which has a different three-year term;</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the number of directors will be fixed by our board of directors;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our stockholders from filling vacancies on our board of directors;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the removal of a director only for cause and then only by the affirmative vote of the holders of a majority of the combined voting power of our outstanding capital stock;</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stockholders from calling special stockholder meetings;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stockholders from acting by written consent without holding a meeting of stockholders;</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vote of at least two-thirds of the combined voting power of our outstanding capital stock to approve amendments to our certificate of incorporation or bylaws;</w:t>
      </w:r>
    </w:p>
    <w:p>
      <w:pPr>
        <w:spacing w:after="0" w:line="102"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advance written notice of stockholder proposals and director nominations;</w:t>
      </w:r>
    </w:p>
    <w:p>
      <w:pPr>
        <w:spacing w:after="0" w:line="157" w:lineRule="exact"/>
        <w:rPr>
          <w:rFonts w:ascii="Arial" w:cs="Arial" w:eastAsia="Arial" w:hAnsi="Arial"/>
          <w:sz w:val="18"/>
          <w:szCs w:val="18"/>
          <w:color w:val="auto"/>
        </w:rPr>
      </w:pPr>
    </w:p>
    <w:p>
      <w:pPr>
        <w:ind w:left="1060" w:hanging="485"/>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for a dual-class common stock structure, as discussed above; and</w:t>
      </w:r>
    </w:p>
    <w:p>
      <w:pPr>
        <w:spacing w:after="0" w:line="157" w:lineRule="exact"/>
        <w:rPr>
          <w:rFonts w:ascii="Arial" w:cs="Arial" w:eastAsia="Arial" w:hAnsi="Arial"/>
          <w:sz w:val="18"/>
          <w:szCs w:val="18"/>
          <w:color w:val="auto"/>
        </w:rPr>
      </w:pPr>
    </w:p>
    <w:p>
      <w:pPr>
        <w:ind w:left="1060" w:hanging="4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approval of the holders of at least a majority of the outstanding shares of our Class B common stock, voting as a separate class, prior to consummating a change-in-control transaction.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w:t>
      </w:r>
    </w:p>
    <w:p>
      <w:pPr>
        <w:spacing w:after="0" w:line="114" w:lineRule="exact"/>
        <w:rPr>
          <w:sz w:val="20"/>
          <w:szCs w:val="20"/>
          <w:color w:val="auto"/>
        </w:rPr>
      </w:pPr>
    </w:p>
    <w:p>
      <w:pPr>
        <w:jc w:val="both"/>
        <w:ind w:left="120" w:firstLine="648"/>
        <w:spacing w:after="0" w:line="312" w:lineRule="auto"/>
        <w:rPr>
          <w:sz w:val="20"/>
          <w:szCs w:val="20"/>
          <w:color w:val="auto"/>
        </w:rPr>
      </w:pPr>
      <w:r>
        <w:rPr>
          <w:rFonts w:ascii="Arial" w:cs="Arial" w:eastAsia="Arial" w:hAnsi="Arial"/>
          <w:sz w:val="16"/>
          <w:szCs w:val="16"/>
          <w:color w:val="auto"/>
        </w:rPr>
        <w:t>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103" w:lineRule="exact"/>
        <w:rPr>
          <w:sz w:val="20"/>
          <w:szCs w:val="20"/>
          <w:color w:val="auto"/>
        </w:rPr>
      </w:pPr>
    </w:p>
    <w:p>
      <w:pPr>
        <w:jc w:val="both"/>
        <w:ind w:left="120" w:firstLine="716"/>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w:t>
      </w:r>
    </w:p>
    <w:p>
      <w:pPr>
        <w:spacing w:after="0" w:line="104" w:lineRule="exact"/>
        <w:rPr>
          <w:sz w:val="20"/>
          <w:szCs w:val="20"/>
          <w:color w:val="auto"/>
        </w:rPr>
      </w:pPr>
    </w:p>
    <w:p>
      <w:pPr>
        <w:jc w:val="both"/>
        <w:ind w:left="120" w:firstLine="648"/>
        <w:spacing w:after="0" w:line="293" w:lineRule="auto"/>
        <w:rPr>
          <w:sz w:val="20"/>
          <w:szCs w:val="20"/>
          <w:color w:val="auto"/>
        </w:rPr>
      </w:pPr>
      <w:r>
        <w:rPr>
          <w:rFonts w:ascii="Arial" w:cs="Arial" w:eastAsia="Arial" w:hAnsi="Arial"/>
          <w:sz w:val="16"/>
          <w:szCs w:val="16"/>
          <w:color w:val="auto"/>
        </w:rPr>
        <w:t>At September 30, 2019, we had an aggregate of 1.4 million options outstanding that, if fully exercised, would result in the issuance of additional shares of Class A common stock or Class B common stock, as applicable. Our Class B common stock converts into Class A common stock on a one-for-one basis. In addition, at September 30, 2019, we had 0.6 million restricted stock units, or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79"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120" w:firstLine="648"/>
        <w:spacing w:after="0" w:line="259" w:lineRule="auto"/>
        <w:rPr>
          <w:sz w:val="20"/>
          <w:szCs w:val="20"/>
          <w:color w:val="auto"/>
        </w:rPr>
      </w:pPr>
      <w:r>
        <w:rPr>
          <w:rFonts w:ascii="Arial" w:cs="Arial" w:eastAsia="Arial" w:hAnsi="Arial"/>
          <w:sz w:val="18"/>
          <w:szCs w:val="18"/>
          <w:color w:val="auto"/>
        </w:rPr>
        <w:t>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our market or our competitors, or if they adversely change their recommendations regarding our Class A common stock, the market price and trading volume of our Class A common stock could decline.</w:t>
      </w:r>
    </w:p>
    <w:p>
      <w:pPr>
        <w:spacing w:after="0" w:line="114" w:lineRule="exact"/>
        <w:rPr>
          <w:sz w:val="20"/>
          <w:szCs w:val="20"/>
          <w:color w:val="auto"/>
        </w:rPr>
      </w:pPr>
    </w:p>
    <w:p>
      <w:pPr>
        <w:jc w:val="both"/>
        <w:ind w:left="120" w:firstLine="648"/>
        <w:spacing w:after="0" w:line="276" w:lineRule="auto"/>
        <w:rPr>
          <w:sz w:val="20"/>
          <w:szCs w:val="20"/>
          <w:color w:val="auto"/>
        </w:rPr>
      </w:pPr>
      <w:r>
        <w:rPr>
          <w:rFonts w:ascii="Arial" w:cs="Arial" w:eastAsia="Arial" w:hAnsi="Arial"/>
          <w:sz w:val="17"/>
          <w:szCs w:val="17"/>
          <w:color w:val="auto"/>
        </w:rPr>
        <w:t>The trading market for our Class A common stock is influenced, to some extent, by the research and reports that securities or industry analysts publish about us, our business, our market or our competitors. If any of the analysts who cover us adversely change their recommendations regarding our Class A common stock or provide more favorable recommendations about our competitors, the market price of our Class A common stock may decline. If any of the analysts who cover us were to cease coverage of us or fail to publish reports on us regularly, visibility of our company in the financial markets could decrease, which in turn could cause the market price or trading volume of our Class A common stock to decline.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58" w:lineRule="exact"/>
        <w:rPr>
          <w:sz w:val="20"/>
          <w:szCs w:val="20"/>
          <w:color w:val="auto"/>
        </w:rPr>
      </w:pPr>
    </w:p>
    <w:p>
      <w:pPr>
        <w:jc w:val="both"/>
        <w:ind w:left="120" w:firstLine="648"/>
        <w:spacing w:after="0" w:line="257" w:lineRule="auto"/>
        <w:rPr>
          <w:sz w:val="20"/>
          <w:szCs w:val="20"/>
          <w:color w:val="auto"/>
        </w:rPr>
      </w:pPr>
      <w:r>
        <w:rPr>
          <w:rFonts w:ascii="Arial" w:cs="Arial" w:eastAsia="Arial" w:hAnsi="Arial"/>
          <w:sz w:val="18"/>
          <w:szCs w:val="18"/>
          <w:color w:val="auto"/>
        </w:rPr>
        <w:t>We have never declared or paid any cash dividends on our existing common stock. We do not anticipate declaring or paying any cash dividends to holders of our Class A common stock in the foreseeable future and intend to retain all future earnings for use in the growth of our business. In addition, the terms of our Credit Agreement restrict our ability to pay dividends.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following the signature page of this Quarterly Report, which is incorporated herein by reference.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79"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37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AppFolio,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700" w:val="left"/>
          <w:tab w:leader="none" w:pos="4140" w:val="left"/>
          <w:tab w:leader="none" w:pos="4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79"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140" w:type="dxa"/>
            <w:vAlign w:val="bottom"/>
            <w:gridSpan w:val="2"/>
          </w:tcPr>
          <w:p>
            <w:pPr>
              <w:ind w:left="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24"/>
                <w:szCs w:val="24"/>
                <w:color w:val="auto"/>
              </w:rPr>
            </w:pPr>
          </w:p>
        </w:tc>
        <w:tc>
          <w:tcPr>
            <w:tcW w:w="10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40" w:type="dxa"/>
            <w:vAlign w:val="bottom"/>
          </w:tcPr>
          <w:p>
            <w:pPr>
              <w:spacing w:after="0"/>
              <w:rPr>
                <w:sz w:val="16"/>
                <w:szCs w:val="16"/>
                <w:color w:val="auto"/>
              </w:rPr>
            </w:pPr>
          </w:p>
        </w:tc>
        <w:tc>
          <w:tcPr>
            <w:tcW w:w="100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2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00" w:type="dxa"/>
            <w:vAlign w:val="bottom"/>
            <w:tcBorders>
              <w:top w:val="single" w:sz="8" w:color="auto"/>
            </w:tcBorders>
            <w:gridSpan w:val="4"/>
          </w:tcPr>
          <w:p>
            <w:pPr>
              <w:spacing w:after="0" w:line="202" w:lineRule="exact"/>
              <w:rPr>
                <w:sz w:val="20"/>
                <w:szCs w:val="20"/>
                <w:color w:val="auto"/>
              </w:rPr>
            </w:pPr>
            <w:r>
              <w:rPr>
                <w:rFonts w:ascii="Arial" w:cs="Arial" w:eastAsia="Arial" w:hAnsi="Arial"/>
                <w:sz w:val="18"/>
                <w:szCs w:val="18"/>
                <w:color w:val="0000FF"/>
                <w:w w:val="92"/>
              </w:rPr>
              <w:t>Certification of Chief Executive Officer pursuant to Rule 13a-14(a) or Rule 15d-14(a) promulgated under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862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0000FF"/>
                <w:w w:val="93"/>
              </w:rPr>
              <w:t>Certification of Chief Financial Officer pursuant to Rule 13a-14(a) or Rule 15d-14(a) promulgated under the Securities Exchange Act of</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85"/>
              </w:rPr>
              <w:t>1934, as amended.</w:t>
            </w:r>
          </w:p>
        </w:tc>
        <w:tc>
          <w:tcPr>
            <w:tcW w:w="862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0000FF"/>
                <w:w w:val="92"/>
              </w:rPr>
              <w:t>Certifications of Chief Executive Officer and Chief Financial Officer, pursuant to 18 U.S.C. Section 1350, as adopted pursuant to Section</w:t>
            </w: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60" w:type="dxa"/>
            <w:vAlign w:val="bottom"/>
            <w:tcBorders>
              <w:top w:val="single" w:sz="8" w:color="0000FF"/>
            </w:tcBorders>
            <w:gridSpan w:val="3"/>
          </w:tcPr>
          <w:p>
            <w:pPr>
              <w:spacing w:after="0" w:line="196" w:lineRule="exact"/>
              <w:rPr>
                <w:sz w:val="20"/>
                <w:szCs w:val="20"/>
                <w:color w:val="auto"/>
              </w:rPr>
            </w:pPr>
            <w:r>
              <w:rPr>
                <w:rFonts w:ascii="Arial" w:cs="Arial" w:eastAsia="Arial" w:hAnsi="Arial"/>
                <w:sz w:val="18"/>
                <w:szCs w:val="18"/>
                <w:color w:val="0000FF"/>
              </w:rPr>
              <w:t>906 of the Sarbanes-Oxley Act of 2002.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286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XBRL Instance Document.</w:t>
            </w:r>
          </w:p>
        </w:tc>
        <w:tc>
          <w:tcPr>
            <w:tcW w:w="71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3"/>
                <w:szCs w:val="23"/>
                <w:color w:val="auto"/>
              </w:rPr>
            </w:pPr>
          </w:p>
        </w:tc>
        <w:tc>
          <w:tcPr>
            <w:tcW w:w="100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420" w:right="20" w:hanging="1182"/>
        <w:spacing w:after="0" w:line="250" w:lineRule="auto"/>
        <w:tabs>
          <w:tab w:leader="none" w:pos="1420" w:val="left"/>
        </w:tabs>
        <w:numPr>
          <w:ilvl w:val="0"/>
          <w:numId w:val="17"/>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ectPr>
          <w:pgSz w:w="11900" w:h="16838" w:orient="portrait"/>
          <w:cols w:equalWidth="0" w:num="1">
            <w:col w:w="11420"/>
          </w:cols>
          <w:pgMar w:left="240" w:top="179"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71" w:lineRule="exact"/>
        <w:rPr>
          <w:sz w:val="20"/>
          <w:szCs w:val="20"/>
          <w:color w:val="auto"/>
        </w:rPr>
      </w:pPr>
    </w:p>
    <w:p>
      <w:pPr>
        <w:ind w:left="1180" w:hanging="1145"/>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98" w:lineRule="exact"/>
        <w:rPr>
          <w:rFonts w:ascii="Arial" w:cs="Arial" w:eastAsia="Arial" w:hAnsi="Arial"/>
          <w:sz w:val="18"/>
          <w:szCs w:val="18"/>
          <w:color w:val="auto"/>
        </w:rPr>
      </w:pPr>
    </w:p>
    <w:p>
      <w:pPr>
        <w:jc w:val="both"/>
        <w:ind w:left="1180" w:right="20" w:hanging="1145"/>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180" w:right="40" w:hanging="1145"/>
        <w:spacing w:after="0" w:line="308"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1180" w:right="40" w:hanging="1145"/>
        <w:spacing w:after="0" w:line="264" w:lineRule="auto"/>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54" w:lineRule="exact"/>
        <w:rPr>
          <w:rFonts w:ascii="Arial" w:cs="Arial" w:eastAsia="Arial" w:hAnsi="Arial"/>
          <w:sz w:val="18"/>
          <w:szCs w:val="18"/>
          <w:color w:val="auto"/>
        </w:rPr>
      </w:pPr>
    </w:p>
    <w:p>
      <w:pPr>
        <w:jc w:val="both"/>
        <w:ind w:left="2340" w:right="40" w:hanging="576"/>
        <w:spacing w:after="0" w:line="312" w:lineRule="auto"/>
        <w:tabs>
          <w:tab w:leader="none" w:pos="23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40" w:right="560" w:hanging="576"/>
        <w:spacing w:after="0" w:line="312" w:lineRule="auto"/>
        <w:tabs>
          <w:tab w:leader="none" w:pos="23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5" w:lineRule="exact"/>
        <w:rPr>
          <w:rFonts w:ascii="Arial" w:cs="Arial" w:eastAsia="Arial" w:hAnsi="Arial"/>
          <w:sz w:val="16"/>
          <w:szCs w:val="16"/>
          <w:color w:val="auto"/>
        </w:rPr>
      </w:pPr>
    </w:p>
    <w:p>
      <w:pPr>
        <w:jc w:val="both"/>
        <w:ind w:left="2340" w:right="40" w:hanging="576"/>
        <w:spacing w:after="0" w:line="264" w:lineRule="auto"/>
        <w:tabs>
          <w:tab w:leader="none" w:pos="2340" w:val="left"/>
        </w:tabs>
        <w:numPr>
          <w:ilvl w:val="2"/>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340" w:right="40" w:hanging="576"/>
        <w:spacing w:after="0" w:line="312" w:lineRule="auto"/>
        <w:tabs>
          <w:tab w:leader="none" w:pos="2340" w:val="left"/>
        </w:tabs>
        <w:numPr>
          <w:ilvl w:val="2"/>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6"/>
          <w:szCs w:val="16"/>
          <w:color w:val="auto"/>
        </w:rPr>
      </w:pPr>
    </w:p>
    <w:p>
      <w:pPr>
        <w:ind w:left="1180" w:right="20" w:hanging="1145"/>
        <w:spacing w:after="0" w:line="342"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both"/>
        <w:ind w:left="2440" w:right="20" w:hanging="690"/>
        <w:spacing w:after="0" w:line="264" w:lineRule="auto"/>
        <w:tabs>
          <w:tab w:leader="none" w:pos="24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560" w:right="40" w:hanging="796"/>
        <w:spacing w:after="0" w:line="277" w:lineRule="auto"/>
        <w:tabs>
          <w:tab w:leader="none" w:pos="25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40"/>
        <w:spacing w:after="0"/>
        <w:tabs>
          <w:tab w:leader="none" w:pos="70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456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71" w:lineRule="exact"/>
        <w:rPr>
          <w:sz w:val="20"/>
          <w:szCs w:val="20"/>
          <w:color w:val="auto"/>
        </w:rPr>
      </w:pPr>
    </w:p>
    <w:p>
      <w:pPr>
        <w:ind w:left="1180" w:hanging="1145"/>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98" w:lineRule="exact"/>
        <w:rPr>
          <w:rFonts w:ascii="Arial" w:cs="Arial" w:eastAsia="Arial" w:hAnsi="Arial"/>
          <w:sz w:val="18"/>
          <w:szCs w:val="18"/>
          <w:color w:val="auto"/>
        </w:rPr>
      </w:pPr>
    </w:p>
    <w:p>
      <w:pPr>
        <w:jc w:val="both"/>
        <w:ind w:left="1180" w:right="20" w:hanging="1145"/>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180" w:right="40" w:hanging="1145"/>
        <w:spacing w:after="0" w:line="308" w:lineRule="auto"/>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1180" w:right="40" w:hanging="1145"/>
        <w:spacing w:after="0" w:line="264"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00" w:lineRule="exact"/>
        <w:rPr>
          <w:rFonts w:ascii="Arial" w:cs="Arial" w:eastAsia="Arial" w:hAnsi="Arial"/>
          <w:sz w:val="18"/>
          <w:szCs w:val="18"/>
          <w:color w:val="auto"/>
        </w:rPr>
      </w:pPr>
    </w:p>
    <w:p>
      <w:pPr>
        <w:spacing w:after="0" w:line="386" w:lineRule="exact"/>
        <w:rPr>
          <w:rFonts w:ascii="Arial" w:cs="Arial" w:eastAsia="Arial" w:hAnsi="Arial"/>
          <w:sz w:val="18"/>
          <w:szCs w:val="18"/>
          <w:color w:val="auto"/>
        </w:rPr>
      </w:pPr>
    </w:p>
    <w:p>
      <w:pPr>
        <w:jc w:val="both"/>
        <w:ind w:left="2320" w:right="20" w:hanging="570"/>
        <w:spacing w:after="0" w:line="312" w:lineRule="auto"/>
        <w:tabs>
          <w:tab w:leader="none" w:pos="2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left="2320" w:right="580" w:hanging="570"/>
        <w:spacing w:after="0" w:line="312" w:lineRule="auto"/>
        <w:tabs>
          <w:tab w:leader="none" w:pos="23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35" w:lineRule="exact"/>
        <w:rPr>
          <w:rFonts w:ascii="Arial" w:cs="Arial" w:eastAsia="Arial" w:hAnsi="Arial"/>
          <w:sz w:val="16"/>
          <w:szCs w:val="16"/>
          <w:color w:val="auto"/>
        </w:rPr>
      </w:pPr>
    </w:p>
    <w:p>
      <w:pPr>
        <w:jc w:val="both"/>
        <w:ind w:left="2320" w:right="20" w:hanging="570"/>
        <w:spacing w:after="0" w:line="264" w:lineRule="auto"/>
        <w:tabs>
          <w:tab w:leader="none" w:pos="2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2320" w:right="20" w:hanging="570"/>
        <w:spacing w:after="0" w:line="286" w:lineRule="auto"/>
        <w:tabs>
          <w:tab w:leader="none" w:pos="23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180" w:right="20" w:hanging="1145"/>
        <w:spacing w:after="0" w:line="342"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6" w:lineRule="exact"/>
        <w:rPr>
          <w:rFonts w:ascii="Arial" w:cs="Arial" w:eastAsia="Arial" w:hAnsi="Arial"/>
          <w:sz w:val="16"/>
          <w:szCs w:val="16"/>
          <w:color w:val="auto"/>
        </w:rPr>
      </w:pPr>
    </w:p>
    <w:p>
      <w:pPr>
        <w:jc w:val="both"/>
        <w:ind w:left="2440" w:right="20" w:hanging="690"/>
        <w:spacing w:after="0" w:line="264" w:lineRule="auto"/>
        <w:tabs>
          <w:tab w:leader="none" w:pos="24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2540" w:right="20" w:hanging="790"/>
        <w:spacing w:after="0" w:line="277" w:lineRule="auto"/>
        <w:tabs>
          <w:tab w:leader="none" w:pos="2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September 30, 2019, as filed with the Securities and Exchange Commission on the date hereof (the “Report”):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133" w:lineRule="exact"/>
        <w:rPr>
          <w:sz w:val="20"/>
          <w:szCs w:val="20"/>
          <w:color w:val="auto"/>
        </w:rPr>
      </w:pPr>
    </w:p>
    <w:p>
      <w:pPr>
        <w:ind w:left="40"/>
        <w:spacing w:after="0"/>
        <w:tabs>
          <w:tab w:leader="none" w:pos="940" w:val="left"/>
          <w:tab w:leader="none" w:pos="526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Jason Randall</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940" w:val="left"/>
          <w:tab w:leader="none" w:pos="5260" w:val="left"/>
          <w:tab w:leader="none" w:pos="58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Ida Kane</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4"/>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2020-01-09T04:56:14Z</dcterms:created>
  <dcterms:modified xsi:type="dcterms:W3CDTF">2020-01-09T04:56:14Z</dcterms:modified>
</cp:coreProperties>
</file>