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40"/>
        <w:jc w:val="center"/>
        <w:rPr/>
      </w:pPr>
      <w:r>
        <w:rPr>
          <w:color w:val="000000"/>
        </w:rPr>
        <w:t> </w:t>
      </w: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2024.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001-37468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bidi w:val="0"/>
        <w:spacing w:lineRule="auto" w:line="288" w:before="80" w:after="180"/>
        <w:jc w:val="center"/>
        <w:rPr/>
      </w:pPr>
      <w:r>
        <w:rPr>
          <w:color w:val="000000"/>
        </w:rPr>
        <w:t> </w:t>
      </w:r>
      <w:r>
        <w:rPr>
          <w:rFonts w:ascii="Times New Roman;sans-serif" w:hAnsi="Times New Roman;sans-serif"/>
          <w:b/>
          <w:color w:val="000000"/>
          <w:sz w:val="18"/>
        </w:rPr>
        <w:t xml:space="preserve">(805) 364-6093 </w:t>
      </w:r>
    </w:p>
    <w:p>
      <w:pPr>
        <w:pStyle w:val="TextBody"/>
        <w:bidi w:val="0"/>
        <w:spacing w:lineRule="auto" w:line="417" w:before="180" w:after="180"/>
        <w:jc w:val="center"/>
        <w:rPr>
          <w:rFonts w:ascii="Times New Roman;sans-serif" w:hAnsi="Times New Roman;sans-serif"/>
          <w:b/>
          <w:i/>
          <w:color w:val="000000"/>
          <w:sz w:val="18"/>
        </w:rPr>
      </w:pPr>
      <w:r>
        <w:rPr>
          <w:rFonts w:ascii="Times New Roman;sans-serif" w:hAnsi="Times New Roman;sans-serif"/>
          <w:b/>
          <w:i/>
          <w:color w:val="000000"/>
          <w:sz w:val="18"/>
        </w:rPr>
        <w:t>(Registrant’s telephone number, including area code)</w:t>
      </w:r>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180" w:after="180"/>
        <w:jc w:val="center"/>
        <w:rPr>
          <w:rFonts w:ascii="Times New Roman;sans-serif" w:hAnsi="Times New Roman;sans-serif"/>
          <w:b/>
          <w:i/>
          <w:color w:val="000000"/>
          <w:sz w:val="18"/>
        </w:rPr>
      </w:pPr>
      <w:r>
        <w:rPr>
          <w:rFonts w:ascii="Times New Roman;sans-serif" w:hAnsi="Times New Roman;sans-serif"/>
          <w:b/>
          <w:i/>
          <w:color w:val="000000"/>
          <w:sz w:val="18"/>
        </w:rPr>
        <w:t>(Former name, former address and former fiscal year, if changed since last report)</w:t>
      </w:r>
    </w:p>
    <w:p>
      <w:pPr>
        <w:pStyle w:val="TextBody"/>
        <w:bidi w:val="0"/>
        <w:spacing w:lineRule="auto" w:line="288" w:before="18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0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18, 2024, the number of shares of the registrant’s Class A common stock outstanding was 22,326,649 and the number of shares of the registrant’s Class B common stock outstanding was 13,886,648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8"/>
        <w:gridCol w:w="2872"/>
        <w:gridCol w:w="2885"/>
        <w:gridCol w:w="109"/>
        <w:gridCol w:w="109"/>
        <w:gridCol w:w="109"/>
        <w:gridCol w:w="249"/>
        <w:gridCol w:w="249"/>
        <w:gridCol w:w="35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0">
              <w:r>
                <w:rPr>
                  <w:rStyle w:val="InternetLink"/>
                  <w:rFonts w:ascii="Times New Roman;sans-serif" w:hAnsi="Times New Roman;sans-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726c2694bd94a0d9a8aa7552d8c21be_10">
              <w:r>
                <w:rPr>
                  <w:rStyle w:val="InternetLink"/>
                  <w:rFonts w:ascii="Times New Roman;sans-serif" w:hAnsi="Times New Roman;sans-serif"/>
                  <w:b w:val="false"/>
                  <w:color w:val="0000FF"/>
                  <w:sz w:val="20"/>
                  <w:u w:val="single"/>
                </w:rPr>
                <w:t>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3">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3">
              <w:r>
                <w:rPr>
                  <w:rStyle w:val="InternetLink"/>
                  <w:rFonts w:ascii="Times New Roman;sans-serif" w:hAnsi="Times New Roman;sans-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3">
              <w:r>
                <w:rPr>
                  <w:rStyle w:val="InternetLink"/>
                  <w:rFonts w:ascii="Times New Roman;sans-serif" w:hAnsi="Times New Roman;sans-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6">
              <w:r>
                <w:rPr>
                  <w:rStyle w:val="InternetLink"/>
                  <w:rFonts w:ascii="Times New Roman;sans-serif" w:hAnsi="Times New Roman;sans-serif"/>
                  <w:b w:val="false"/>
                  <w:color w:val="000080"/>
                  <w:sz w:val="20"/>
                  <w:u w:val="single"/>
                </w:rPr>
                <w:t xml:space="preserve">Condensed Consolidated Balance Sheets as of </w:t>
              </w:r>
            </w:hyperlink>
            <w:hyperlink w:anchor="ib726c2694bd94a0d9a8aa7552d8c21be_16">
              <w:r>
                <w:rPr>
                  <w:rStyle w:val="InternetLink"/>
                  <w:rFonts w:ascii="Times New Roman;sans-serif" w:hAnsi="Times New Roman;sans-serif"/>
                  <w:b w:val="false"/>
                  <w:color w:val="000080"/>
                  <w:sz w:val="20"/>
                  <w:u w:val="single"/>
                </w:rPr>
                <w:t>March 31</w:t>
              </w:r>
            </w:hyperlink>
            <w:hyperlink w:anchor="ib726c2694bd94a0d9a8aa7552d8c21be_16">
              <w:r>
                <w:rPr>
                  <w:rStyle w:val="InternetLink"/>
                  <w:rFonts w:ascii="Times New Roman;sans-serif" w:hAnsi="Times New Roman;sans-serif"/>
                  <w:b w:val="false"/>
                  <w:color w:val="000080"/>
                  <w:sz w:val="20"/>
                  <w:u w:val="single"/>
                </w:rPr>
                <w:t>, 202</w:t>
              </w:r>
            </w:hyperlink>
            <w:hyperlink w:anchor="ib726c2694bd94a0d9a8aa7552d8c21be_16">
              <w:r>
                <w:rPr>
                  <w:rStyle w:val="InternetLink"/>
                  <w:rFonts w:ascii="Times New Roman;sans-serif" w:hAnsi="Times New Roman;sans-serif"/>
                  <w:b w:val="false"/>
                  <w:color w:val="000080"/>
                  <w:sz w:val="20"/>
                  <w:u w:val="single"/>
                </w:rPr>
                <w:t>4</w:t>
              </w:r>
            </w:hyperlink>
            <w:hyperlink w:anchor="ib726c2694bd94a0d9a8aa7552d8c21be_16">
              <w:r>
                <w:rPr>
                  <w:rStyle w:val="InternetLink"/>
                  <w:rFonts w:ascii="Times New Roman;sans-serif" w:hAnsi="Times New Roman;sans-serif"/>
                  <w:b w:val="false"/>
                  <w:color w:val="000080"/>
                  <w:sz w:val="20"/>
                  <w:u w:val="single"/>
                </w:rPr>
                <w:t xml:space="preserve"> and December 31, 20</w:t>
              </w:r>
            </w:hyperlink>
            <w:hyperlink w:anchor="ib726c2694bd94a0d9a8aa7552d8c21be_16">
              <w:r>
                <w:rPr>
                  <w:rStyle w:val="InternetLink"/>
                  <w:rFonts w:ascii="Times New Roman;sans-serif" w:hAnsi="Times New Roman;sans-serif"/>
                  <w:b w:val="false"/>
                  <w:color w:val="000080"/>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6">
              <w:r>
                <w:rPr>
                  <w:rStyle w:val="InternetLink"/>
                  <w:rFonts w:ascii="Times New Roman;sans-serif" w:hAnsi="Times New Roman;sans-serif"/>
                  <w:b w:val="false"/>
                  <w:color w:val="0000FF"/>
                  <w:sz w:val="20"/>
                  <w:u w:val="single"/>
                </w:rPr>
                <w:t>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9">
              <w:r>
                <w:rPr>
                  <w:rStyle w:val="InternetLink"/>
                  <w:rFonts w:ascii="Times New Roman;sans-serif" w:hAnsi="Times New Roman;sans-serif"/>
                  <w:b w:val="false"/>
                  <w:color w:val="0000FF"/>
                  <w:sz w:val="20"/>
                  <w:u w:val="single"/>
                </w:rPr>
                <w:t>Condensed Consolidated Statements of Operations for the Three Months Ended March 31,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9">
              <w:r>
                <w:rPr>
                  <w:rStyle w:val="InternetLink"/>
                  <w:rFonts w:ascii="Times New Roman;sans-serif" w:hAnsi="Times New Roman;sans-serif"/>
                  <w:b w:val="false"/>
                  <w:color w:val="0000FF"/>
                  <w:sz w:val="20"/>
                  <w:u w:val="single"/>
                </w:rPr>
                <w:t>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22">
              <w:r>
                <w:rPr>
                  <w:rStyle w:val="InternetLink"/>
                  <w:rFonts w:ascii="Times New Roman;sans-serif" w:hAnsi="Times New Roman;sans-serif"/>
                  <w:b w:val="false"/>
                  <w:color w:val="000080"/>
                  <w:sz w:val="20"/>
                  <w:u w:val="single"/>
                </w:rPr>
                <w:t xml:space="preserve">Condensed Consolidated Statements of Comprehensive Income (Loss) for the </w:t>
              </w:r>
            </w:hyperlink>
            <w:hyperlink w:anchor="ib726c2694bd94a0d9a8aa7552d8c21be_19">
              <w:r>
                <w:rPr>
                  <w:rStyle w:val="InternetLink"/>
                  <w:rFonts w:ascii="Times New Roman;sans-serif" w:hAnsi="Times New Roman;sans-serif"/>
                  <w:b w:val="false"/>
                  <w:color w:val="000080"/>
                  <w:sz w:val="20"/>
                  <w:u w:val="single"/>
                </w:rPr>
                <w:t>Three Months Ended March 31,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22">
              <w:r>
                <w:rPr>
                  <w:rStyle w:val="InternetLink"/>
                  <w:rFonts w:ascii="Times New Roman;sans-serif" w:hAnsi="Times New Roman;sans-serif"/>
                  <w:b w:val="false"/>
                  <w:color w:val="0000FF"/>
                  <w:sz w:val="20"/>
                  <w:u w:val="single"/>
                </w:rPr>
                <w:t>5</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25">
              <w:r>
                <w:rPr>
                  <w:rStyle w:val="InternetLink"/>
                  <w:rFonts w:ascii="Times New Roman;sans-serif" w:hAnsi="Times New Roman;sans-serif"/>
                  <w:b w:val="false"/>
                  <w:color w:val="000080"/>
                  <w:sz w:val="20"/>
                  <w:u w:val="single"/>
                </w:rPr>
                <w:t xml:space="preserve">Condensed Consolidated Statements of Stockholders' Equity for the </w:t>
              </w:r>
            </w:hyperlink>
            <w:hyperlink w:anchor="ib726c2694bd94a0d9a8aa7552d8c21be_19">
              <w:r>
                <w:rPr>
                  <w:rStyle w:val="InternetLink"/>
                  <w:rFonts w:ascii="Times New Roman;sans-serif" w:hAnsi="Times New Roman;sans-serif"/>
                  <w:b w:val="false"/>
                  <w:color w:val="000080"/>
                  <w:sz w:val="20"/>
                  <w:u w:val="single"/>
                </w:rPr>
                <w:t>Three Months Ended March 31,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25">
              <w:r>
                <w:rPr>
                  <w:rStyle w:val="InternetLink"/>
                  <w:rFonts w:ascii="Times New Roman;sans-serif" w:hAnsi="Times New Roman;sans-serif"/>
                  <w:b w:val="false"/>
                  <w:color w:val="0000FF"/>
                  <w:sz w:val="20"/>
                  <w:u w:val="single"/>
                </w:rPr>
                <w:t>6</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28">
              <w:r>
                <w:rPr>
                  <w:rStyle w:val="InternetLink"/>
                  <w:rFonts w:ascii="Times New Roman;sans-serif" w:hAnsi="Times New Roman;sans-serif"/>
                  <w:b w:val="false"/>
                  <w:color w:val="000080"/>
                  <w:sz w:val="20"/>
                  <w:u w:val="single"/>
                </w:rPr>
                <w:t xml:space="preserve">Condensed Consolidated Statements of Cash Flows for the </w:t>
              </w:r>
            </w:hyperlink>
            <w:hyperlink w:anchor="ib726c2694bd94a0d9a8aa7552d8c21be_19">
              <w:r>
                <w:rPr>
                  <w:rStyle w:val="InternetLink"/>
                  <w:rFonts w:ascii="Times New Roman;sans-serif" w:hAnsi="Times New Roman;sans-serif"/>
                  <w:b w:val="false"/>
                  <w:color w:val="000080"/>
                  <w:sz w:val="20"/>
                  <w:u w:val="single"/>
                </w:rPr>
                <w:t>Three Months Ended March 31,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28">
              <w:r>
                <w:rPr>
                  <w:rStyle w:val="InternetLink"/>
                  <w:rFonts w:ascii="Times New Roman;sans-serif" w:hAnsi="Times New Roman;sans-serif"/>
                  <w:b w:val="false"/>
                  <w:color w:val="0000FF"/>
                  <w:sz w:val="20"/>
                  <w:u w:val="single"/>
                </w:rPr>
                <w:t>7</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31">
              <w:r>
                <w:rPr>
                  <w:rStyle w:val="InternetLink"/>
                  <w:rFonts w:ascii="Times New Roman;sans-serif" w:hAnsi="Times New Roman;sans-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31">
              <w:r>
                <w:rPr>
                  <w:rStyle w:val="InternetLink"/>
                  <w:rFonts w:ascii="Times New Roman;sans-serif" w:hAnsi="Times New Roman;sans-serif"/>
                  <w:b w:val="false"/>
                  <w:color w:val="0000FF"/>
                  <w:sz w:val="20"/>
                  <w:u w:val="single"/>
                </w:rPr>
                <w:t>8</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76">
              <w:r>
                <w:rPr>
                  <w:rStyle w:val="InternetLink"/>
                  <w:rFonts w:ascii="Times New Roman;sans-serif" w:hAnsi="Times New Roman;sans-serif"/>
                  <w:b w:val="false"/>
                  <w:color w:val="0000FF"/>
                  <w:sz w:val="20"/>
                  <w:u w:val="single"/>
                </w:rPr>
                <w:t>16</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94">
              <w:r>
                <w:rPr>
                  <w:rStyle w:val="InternetLink"/>
                  <w:rFonts w:ascii="Times New Roman;sans-serif" w:hAnsi="Times New Roman;sans-serif"/>
                  <w:b w:val="false"/>
                  <w:color w:val="000080"/>
                  <w:sz w:val="20"/>
                  <w:u w:val="single"/>
                </w:rPr>
                <w:t xml:space="preserve">Item 3. </w:t>
              </w:r>
            </w:hyperlink>
            <w:hyperlink w:anchor="ib726c2694bd94a0d9a8aa7552d8c21be_94">
              <w:r>
                <w:rPr>
                  <w:rStyle w:val="InternetLink"/>
                  <w:rFonts w:ascii="Times New Roman;sans-serif" w:hAnsi="Times New Roman;sans-serif"/>
                  <w:b w:val="false"/>
                  <w:color w:val="000080"/>
                  <w:sz w:val="20"/>
                  <w:u w:val="single"/>
                </w:rPr>
                <w:t>Q</w:t>
              </w:r>
            </w:hyperlink>
            <w:hyperlink w:anchor="ib726c2694bd94a0d9a8aa7552d8c21be_94">
              <w:r>
                <w:rPr>
                  <w:rStyle w:val="InternetLink"/>
                  <w:rFonts w:ascii="Times New Roman;sans-serif" w:hAnsi="Times New Roman;sans-serif"/>
                  <w:b w:val="false"/>
                  <w:color w:val="000080"/>
                  <w:sz w:val="20"/>
                  <w:u w:val="single"/>
                </w:rPr>
                <w:t xml:space="preserve">uantitative and </w:t>
              </w:r>
            </w:hyperlink>
            <w:hyperlink w:anchor="ib726c2694bd94a0d9a8aa7552d8c21be_94">
              <w:r>
                <w:rPr>
                  <w:rStyle w:val="InternetLink"/>
                  <w:rFonts w:ascii="Times New Roman;sans-serif" w:hAnsi="Times New Roman;sans-serif"/>
                  <w:b w:val="false"/>
                  <w:color w:val="000080"/>
                  <w:sz w:val="20"/>
                  <w:u w:val="single"/>
                </w:rPr>
                <w:t xml:space="preserve">Qualitative </w:t>
              </w:r>
            </w:hyperlink>
            <w:hyperlink w:anchor="ib726c2694bd94a0d9a8aa7552d8c21be_94">
              <w:r>
                <w:rPr>
                  <w:rStyle w:val="InternetLink"/>
                  <w:rFonts w:ascii="Times New Roman;sans-serif" w:hAnsi="Times New Roman;sans-serif"/>
                  <w:b w:val="false"/>
                  <w:color w:val="000080"/>
                  <w:sz w:val="20"/>
                  <w:u w:val="single"/>
                </w:rPr>
                <w:t>Disclosure</w:t>
              </w:r>
            </w:hyperlink>
            <w:hyperlink w:anchor="ib726c2694bd94a0d9a8aa7552d8c21be_94">
              <w:r>
                <w:rPr>
                  <w:rStyle w:val="InternetLink"/>
                  <w:rFonts w:ascii="Times New Roman;sans-serif" w:hAnsi="Times New Roman;sans-serif"/>
                  <w:b w:val="false"/>
                  <w:color w:val="000080"/>
                  <w:sz w:val="20"/>
                  <w:u w:val="single"/>
                </w:rPr>
                <w:t>s</w:t>
              </w:r>
            </w:hyperlink>
            <w:hyperlink w:anchor="ib726c2694bd94a0d9a8aa7552d8c21be_94">
              <w:r>
                <w:rPr>
                  <w:rStyle w:val="InternetLink"/>
                  <w:rFonts w:ascii="Times New Roman;sans-serif" w:hAnsi="Times New Roman;sans-serif"/>
                  <w:b w:val="false"/>
                  <w:color w:val="000080"/>
                  <w:sz w:val="20"/>
                  <w:u w:val="single"/>
                </w:rPr>
                <w:t xml:space="preserv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94">
              <w:r>
                <w:rPr>
                  <w:rStyle w:val="InternetLink"/>
                  <w:rFonts w:ascii="Times New Roman;sans-serif" w:hAnsi="Times New Roman;sans-serif"/>
                  <w:b w:val="false"/>
                  <w:color w:val="0000FF"/>
                  <w:sz w:val="20"/>
                  <w:u w:val="single"/>
                </w:rPr>
                <w:t>22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97">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97">
              <w:r>
                <w:rPr>
                  <w:rStyle w:val="InternetLink"/>
                  <w:rFonts w:ascii="Times New Roman;sans-serif" w:hAnsi="Times New Roman;sans-serif"/>
                  <w:b w:val="false"/>
                  <w:color w:val="0000FF"/>
                  <w:sz w:val="20"/>
                  <w:u w:val="single"/>
                </w:rPr>
                <w:t>22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00">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00">
              <w:r>
                <w:rPr>
                  <w:rStyle w:val="InternetLink"/>
                  <w:rFonts w:ascii="Times New Roman;sans-serif" w:hAnsi="Times New Roman;sans-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03">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03">
              <w:r>
                <w:rPr>
                  <w:rStyle w:val="InternetLink"/>
                  <w:rFonts w:ascii="Times New Roman;sans-serif" w:hAnsi="Times New Roman;sans-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06">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06">
              <w:r>
                <w:rPr>
                  <w:rStyle w:val="InternetLink"/>
                  <w:rFonts w:ascii="Times New Roman;sans-serif" w:hAnsi="Times New Roman;sans-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f83ef68944480b05360c05f9ff277_681">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06">
              <w:r>
                <w:rPr>
                  <w:rStyle w:val="InternetLink"/>
                  <w:rFonts w:ascii="Times New Roman;sans-serif" w:hAnsi="Times New Roman;sans-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15">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6c2694bd94a0d9a8aa7552d8c21be_115">
              <w:r>
                <w:rPr>
                  <w:rStyle w:val="InternetLink"/>
                  <w:rFonts w:ascii="Times New Roman;sans-serif" w:hAnsi="Times New Roman;sans-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6c2694bd94a0d9a8aa7552d8c21be_118">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Quarterly Report on Form 10-Q for the fiscal quarter ended March 31, 2024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PLSRA and are based primarily on our current expectations and projections about future events and trends that we believe may affect our business, financial condition, operating results, cash flows and/or prospects. </w:t>
      </w:r>
      <w:r>
        <w:rPr>
          <w:rFonts w:ascii="Times New Roman;sans-serif" w:hAnsi="Times New Roman;sans-serif"/>
          <w:b w:val="false"/>
          <w:color w:val="1E2430"/>
          <w:sz w:val="20"/>
          <w:shd w:fill="FFFFFF" w:val="clear"/>
        </w:rPr>
        <w:t xml:space="preserve">Forward-looking statements include all statements that are not statements of historical fact. </w:t>
      </w:r>
      <w:r>
        <w:rPr>
          <w:rFonts w:ascii="Times New Roman;sans-serif" w:hAnsi="Times New Roman;sans-serif"/>
          <w:b w:val="false"/>
          <w:color w:val="000000"/>
          <w:sz w:val="20"/>
        </w:rPr>
        <w:t>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2023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98"/>
        <w:gridCol w:w="1137"/>
        <w:gridCol w:w="1149"/>
        <w:gridCol w:w="109"/>
        <w:gridCol w:w="109"/>
        <w:gridCol w:w="109"/>
        <w:gridCol w:w="196"/>
        <w:gridCol w:w="736"/>
        <w:gridCol w:w="109"/>
        <w:gridCol w:w="109"/>
        <w:gridCol w:w="109"/>
        <w:gridCol w:w="109"/>
        <w:gridCol w:w="214"/>
        <w:gridCol w:w="803"/>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9177" w:type="dxa"/>
        <w:jc w:val="left"/>
        <w:tblInd w:w="0" w:type="dxa"/>
        <w:tblLayout w:type="fixed"/>
        <w:tblCellMar>
          <w:top w:w="28" w:type="dxa"/>
          <w:left w:w="28" w:type="dxa"/>
          <w:bottom w:w="28" w:type="dxa"/>
          <w:right w:w="28" w:type="dxa"/>
        </w:tblCellMar>
      </w:tblPr>
      <w:tblGrid>
        <w:gridCol w:w="1877"/>
        <w:gridCol w:w="1659"/>
        <w:gridCol w:w="1669"/>
        <w:gridCol w:w="211"/>
        <w:gridCol w:w="826"/>
        <w:gridCol w:w="109"/>
        <w:gridCol w:w="109"/>
        <w:gridCol w:w="109"/>
        <w:gridCol w:w="109"/>
        <w:gridCol w:w="211"/>
        <w:gridCol w:w="826"/>
        <w:gridCol w:w="109"/>
        <w:gridCol w:w="109"/>
        <w:gridCol w:w="109"/>
        <w:gridCol w:w="109"/>
        <w:gridCol w:w="109"/>
        <w:gridCol w:w="109"/>
        <w:gridCol w:w="109"/>
        <w:gridCol w:w="109"/>
        <w:gridCol w:w="109"/>
        <w:gridCol w:w="109"/>
        <w:gridCol w:w="109"/>
        <w:gridCol w:w="109"/>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9324" w:type="dxa"/>
        <w:jc w:val="left"/>
        <w:tblInd w:w="0" w:type="dxa"/>
        <w:tblLayout w:type="fixed"/>
        <w:tblCellMar>
          <w:top w:w="28" w:type="dxa"/>
          <w:left w:w="28" w:type="dxa"/>
          <w:bottom w:w="28" w:type="dxa"/>
          <w:right w:w="28" w:type="dxa"/>
        </w:tblCellMar>
      </w:tblPr>
      <w:tblGrid>
        <w:gridCol w:w="2332"/>
        <w:gridCol w:w="2046"/>
        <w:gridCol w:w="2056"/>
        <w:gridCol w:w="211"/>
        <w:gridCol w:w="721"/>
        <w:gridCol w:w="109"/>
        <w:gridCol w:w="109"/>
        <w:gridCol w:w="109"/>
        <w:gridCol w:w="109"/>
        <w:gridCol w:w="211"/>
        <w:gridCol w:w="721"/>
        <w:gridCol w:w="109"/>
        <w:gridCol w:w="109"/>
        <w:gridCol w:w="109"/>
        <w:gridCol w:w="109"/>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9130" w:type="dxa"/>
        <w:jc w:val="center"/>
        <w:tblInd w:w="0" w:type="dxa"/>
        <w:tblLayout w:type="fixed"/>
        <w:tblCellMar>
          <w:top w:w="28" w:type="dxa"/>
          <w:left w:w="28" w:type="dxa"/>
          <w:bottom w:w="28" w:type="dxa"/>
          <w:right w:w="28" w:type="dxa"/>
        </w:tblCellMar>
      </w:tblPr>
      <w:tblGrid>
        <w:gridCol w:w="2233"/>
        <w:gridCol w:w="1958"/>
        <w:gridCol w:w="1974"/>
        <w:gridCol w:w="211"/>
        <w:gridCol w:w="721"/>
        <w:gridCol w:w="109"/>
        <w:gridCol w:w="109"/>
        <w:gridCol w:w="109"/>
        <w:gridCol w:w="109"/>
        <w:gridCol w:w="211"/>
        <w:gridCol w:w="796"/>
        <w:gridCol w:w="109"/>
        <w:gridCol w:w="109"/>
        <w:gridCol w:w="109"/>
        <w:gridCol w:w="109"/>
        <w:gridCol w:w="154"/>
      </w:tblGrid>
      <w:tr>
        <w:trPr/>
        <w:tc>
          <w:tcPr>
            <w:tcW w:w="223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(losses) gains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21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0"/>
        <w:gridCol w:w="715"/>
        <w:gridCol w:w="181"/>
        <w:gridCol w:w="109"/>
        <w:gridCol w:w="109"/>
        <w:gridCol w:w="109"/>
        <w:gridCol w:w="196"/>
        <w:gridCol w:w="66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tbl>
      <w:tblPr>
        <w:tblW w:w="1267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64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068"/>
        <w:gridCol w:w="1678"/>
        <w:gridCol w:w="1692"/>
        <w:gridCol w:w="361"/>
        <w:gridCol w:w="1193"/>
        <w:gridCol w:w="201"/>
        <w:gridCol w:w="201"/>
        <w:gridCol w:w="201"/>
        <w:gridCol w:w="201"/>
        <w:gridCol w:w="361"/>
        <w:gridCol w:w="1360"/>
        <w:gridCol w:w="201"/>
        <w:gridCol w:w="109"/>
        <w:gridCol w:w="109"/>
        <w:gridCol w:w="109"/>
        <w:gridCol w:w="160"/>
      </w:tblGrid>
      <w:tr>
        <w:trPr/>
        <w:tc>
          <w:tcPr>
            <w:tcW w:w="20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(57,162)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net of cash divested</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consolidated statements of cash flows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included in operating cash flows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ans-serif" w:hAnsi="Times New Roman;sans-serif"/>
          <w:b/>
          <w:color w:val="000000"/>
          <w:sz w:val="20"/>
        </w:rPr>
        <w:t>1. Nature of Business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2. Summary of Significant Accounting Policies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Significant Accounting Policies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1, 2024.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2024 are not necessarily indicative of the results expected for the full year ending December 31, 2024.</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Condensed Consolidated Statements of Cash Flows within the cash flows from operating activities section in the prior year to conform to the current year's presentation.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per Common Share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tbl>
      <w:tblPr>
        <w:tblW w:w="9108" w:type="dxa"/>
        <w:jc w:val="center"/>
        <w:tblInd w:w="0" w:type="dxa"/>
        <w:tblLayout w:type="fixed"/>
        <w:tblCellMar>
          <w:top w:w="28" w:type="dxa"/>
          <w:left w:w="28" w:type="dxa"/>
          <w:bottom w:w="28" w:type="dxa"/>
          <w:right w:w="28" w:type="dxa"/>
        </w:tblCellMar>
      </w:tblPr>
      <w:tblGrid>
        <w:gridCol w:w="2142"/>
        <w:gridCol w:w="1883"/>
        <w:gridCol w:w="1900"/>
        <w:gridCol w:w="211"/>
        <w:gridCol w:w="721"/>
        <w:gridCol w:w="109"/>
        <w:gridCol w:w="109"/>
        <w:gridCol w:w="109"/>
        <w:gridCol w:w="109"/>
        <w:gridCol w:w="211"/>
        <w:gridCol w:w="796"/>
        <w:gridCol w:w="109"/>
        <w:gridCol w:w="109"/>
        <w:gridCol w:w="109"/>
        <w:gridCol w:w="109"/>
        <w:gridCol w:w="109"/>
        <w:gridCol w:w="109"/>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Basic net income (loss)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earnings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basic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Diluted 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RSUs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that are not included in the calculation of diluted net income (loss) per share because doing so would be antidilutive are as follows (in thousands):</w:t>
      </w:r>
    </w:p>
    <w:tbl>
      <w:tblPr>
        <w:tblW w:w="5528" w:type="dxa"/>
        <w:jc w:val="left"/>
        <w:tblInd w:w="0" w:type="dxa"/>
        <w:tblLayout w:type="fixed"/>
        <w:tblCellMar>
          <w:top w:w="28" w:type="dxa"/>
          <w:left w:w="28" w:type="dxa"/>
          <w:bottom w:w="28" w:type="dxa"/>
          <w:right w:w="28" w:type="dxa"/>
        </w:tblCellMar>
      </w:tblPr>
      <w:tblGrid>
        <w:gridCol w:w="1112"/>
        <w:gridCol w:w="978"/>
        <w:gridCol w:w="985"/>
        <w:gridCol w:w="233"/>
        <w:gridCol w:w="233"/>
        <w:gridCol w:w="178"/>
        <w:gridCol w:w="178"/>
        <w:gridCol w:w="178"/>
        <w:gridCol w:w="178"/>
        <w:gridCol w:w="308"/>
        <w:gridCol w:w="308"/>
        <w:gridCol w:w="178"/>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potentially dilutive securities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3. Investment Securities and Fair Value Measurements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March 31, 2024 and December 31, 2023 (in thousands):</w:t>
      </w:r>
    </w:p>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91"/>
        <w:gridCol w:w="842"/>
        <w:gridCol w:w="256"/>
        <w:gridCol w:w="109"/>
        <w:gridCol w:w="109"/>
        <w:gridCol w:w="109"/>
        <w:gridCol w:w="488"/>
        <w:gridCol w:w="870"/>
        <w:gridCol w:w="254"/>
        <w:gridCol w:w="109"/>
        <w:gridCol w:w="109"/>
        <w:gridCol w:w="109"/>
        <w:gridCol w:w="278"/>
        <w:gridCol w:w="1091"/>
        <w:gridCol w:w="211"/>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25"/>
        <w:gridCol w:w="943"/>
        <w:gridCol w:w="222"/>
        <w:gridCol w:w="109"/>
        <w:gridCol w:w="109"/>
        <w:gridCol w:w="109"/>
        <w:gridCol w:w="488"/>
        <w:gridCol w:w="870"/>
        <w:gridCol w:w="254"/>
        <w:gridCol w:w="109"/>
        <w:gridCol w:w="109"/>
        <w:gridCol w:w="109"/>
        <w:gridCol w:w="278"/>
        <w:gridCol w:w="1091"/>
        <w:gridCol w:w="210"/>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March 31, 2024 or December 31, 2023.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85"/>
        <w:gridCol w:w="1132"/>
        <w:gridCol w:w="1102"/>
        <w:gridCol w:w="227"/>
        <w:gridCol w:w="890"/>
        <w:gridCol w:w="117"/>
        <w:gridCol w:w="109"/>
        <w:gridCol w:w="109"/>
        <w:gridCol w:w="109"/>
        <w:gridCol w:w="292"/>
        <w:gridCol w:w="1149"/>
        <w:gridCol w:w="151"/>
        <w:gridCol w:w="109"/>
        <w:gridCol w:w="109"/>
        <w:gridCol w:w="109"/>
        <w:gridCol w:w="227"/>
        <w:gridCol w:w="890"/>
        <w:gridCol w:w="117"/>
        <w:gridCol w:w="109"/>
        <w:gridCol w:w="109"/>
        <w:gridCol w:w="109"/>
        <w:gridCol w:w="290"/>
        <w:gridCol w:w="1137"/>
        <w:gridCol w:w="218"/>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184,377 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59"/>
        <w:gridCol w:w="843"/>
        <w:gridCol w:w="845"/>
        <w:gridCol w:w="403"/>
        <w:gridCol w:w="777"/>
        <w:gridCol w:w="208"/>
        <w:gridCol w:w="109"/>
        <w:gridCol w:w="109"/>
        <w:gridCol w:w="109"/>
        <w:gridCol w:w="410"/>
        <w:gridCol w:w="790"/>
        <w:gridCol w:w="211"/>
        <w:gridCol w:w="109"/>
        <w:gridCol w:w="109"/>
        <w:gridCol w:w="109"/>
        <w:gridCol w:w="493"/>
        <w:gridCol w:w="948"/>
        <w:gridCol w:w="257"/>
        <w:gridCol w:w="109"/>
        <w:gridCol w:w="109"/>
        <w:gridCol w:w="109"/>
        <w:gridCol w:w="403"/>
        <w:gridCol w:w="1377"/>
        <w:gridCol w:w="300"/>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36,670 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4"/>
        <w:gridCol w:w="714"/>
        <w:gridCol w:w="718"/>
        <w:gridCol w:w="456"/>
        <w:gridCol w:w="553"/>
        <w:gridCol w:w="236"/>
        <w:gridCol w:w="109"/>
        <w:gridCol w:w="109"/>
        <w:gridCol w:w="109"/>
        <w:gridCol w:w="367"/>
        <w:gridCol w:w="708"/>
        <w:gridCol w:w="189"/>
        <w:gridCol w:w="109"/>
        <w:gridCol w:w="109"/>
        <w:gridCol w:w="109"/>
        <w:gridCol w:w="349"/>
        <w:gridCol w:w="1021"/>
        <w:gridCol w:w="180"/>
        <w:gridCol w:w="109"/>
        <w:gridCol w:w="109"/>
        <w:gridCol w:w="109"/>
        <w:gridCol w:w="368"/>
        <w:gridCol w:w="1259"/>
        <w:gridCol w:w="189"/>
        <w:gridCol w:w="109"/>
        <w:gridCol w:w="109"/>
        <w:gridCol w:w="109"/>
        <w:gridCol w:w="109"/>
        <w:gridCol w:w="109"/>
        <w:gridCol w:w="109"/>
        <w:gridCol w:w="109"/>
        <w:gridCol w:w="109"/>
        <w:gridCol w:w="161"/>
      </w:tblGrid>
      <w:tr>
        <w:trPr/>
        <w:tc>
          <w:tcPr>
            <w:tcW w:w="88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6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March 31, 2024 and December 31, 2023 by level within the fair value hierarchy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7684" w:type="dxa"/>
        <w:jc w:val="left"/>
        <w:tblInd w:w="0" w:type="dxa"/>
        <w:tblLayout w:type="fixed"/>
        <w:tblCellMar>
          <w:top w:w="28" w:type="dxa"/>
          <w:left w:w="28" w:type="dxa"/>
          <w:bottom w:w="28" w:type="dxa"/>
          <w:right w:w="28" w:type="dxa"/>
        </w:tblCellMar>
      </w:tblPr>
      <w:tblGrid>
        <w:gridCol w:w="1243"/>
        <w:gridCol w:w="1092"/>
        <w:gridCol w:w="1099"/>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4. Capitalized Software Development Costs, net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as follows (in thousands): </w:t>
      </w:r>
    </w:p>
    <w:tbl>
      <w:tblPr>
        <w:tblW w:w="6846"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$1.2 million and $1.0 million for the three months ended March 31, 2024 and 2023, respectively. Amortization expense with respect to capitalized software development costs totaled $3.7 million and $5.9 million for the three months ended March 31, 2024 and 2023, respectively. During the three months ended March 31, 2024 and 2023, we disposed of $1.9 million and $2.2 million, respectively, of fully amortized capitalized software development costs.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amortization expense with respect to capitalized software development costs as of March 31, 2024 is estimated as follows (in thousands):</w:t>
      </w:r>
    </w:p>
    <w:tbl>
      <w:tblPr>
        <w:tblW w:w="4524" w:type="dxa"/>
        <w:jc w:val="left"/>
        <w:tblInd w:w="0" w:type="dxa"/>
        <w:tblLayout w:type="fixed"/>
        <w:tblCellMar>
          <w:top w:w="28" w:type="dxa"/>
          <w:left w:w="28" w:type="dxa"/>
          <w:bottom w:w="28" w:type="dxa"/>
          <w:right w:w="28" w:type="dxa"/>
        </w:tblCellMar>
      </w:tblPr>
      <w:tblGrid>
        <w:gridCol w:w="933"/>
        <w:gridCol w:w="819"/>
        <w:gridCol w:w="828"/>
        <w:gridCol w:w="150"/>
        <w:gridCol w:w="150"/>
        <w:gridCol w:w="150"/>
        <w:gridCol w:w="290"/>
        <w:gridCol w:w="992"/>
        <w:gridCol w:w="212"/>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5. Accrued Employee Expenses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7303" w:type="dxa"/>
        <w:jc w:val="left"/>
        <w:tblInd w:w="0" w:type="dxa"/>
        <w:tblLayout w:type="fixed"/>
        <w:tblCellMar>
          <w:top w:w="28" w:type="dxa"/>
          <w:left w:w="28" w:type="dxa"/>
          <w:bottom w:w="28" w:type="dxa"/>
          <w:right w:w="28" w:type="dxa"/>
        </w:tblCellMar>
      </w:tblPr>
      <w:tblGrid>
        <w:gridCol w:w="1617"/>
        <w:gridCol w:w="1423"/>
        <w:gridCol w:w="1429"/>
        <w:gridCol w:w="109"/>
        <w:gridCol w:w="109"/>
        <w:gridCol w:w="109"/>
        <w:gridCol w:w="211"/>
        <w:gridCol w:w="721"/>
        <w:gridCol w:w="109"/>
        <w:gridCol w:w="109"/>
        <w:gridCol w:w="109"/>
        <w:gridCol w:w="109"/>
        <w:gridCol w:w="221"/>
        <w:gridCol w:w="757"/>
        <w:gridCol w:w="161"/>
      </w:tblGrid>
      <w:tr>
        <w:trPr/>
        <w:tc>
          <w:tcPr>
            <w:tcW w:w="16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severance and related personnel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2023, we expensed $14.9 million of severance related to separation costs associated with our former Chief Executive Officer's Transition and Separation Agreement, dated March 1, 2023 ("Separation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6. Other Current Liabilities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consisted of the following (in thousands): </w:t>
      </w:r>
    </w:p>
    <w:tbl>
      <w:tblPr>
        <w:tblW w:w="5669" w:type="dxa"/>
        <w:jc w:val="left"/>
        <w:tblInd w:w="0" w:type="dxa"/>
        <w:tblLayout w:type="fixed"/>
        <w:tblCellMar>
          <w:top w:w="28" w:type="dxa"/>
          <w:left w:w="28" w:type="dxa"/>
          <w:bottom w:w="28" w:type="dxa"/>
          <w:right w:w="28" w:type="dxa"/>
        </w:tblCellMar>
      </w:tblPr>
      <w:tblGrid>
        <w:gridCol w:w="1026"/>
        <w:gridCol w:w="903"/>
        <w:gridCol w:w="906"/>
        <w:gridCol w:w="109"/>
        <w:gridCol w:w="109"/>
        <w:gridCol w:w="109"/>
        <w:gridCol w:w="211"/>
        <w:gridCol w:w="721"/>
        <w:gridCol w:w="109"/>
        <w:gridCol w:w="109"/>
        <w:gridCol w:w="109"/>
        <w:gridCol w:w="109"/>
        <w:gridCol w:w="221"/>
        <w:gridCol w:w="757"/>
        <w:gridCol w:w="161"/>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pPr>
      <w:r>
        <w:rPr>
          <w:rFonts w:ascii="Times New Roman;sans-serif" w:hAnsi="Times New Roman;sans-serif"/>
          <w:b w:val="false"/>
          <w:color w:val="000000"/>
          <w:sz w:val="20"/>
        </w:rPr>
        <w:t xml:space="preserve">For additional information, refer to Note 8,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four months to nine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 </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Condensed Consolidated Statements of Operations were as follows (in thousands):</w:t>
      </w:r>
    </w:p>
    <w:tbl>
      <w:tblPr>
        <w:tblW w:w="4435"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60" w:after="283"/>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Lease-related assets and liabilities were as follows (in thousands):</w:t>
      </w:r>
    </w:p>
    <w:tbl>
      <w:tblPr>
        <w:tblW w:w="5387" w:type="dxa"/>
        <w:jc w:val="center"/>
        <w:tblInd w:w="0" w:type="dxa"/>
        <w:tblLayout w:type="fixed"/>
        <w:tblCellMar>
          <w:top w:w="28" w:type="dxa"/>
          <w:left w:w="28" w:type="dxa"/>
          <w:bottom w:w="28" w:type="dxa"/>
          <w:right w:w="28" w:type="dxa"/>
        </w:tblCellMar>
      </w:tblPr>
      <w:tblGrid>
        <w:gridCol w:w="1040"/>
        <w:gridCol w:w="916"/>
        <w:gridCol w:w="924"/>
        <w:gridCol w:w="211"/>
        <w:gridCol w:w="721"/>
        <w:gridCol w:w="109"/>
        <w:gridCol w:w="109"/>
        <w:gridCol w:w="109"/>
        <w:gridCol w:w="109"/>
        <w:gridCol w:w="221"/>
        <w:gridCol w:w="757"/>
        <w:gridCol w:w="161"/>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an amendment to the lease agreement for our San Diego facility. We remeasured the lease liability and recorded a reduction to the lease liability and right-of-use asset using the discount rate at the modification date, which resulted in a gain of $2.4 million in the Condensed Consolidated Statements of Operations.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2024 were as follows (in thousands):</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8. Commitments and Contingencies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Liability to Landlord Insurance</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w:t>
      </w:r>
      <w:r>
        <w:rPr>
          <w:rFonts w:ascii="Times New Roman;sans-serif" w:hAnsi="Times New Roman;sans-serif"/>
          <w:b w:val="false"/>
          <w:color w:val="000000"/>
          <w:sz w:val="20"/>
          <w:shd w:fill="FFFFFF" w:val="clear"/>
        </w:rPr>
        <w:t xml:space="preserve">stimated liability for reported claims and incurred but not reported claims as of March 31, 2024 and December 31, 2023 was </w:t>
      </w:r>
      <w:r>
        <w:rPr>
          <w:rFonts w:ascii="Times New Roman;sans-serif" w:hAnsi="Times New Roman;sans-serif"/>
          <w:b w:val="false"/>
          <w:color w:val="000000"/>
          <w:sz w:val="20"/>
        </w:rPr>
        <w:t xml:space="preserve">$3.3 million and $4.2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March 31, 2024 and December 31, 2023 are $3.0 million and $5.1 million, respectively, of deposits held with a third party related to requirements to maintain collateral for this insurance service.</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68" w:before="6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a lawsuit was filed in the First Judicial District Court of New Mexico, Murphy, et al. v. AppFolio, Inc., et al. (No. D-101-CV-2022-02100), naming us as a defendant and alleging certain violations of the New Mexico Unfair Practices Act and negligent misrepresentation in connection with our tenant screening service (the “Murphy Litigation”). In late November 2023, the parties agreed to settle the Murphy Litigation. We did not admit any wrongdoing in connection with the settlement of the Murphy Litigation. The settlement agreement required us to pay $7.0 million, which was covered in full under our existing insurance policies. In April, 2024, the parties filed a stipulation of settlement with the court dismissing all claims against AppFolio with prejudice.</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the settlement was paid in March 2024, there is no remaining liability or receivable as of March 31,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6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 </w:t>
      </w:r>
    </w:p>
    <w:p>
      <w:pPr>
        <w:pStyle w:val="TextBody"/>
        <w:bidi w:val="0"/>
        <w:spacing w:before="0" w:after="0"/>
        <w:ind w:left="0" w:right="0" w:firstLine="720"/>
        <w:jc w:val="left"/>
        <w:rPr/>
      </w:pPr>
      <w:r>
        <w:rPr/>
      </w:r>
    </w:p>
    <w:p>
      <w:pPr>
        <w:pStyle w:val="TextBody"/>
        <w:bidi w:val="0"/>
        <w:spacing w:lineRule="auto" w:line="276"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9. Stock-Based Compensation</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three months ended March 31, 2024, is as follows (number of shares in thousands):</w:t>
      </w:r>
    </w:p>
    <w:tbl>
      <w:tblPr>
        <w:tblW w:w="8289"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95"/>
        <w:gridCol w:w="295"/>
        <w:gridCol w:w="296"/>
        <w:gridCol w:w="109"/>
        <w:gridCol w:w="109"/>
        <w:gridCol w:w="109"/>
        <w:gridCol w:w="249"/>
        <w:gridCol w:w="852"/>
        <w:gridCol w:w="130"/>
        <w:gridCol w:w="109"/>
        <w:gridCol w:w="109"/>
        <w:gridCol w:w="109"/>
        <w:gridCol w:w="400"/>
        <w:gridCol w:w="400"/>
        <w:gridCol w:w="56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for stock options were not material for the periods presented.</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total estimated remaining stock-based compensation expense for the aforementioned stock options was $6.3 million, which is expected to be recognized over a weighted average period of 3.8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restricted stock units ("RSUs") for the three months ended March 31, 2024,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March 31, 2024 were composed of 1.0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 at 100% of the performance target. The unvested PSUs as of March 31, 2024, are subject to vesting based on the achievement of pre-established performance metrics for the year ending December 31, 2024 and will vest over a three year period, assuming continued employment through each vesting date. The actual number of shares to be issued at the end of the performance period will range from 0% to 150% of the target number of shares depending on achievement relative to the performance metric over the applicable period.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stock-based compensation expense for the RSUs and PSUs of $13.0 million and $13.8 million for the three months ended March 31, 2024 and 2023, respectively. Excluded from stock-based compensation expense is capitalized software development costs of $0.2 million and $0.2 million for the three months ended March 31, 2024 and 2023, respectively. As of March 31, 2024, the total estimated remaining stock-based compensation expense for the aforementioned RSUs and PSUs was $124.8 million, which is expected to be recognized over a weighted 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10. Income Taxes</w:t>
      </w:r>
    </w:p>
    <w:p>
      <w:pPr>
        <w:pStyle w:val="TextBody"/>
        <w:bidi w:val="0"/>
        <w:spacing w:lineRule="auto" w:line="288" w:before="3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provision for income taxes on a quarterly basis by applying an estimated annual effective tax rate to income (loss) from operations and by calculating the tax effect of discrete items recognized during the quarter.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recorded benefits from income taxes of $1.6 million, representing an effective tax rate of (4.3)%. The effective tax rate as compared to the U.S. federal statutory rate of 21% differs primarily due to excess tax benefits from stock-based compensation, partially offset by change in valuation allowance against deferred tax assets, state income taxes and non-deductible officers' compensation.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ability to realize our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a history of cumulative losses, including permanent adjustments, and assessing all available positive and negative evidence, we have determined that it is more likely than not that our federal and state deferred tax assets would not be realized. Accordingly, we have been maintaining full valuation allowance against our deferred tax assets. However, based on our current and projected future earnings, we believe that there is reasonable possibility that sufficient positive evidence of sustained profitability may be achieved during the current year to reach a conclusion that part or all of our deferred tax assets may become realizable, resulting in a possible release of valuation allowance. Such valuation allowance release may result in a material increase to our deferred tax assets and a corresponding decrease in income tax expense. The exact timing and amount of the valuation allowance release are subject to our projection of earnings and level of profitability that will be achieved.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unrecognized tax benefits during the three months ended March 31, 2024, and we do not expect to have any significant changes to unrecognized tax benefits through the remainder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11. Revenue and Other Information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following table presents our revenue categories for the three months ended March 31, 2024 and 2023 (in thousands):</w:t>
      </w:r>
      <w:r>
        <w:rPr>
          <w:color w:val="000000"/>
        </w:rPr>
        <w:t> </w:t>
      </w:r>
    </w:p>
    <w:tbl>
      <w:tblPr>
        <w:tblW w:w="5332"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customers in the United States. All of our property and equipment is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leader powering the future of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 </w:t>
      </w:r>
    </w:p>
    <w:p>
      <w:pPr>
        <w:pStyle w:val="TextBody"/>
        <w:bidi w:val="0"/>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8.3 million and 7.5 million property management units under management as of March 31, 2024 and 2023, respectively.</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basis or collect the fee at the time of service. A significant majority of our Value Added Services revenue comes from the use of our payment services, tenant screening services, and risk mitigation services.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As of March 31, 2024 and 2023, we had 19,941 and 18,834 property management customers, respectively.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Cost of Revenue (Exclusive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corporate development and administrative organizations (including salaries, performance-based compensation,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Other Income (Loss), Net. </w:t>
      </w:r>
      <w:r>
        <w:rPr>
          <w:rFonts w:ascii="Times New Roman;sans-serif" w:hAnsi="Times New Roman;sans-serif"/>
          <w:b w:val="false"/>
          <w:color w:val="000000"/>
          <w:sz w:val="20"/>
        </w:rPr>
        <w:t xml:space="preserve">Other income (loss), net includes gains and losses associated with the sale of businesses and property and equipment.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 xml:space="preserve">Interest income, net includes interest earned on investment securities, amortization and accretion of the premium and discounts paid from the purchase of investment securities, and interest earned on cash deposited in our bank accounts.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(Benefit from) provision for income taxes. </w:t>
      </w:r>
      <w:r>
        <w:rPr>
          <w:rFonts w:ascii="Times New Roman;sans-serif" w:hAnsi="Times New Roman;sans-serif"/>
          <w:b w:val="false"/>
          <w:color w:val="000000"/>
          <w:sz w:val="20"/>
        </w:rPr>
        <w:t>(Benefit from) 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8095" w:type="dxa"/>
        <w:jc w:val="center"/>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three months ended March 31, 2024, compared to the same period in the prior year, was primarily attributable to an increase in the usage of our payments, tenant screening, and risk mitigation services. During the three month period ended March 31, 2024, we also experienced growth of 11% in the number of property management units under management compared to the same periods in the prior year, which drove growth in users of our subscription and usage-based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services experienced increased usage during the comparative periods as residents, property managers, and owners transacted more business online.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total revenue for the year ending December 31, 2024 to increase compared to the year ended December 31, 2023 as we continue to add new customers and property management units under management, along with increased adoption and utilization of our Value Added Services.</w:t>
      </w:r>
    </w:p>
    <w:p>
      <w:pPr>
        <w:pStyle w:val="TextBody"/>
        <w:bidi w:val="0"/>
        <w:spacing w:before="60" w:after="120"/>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0205" w:type="dxa"/>
        <w:jc w:val="center"/>
        <w:tblInd w:w="0" w:type="dxa"/>
        <w:tblLayout w:type="fixed"/>
        <w:tblCellMar>
          <w:top w:w="28" w:type="dxa"/>
          <w:left w:w="28" w:type="dxa"/>
          <w:bottom w:w="28" w:type="dxa"/>
          <w:right w:w="28" w:type="dxa"/>
        </w:tblCellMar>
      </w:tblPr>
      <w:tblGrid>
        <w:gridCol w:w="1478"/>
        <w:gridCol w:w="1261"/>
        <w:gridCol w:w="1265"/>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6"/>
      </w:tblGrid>
      <w:tr>
        <w:trPr/>
        <w:tc>
          <w:tcPr>
            <w:tcW w:w="147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9" w:type="dxa"/>
            <w:gridSpan w:val="8"/>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for the three months ended March 31, 2024 increased primarily due to increases in expenditures to third-party service providers related to the delivery of our Value Added Services of $8.6 million compared to the same period in the prior year. This increase was directly associated with increased adoption and utilization of our Value Added Services during the period.</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cost of revenue (exclusive of depreciation and amortization) for the year ending December 31, 2024, to decrease as a percentage of revenue compared to the year ended December 31, 2023, primarily due to increased revenue from eCheck fee and product mix, and we continue to leverage headcount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9994" w:type="dxa"/>
        <w:jc w:val="center"/>
        <w:tblInd w:w="0" w:type="dxa"/>
        <w:tblLayout w:type="fixed"/>
        <w:tblCellMar>
          <w:top w:w="28" w:type="dxa"/>
          <w:left w:w="28" w:type="dxa"/>
          <w:bottom w:w="28" w:type="dxa"/>
          <w:right w:w="28" w:type="dxa"/>
        </w:tblCellMar>
      </w:tblPr>
      <w:tblGrid>
        <w:gridCol w:w="1317"/>
        <w:gridCol w:w="1160"/>
        <w:gridCol w:w="1168"/>
        <w:gridCol w:w="109"/>
        <w:gridCol w:w="109"/>
        <w:gridCol w:w="109"/>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for the three months ended March 31, 2024 compared to the same period in the prior year, primarily due to a $3.5 million decrease in personnel-related costs, including stock-based and performance-based compensation, driven by the lower headcount resulting from our improved efficiency . In addition, advertising costs decreased by $0.6 million for the three months ended March 31, 2024 compared to the same period in the prior year due to timing of promotional activities.</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2024 to decrease as a percentage of revenue compared to the year ended December 31, 2023, as we continue to leverage headcount efficiencies.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9589" w:type="dxa"/>
        <w:jc w:val="center"/>
        <w:tblInd w:w="0" w:type="dxa"/>
        <w:tblLayout w:type="fixed"/>
        <w:tblCellMar>
          <w:top w:w="28" w:type="dxa"/>
          <w:left w:w="28" w:type="dxa"/>
          <w:bottom w:w="28" w:type="dxa"/>
          <w:right w:w="28" w:type="dxa"/>
        </w:tblCellMar>
      </w:tblPr>
      <w:tblGrid>
        <w:gridCol w:w="1321"/>
        <w:gridCol w:w="1159"/>
        <w:gridCol w:w="1165"/>
        <w:gridCol w:w="109"/>
        <w:gridCol w:w="109"/>
        <w:gridCol w:w="109"/>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product development expense for the three months ended March 31, 2024 was relatively flat compared to the same period in the prior year.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2024 to decrease as a percentage of revenue compared to the year ended December 31, 2023, as we continue to leverage headcount efficiencies.</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10098" w:type="dxa"/>
        <w:jc w:val="left"/>
        <w:tblInd w:w="0" w:type="dxa"/>
        <w:tblLayout w:type="fixed"/>
        <w:tblCellMar>
          <w:top w:w="28" w:type="dxa"/>
          <w:left w:w="28" w:type="dxa"/>
          <w:bottom w:w="28" w:type="dxa"/>
          <w:right w:w="28" w:type="dxa"/>
        </w:tblCellMar>
      </w:tblPr>
      <w:tblGrid>
        <w:gridCol w:w="1321"/>
        <w:gridCol w:w="1160"/>
        <w:gridCol w:w="1163"/>
        <w:gridCol w:w="109"/>
        <w:gridCol w:w="109"/>
        <w:gridCol w:w="109"/>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for the three months ended March 31, 2024 decreased compared to the same period in the prior year primarily due to a $13.9 million decrease in personnel-related costs, including stock-based and performance-based compensation, which was partially offset by a $3.4 million increase in allocated shared and other costs, The decrease in personnel-related costs was primarily due to severance costs associated with our former Chief Executive Officer's separation in the first quarter of 2023. The increase in allocated shared and other costs was primarily due to a gain on lease modification of $2.4 million in the first quarter of 2023.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general and administrative expenses for the year ending December 31, 2024 to decrease as a percentage of revenue compared to the year ended December 31, 2023, as we continue to leverage headcount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733" w:type="dxa"/>
        <w:jc w:val="center"/>
        <w:tblInd w:w="0" w:type="dxa"/>
        <w:tblLayout w:type="fixed"/>
        <w:tblCellMar>
          <w:top w:w="28" w:type="dxa"/>
          <w:left w:w="28" w:type="dxa"/>
          <w:bottom w:w="28" w:type="dxa"/>
          <w:right w:w="28" w:type="dxa"/>
        </w:tblCellMar>
      </w:tblPr>
      <w:tblGrid>
        <w:gridCol w:w="939"/>
        <w:gridCol w:w="826"/>
        <w:gridCol w:w="829"/>
        <w:gridCol w:w="109"/>
        <w:gridCol w:w="109"/>
        <w:gridCol w:w="109"/>
        <w:gridCol w:w="211"/>
        <w:gridCol w:w="616"/>
        <w:gridCol w:w="271"/>
        <w:gridCol w:w="109"/>
        <w:gridCol w:w="109"/>
        <w:gridCol w:w="109"/>
        <w:gridCol w:w="211"/>
        <w:gridCol w:w="616"/>
        <w:gridCol w:w="271"/>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months ended March 31, 2024 decreased, compared to the same period in the prior year, primarily due to decreased amortization expense associated with capitalized software development and intangible balances.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depreciation and amortization expenses for the year ending December 31, 2024 to decrease as a percentage of revenue compared to the year ended December 31, 2023 due to a decrease in amortization of accumulated capitalized software development balances.</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7951" w:type="dxa"/>
        <w:jc w:val="left"/>
        <w:tblInd w:w="0" w:type="dxa"/>
        <w:tblLayout w:type="fixed"/>
        <w:tblCellMar>
          <w:top w:w="28" w:type="dxa"/>
          <w:left w:w="28" w:type="dxa"/>
          <w:bottom w:w="28" w:type="dxa"/>
          <w:right w:w="28" w:type="dxa"/>
        </w:tblCellMar>
      </w:tblPr>
      <w:tblGrid>
        <w:gridCol w:w="688"/>
        <w:gridCol w:w="607"/>
        <w:gridCol w:w="609"/>
        <w:gridCol w:w="234"/>
        <w:gridCol w:w="685"/>
        <w:gridCol w:w="301"/>
        <w:gridCol w:w="121"/>
        <w:gridCol w:w="121"/>
        <w:gridCol w:w="121"/>
        <w:gridCol w:w="234"/>
        <w:gridCol w:w="685"/>
        <w:gridCol w:w="301"/>
        <w:gridCol w:w="109"/>
        <w:gridCol w:w="109"/>
        <w:gridCol w:w="109"/>
        <w:gridCol w:w="211"/>
        <w:gridCol w:w="616"/>
        <w:gridCol w:w="109"/>
        <w:gridCol w:w="109"/>
        <w:gridCol w:w="109"/>
        <w:gridCol w:w="109"/>
        <w:gridCol w:w="233"/>
        <w:gridCol w:w="233"/>
        <w:gridCol w:w="271"/>
        <w:gridCol w:w="109"/>
        <w:gridCol w:w="109"/>
        <w:gridCol w:w="109"/>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2024 increased, compared to the same period in the prior year, primarily due to higher interest rates.</w:t>
      </w:r>
    </w:p>
    <w:p>
      <w:pPr>
        <w:pStyle w:val="TextBody"/>
        <w:bidi w:val="0"/>
        <w:spacing w:lineRule="auto" w:line="288"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(Benefit from) Provision for Income Taxes</w:t>
      </w:r>
    </w:p>
    <w:tbl>
      <w:tblPr>
        <w:tblW w:w="10205" w:type="dxa"/>
        <w:jc w:val="center"/>
        <w:tblInd w:w="0" w:type="dxa"/>
        <w:tblLayout w:type="fixed"/>
        <w:tblCellMar>
          <w:top w:w="28" w:type="dxa"/>
          <w:left w:w="28" w:type="dxa"/>
          <w:bottom w:w="28" w:type="dxa"/>
          <w:right w:w="28" w:type="dxa"/>
        </w:tblCellMar>
      </w:tblPr>
      <w:tblGrid>
        <w:gridCol w:w="1249"/>
        <w:gridCol w:w="1099"/>
        <w:gridCol w:w="1103"/>
        <w:gridCol w:w="109"/>
        <w:gridCol w:w="109"/>
        <w:gridCol w:w="109"/>
        <w:gridCol w:w="211"/>
        <w:gridCol w:w="721"/>
        <w:gridCol w:w="271"/>
        <w:gridCol w:w="109"/>
        <w:gridCol w:w="109"/>
        <w:gridCol w:w="109"/>
        <w:gridCol w:w="211"/>
        <w:gridCol w:w="786"/>
        <w:gridCol w:w="271"/>
        <w:gridCol w:w="109"/>
        <w:gridCol w:w="109"/>
        <w:gridCol w:w="109"/>
        <w:gridCol w:w="211"/>
        <w:gridCol w:w="786"/>
        <w:gridCol w:w="109"/>
        <w:gridCol w:w="109"/>
        <w:gridCol w:w="109"/>
        <w:gridCol w:w="109"/>
        <w:gridCol w:w="339"/>
        <w:gridCol w:w="341"/>
        <w:gridCol w:w="271"/>
        <w:gridCol w:w="109"/>
        <w:gridCol w:w="109"/>
        <w:gridCol w:w="109"/>
        <w:gridCol w:w="109"/>
        <w:gridCol w:w="109"/>
        <w:gridCol w:w="109"/>
        <w:gridCol w:w="109"/>
        <w:gridCol w:w="155"/>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8" w:type="dxa"/>
            <w:gridSpan w:val="8"/>
            <w:tcBorders/>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for the three months ended March 31, 2024 differs from the U.S. federal statutory rate of 21% primarily due to excess tax benefits from stock-based compensation, partially offset by a change in valuation allowance against deferred tax assets, state income taxes and non-deductible officers' compensation. Our effective tax rate for the three months ended March 31, 2023 differs from the U.S. federal statutory rate of 21% primarily due to a change in valuation allowance against deferred tax assets, non-deductible officers' compensation and state income taxes, partially offset by tax benefits from research and development tax credits. </w:t>
      </w:r>
    </w:p>
    <w:p>
      <w:pPr>
        <w:pStyle w:val="TextBody"/>
        <w:bidi w:val="0"/>
        <w:spacing w:lineRule="auto" w:line="26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our effective tax rate for the three months ended March 31, 2024, as compared to the same period in the prior year, was primarily due to the significant increase in our pre-tax income, partially offset by the increase in excess tax benefits from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totaling $243.5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7490"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increase in cash provided by operating activities for the three months ended March 31, 2024, compared to the same period in the prior year, was primarily due to an increase in cash collections from customers. </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investing activities is generally composed of purchases of investment securities, maturities of investment securities, purchases of property and equipment, and additions to capitalized software development.</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investing activities for the three months ended March 31, 2024, compared to the same period in the prior year, was primarily due to higher purchases of available-for-sale investment securities.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6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offset by proceeds from the exercise of stock options.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for the three months ended March 31, 2024, compared to the same period in the prior year, was primarily due to an increase in net share settlements for employee tax withholdings associated with the vesting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As of March 31, 2024, we had</w:t>
      </w:r>
      <w:r>
        <w:rPr>
          <w:color w:val="000000"/>
          <w:shd w:fill="FFFFFF" w:val="clear"/>
        </w:rPr>
        <w:t xml:space="preserve"> </w:t>
      </w:r>
      <w:r>
        <w:rPr>
          <w:rFonts w:ascii="Times New Roman;sans-serif" w:hAnsi="Times New Roman;sans-serif"/>
          <w:b w:val="false"/>
          <w:color w:val="000000"/>
          <w:sz w:val="20"/>
        </w:rPr>
        <w:t>$184.3 million</w:t>
      </w:r>
      <w:r>
        <w:rPr>
          <w:color w:val="000000"/>
          <w:shd w:fill="FFFFFF" w:val="clear"/>
        </w:rPr>
        <w:t xml:space="preserve">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March 31, 2024, a hypothetical 100 basis point decrease in interest rates would have resulted in an increase in the fair value of our investment securities of approximately $0.7 million and a hypothetical 100 basis point increase in interest rates would have resulted in a decrease in the fair value of our investment securities of approximately $0.7 million. This estimate is based on a sensitivity model which measures an instant change in interest rates by 100 basis points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00"/>
        <w:ind w:left="0" w:right="0" w:firstLine="720"/>
        <w:jc w:val="both"/>
        <w:rPr/>
      </w:pPr>
      <w:r>
        <w:rPr>
          <w:rFonts w:ascii="Times New Roman;sans-serif" w:hAnsi="Times New Roman;sans-serif"/>
          <w:b w:val="false"/>
          <w:color w:val="000000"/>
          <w:sz w:val="20"/>
        </w:rPr>
        <w:t>For information regarding legal proceedings, refer to Note 8, </w:t>
      </w:r>
      <w:r>
        <w:rPr>
          <w:rFonts w:ascii="Times New Roman;sans-serif" w:hAnsi="Times New Roman;sans-serif"/>
          <w:b w:val="false"/>
          <w:i/>
          <w:color w:val="000000"/>
          <w:sz w:val="20"/>
        </w:rPr>
        <w:t>Commitments and Contingencies</w:t>
      </w:r>
      <w:r>
        <w:rPr>
          <w:color w:val="000000"/>
        </w:rPr>
        <w:t> </w:t>
      </w:r>
      <w:r>
        <w:rPr>
          <w:rFonts w:ascii="Times New Roman;sans-serif" w:hAnsi="Times New Roman;sans-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1, 2024.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and prospects. As of the date of this Quarterly Report, there have been no material changes to the risk factors previously disclosed under the section "Risk Factors" in Part I, Item IA of our 2023 Annual Report.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0" w:name="i0c4f83ef68944480b05360c05f9ff277_681"/>
      <w:bookmarkEnd w:id="0"/>
      <w:r>
        <w:rPr>
          <w:rFonts w:ascii="Times New Roman;sans-serif" w:hAnsi="Times New Roman;sans-serif"/>
          <w:b/>
          <w:color w:val="000000"/>
          <w:sz w:val="20"/>
        </w:rPr>
        <w:t>Item 5. Other Information</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Andreas von Blottnitz, a member of our Board of Directors, adopted a Rule 10b5-1 trading arrangement providing for the sale of up to 28,500 shares of the Company's Class A common stock between June 14, 2024 and December 31, 2024. Mr. von Blottnitz's trading plan was entered into during an open insider trading window and is intended to satisfy the affirmative defense of Rule 10b5-1(c) under the Exchange Act.</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Janet Kerr, a member of our Board of Directors, adopted a Rule 10b5-1 trading arrangement providing for the sale of up to 2,500 shares of the Company's Class A common stock between June 14, 2024 and December 31, 2024. Ms. Kerr's trading plan was entered into during an open insider trading window and is intended to satisfy the affirmative defense of Rule 10b5-1(c) under the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4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4exhibit312.htm">
              <w:r>
                <w:rPr>
                  <w:rStyle w:val="InternetLink"/>
                  <w:rFonts w:ascii="Times New Roman;sans-serif" w:hAnsi="Times New Roman;sans-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4exhibit321.htm">
              <w:r>
                <w:rPr>
                  <w:rStyle w:val="InternetLink"/>
                  <w:rFonts w:ascii="Times New Roman;sans-serif" w:hAnsi="Times New Roman;sans-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jc w:val="left"/>
        <w:rPr/>
      </w:pPr>
      <w:hyperlink w:anchor="ib726c2694bd94a0d9a8aa7552d8c21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571"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12"/>
        <w:gridCol w:w="212"/>
        <w:gridCol w:w="212"/>
        <w:gridCol w:w="1238"/>
        <w:gridCol w:w="1238"/>
        <w:gridCol w:w="12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177" w:type="dxa"/>
        <w:jc w:val="center"/>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18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Quarterly Report on Form 10-Q of AppFolio, Inc. (the “Company”) for the period ended March 31, 2024,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50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30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10963</Words>
  <Characters>61789</Characters>
  <CharactersWithSpaces>71894</CharactersWithSpaces>
  <Paragraphs>1742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