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1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3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30, 2025</w:t>
      </w:r>
    </w:p>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AppFolio, Inc.</w:t>
      </w:r>
    </w:p>
    <w:p>
      <w:pPr>
        <w:spacing w:after="0" w:line="1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ectPr>
          <w:pgSz w:w="11900" w:h="16838" w:orient="portrait"/>
          <w:cols w:equalWidth="0" w:num="1">
            <w:col w:w="11180"/>
          </w:cols>
          <w:pgMar w:left="320" w:top="1053" w:right="399" w:bottom="1440" w:gutter="0" w:footer="0" w:header="0"/>
        </w:sectPr>
      </w:pPr>
    </w:p>
    <w:p>
      <w:pPr>
        <w:spacing w:after="0" w:line="17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001-37468</w:t>
      </w:r>
    </w:p>
    <w:p>
      <w:pPr>
        <w:spacing w:after="0" w:line="3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26-0359894</w:t>
      </w:r>
    </w:p>
    <w:p>
      <w:pPr>
        <w:spacing w:after="0" w:line="34"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52" w:lineRule="exact"/>
        <w:rPr>
          <w:sz w:val="24"/>
          <w:szCs w:val="24"/>
          <w:color w:val="auto"/>
        </w:rPr>
      </w:pPr>
    </w:p>
    <w:p>
      <w:pPr>
        <w:sectPr>
          <w:pgSz w:w="11900" w:h="16838" w:orient="portrait"/>
          <w:cols w:equalWidth="0" w:num="2">
            <w:col w:w="6200" w:space="720"/>
            <w:col w:w="4260"/>
          </w:cols>
          <w:pgMar w:left="320" w:top="1053"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70 Castilian Drive</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Santa Barbara, CA 93117</w:t>
      </w:r>
    </w:p>
    <w:p>
      <w:pPr>
        <w:spacing w:after="0" w:line="1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ectPr>
          <w:pgSz w:w="11900" w:h="16838" w:orient="portrait"/>
          <w:cols w:equalWidth="0" w:num="1">
            <w:col w:w="11180"/>
          </w:cols>
          <w:pgMar w:left="320" w:top="1053" w:right="399" w:bottom="1440" w:gutter="0" w:footer="0" w:header="0"/>
          <w:type w:val="continuous"/>
        </w:sectPr>
      </w:pPr>
    </w:p>
    <w:p>
      <w:pPr>
        <w:spacing w:after="0" w:line="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(805) 364-6093</w:t>
      </w:r>
    </w:p>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580" w:hanging="5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rPr>
      </w:pPr>
    </w:p>
    <w:p>
      <w:pPr>
        <w:ind w:left="580" w:hanging="5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80" w:hanging="5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80" w:hanging="5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90"/>
        </w:trPr>
        <w:tc>
          <w:tcPr>
            <w:tcW w:w="13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2"/>
          </w:tcPr>
          <w:p>
            <w:pPr>
              <w:jc w:val="center"/>
              <w:ind w:right="162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Class A Common Stock, $0.0001 par value</w:t>
            </w:r>
          </w:p>
        </w:tc>
        <w:tc>
          <w:tcPr>
            <w:tcW w:w="160" w:type="dxa"/>
            <w:vAlign w:val="bottom"/>
          </w:tcPr>
          <w:p>
            <w:pPr>
              <w:spacing w:after="0"/>
              <w:rPr>
                <w:sz w:val="20"/>
                <w:szCs w:val="20"/>
                <w:color w:val="auto"/>
              </w:rPr>
            </w:pPr>
          </w:p>
        </w:tc>
        <w:tc>
          <w:tcPr>
            <w:tcW w:w="2740" w:type="dxa"/>
            <w:vAlign w:val="bottom"/>
            <w:gridSpan w:val="2"/>
          </w:tcPr>
          <w:p>
            <w:pPr>
              <w:jc w:val="center"/>
              <w:ind w:right="1600"/>
              <w:spacing w:after="0"/>
              <w:rPr>
                <w:sz w:val="20"/>
                <w:szCs w:val="20"/>
                <w:color w:val="auto"/>
              </w:rPr>
            </w:pPr>
            <w:r>
              <w:rPr>
                <w:rFonts w:ascii="Times New Roman" w:cs="Times New Roman" w:eastAsia="Times New Roman" w:hAnsi="Times New Roman"/>
                <w:sz w:val="16"/>
                <w:szCs w:val="16"/>
                <w:color w:val="auto"/>
                <w:w w:val="99"/>
              </w:rPr>
              <w:t>APPF</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200" w:lineRule="exact"/>
        <w:rPr>
          <w:sz w:val="24"/>
          <w:szCs w:val="24"/>
          <w:color w:val="auto"/>
        </w:rPr>
      </w:pPr>
    </w:p>
    <w:p>
      <w:pPr>
        <w:spacing w:after="0" w:line="359"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9"/>
          <w:szCs w:val="19"/>
          <w:color w:val="auto"/>
        </w:rPr>
        <w:t>☐</w:t>
      </w:r>
    </w:p>
    <w:p>
      <w:pPr>
        <w:spacing w:after="0" w:line="268" w:lineRule="exact"/>
        <w:rPr>
          <w:sz w:val="24"/>
          <w:szCs w:val="24"/>
          <w:color w:val="auto"/>
        </w:rPr>
      </w:pPr>
    </w:p>
    <w:p>
      <w:pPr>
        <w:ind w:right="5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30, 2025, AppFolio, Inc. (the "Company") issued a press release announcing its financial results for its third quarter ended September 30, 2025. A copy of the press release is attached hereto as Exhibit 99.1.</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2.02, including the press release attached hereto as Exhibit 99.1, is being furnished and shall not be deemed to be “filed” for purposes of Section 18 of the Securities Exchange Act of 1934, as amended (the "Exchange Act"), or otherwise subject to the liability of that Section. Such information shall not be deemed to be incorporated by reference in any filing of the Company under the Securities Act of 1933, as amended, or the Exchange Act, whether made before or after the date hereof, regardless of any general incorporation language in such filing, except as otherwise expressly set forth by specific reference in such a filing.</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Departure of Chief Trust Officer</w:t>
      </w:r>
    </w:p>
    <w:p>
      <w:pPr>
        <w:spacing w:after="0" w:line="1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October 30, 2025, the Company announced that Matt Mazza, Chief Trust Officer, will depart the Company on November 14, 2025. To facilitate an orderly transition, Mr. Mazza's duties were reassigned and he ceased serving as Chief Trust Officer on October 27,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1238" w:right="339"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Exhibit</w:t>
      </w:r>
    </w:p>
    <w:p>
      <w:pPr>
        <w:ind w:left="52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99.1</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21590</wp:posOffset>
            </wp:positionV>
            <wp:extent cx="58293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3" w:lineRule="exact"/>
        <w:rPr>
          <w:sz w:val="20"/>
          <w:szCs w:val="20"/>
          <w:color w:val="auto"/>
        </w:rPr>
      </w:pPr>
    </w:p>
    <w:p>
      <w:pPr>
        <w:ind w:right="520"/>
        <w:spacing w:after="0" w:line="237" w:lineRule="auto"/>
        <w:rPr>
          <w:sz w:val="20"/>
          <w:szCs w:val="20"/>
          <w:color w:val="auto"/>
        </w:rPr>
      </w:pPr>
      <w:r>
        <w:rPr>
          <w:rFonts w:ascii="Times New Roman" w:cs="Times New Roman" w:eastAsia="Times New Roman" w:hAnsi="Times New Roman"/>
          <w:sz w:val="18"/>
          <w:szCs w:val="18"/>
          <w:u w:val="single" w:color="auto"/>
          <w:color w:val="0000FF"/>
        </w:rPr>
        <w:t>Press release issued on October 30, 2025, announcing AppFolio, Inc.'s financial results for its third quarter ended September 30, 2025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827405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80" w:space="720"/>
            <w:col w:w="9140"/>
          </w:cols>
          <w:pgMar w:left="320" w:top="1238" w:right="339" w:bottom="1440" w:gutter="0" w:footer="0" w:header="0"/>
          <w:type w:val="continuous"/>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59" w:lineRule="exact"/>
        <w:rPr>
          <w:sz w:val="20"/>
          <w:szCs w:val="20"/>
          <w:color w:val="auto"/>
        </w:rPr>
      </w:pPr>
    </w:p>
    <w:p>
      <w:pPr>
        <w:ind w:firstLine="648"/>
        <w:spacing w:after="0" w:line="38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ind w:left="180"/>
        <w:spacing w:after="0"/>
        <w:tabs>
          <w:tab w:leader="none" w:pos="820" w:val="left"/>
          <w:tab w:leader="none" w:pos="5740" w:val="left"/>
        </w:tabs>
        <w:rPr>
          <w:sz w:val="20"/>
          <w:szCs w:val="20"/>
          <w:color w:val="auto"/>
        </w:rPr>
      </w:pPr>
      <w:r>
        <w:rPr>
          <w:rFonts w:ascii="Times New Roman" w:cs="Times New Roman" w:eastAsia="Times New Roman" w:hAnsi="Times New Roman"/>
          <w:sz w:val="18"/>
          <w:szCs w:val="18"/>
          <w:color w:val="auto"/>
        </w:rPr>
        <w:t>Date:</w:t>
        <w:tab/>
        <w:t>October 30, 2025</w:t>
      </w:r>
      <w:r>
        <w:rPr>
          <w:sz w:val="20"/>
          <w:szCs w:val="20"/>
          <w:color w:val="auto"/>
        </w:rPr>
        <w:tab/>
      </w:r>
      <w:r>
        <w:rPr>
          <w:rFonts w:ascii="Times New Roman" w:cs="Times New Roman" w:eastAsia="Times New Roman" w:hAnsi="Times New Roman"/>
          <w:sz w:val="17"/>
          <w:szCs w:val="17"/>
          <w:b w:val="1"/>
          <w:bCs w:val="1"/>
          <w:color w:val="auto"/>
        </w:rPr>
        <w:t>AppFolio, Inc.</w:t>
      </w:r>
    </w:p>
    <w:p>
      <w:pPr>
        <w:spacing w:after="0" w:line="28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/s/ Tim Eaton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734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 Tim Eaton</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980"/>
          </w:cols>
          <w:pgMar w:left="320" w:top="941" w:right="5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164592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2037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AppFolio, Inc. Announces Third Quarter 2025 Financial Results</w:t>
      </w:r>
    </w:p>
    <w:p>
      <w:pPr>
        <w:spacing w:after="0" w:line="308" w:lineRule="exact"/>
        <w:rPr>
          <w:sz w:val="20"/>
          <w:szCs w:val="20"/>
          <w:color w:val="auto"/>
        </w:rPr>
      </w:pPr>
    </w:p>
    <w:p>
      <w:pPr>
        <w:jc w:val="center"/>
        <w:ind w:left="340" w:right="180"/>
        <w:spacing w:after="0" w:line="275" w:lineRule="auto"/>
        <w:rPr>
          <w:sz w:val="20"/>
          <w:szCs w:val="20"/>
          <w:color w:val="auto"/>
        </w:rPr>
      </w:pPr>
      <w:r>
        <w:rPr>
          <w:rFonts w:ascii="Times New Roman" w:cs="Times New Roman" w:eastAsia="Times New Roman" w:hAnsi="Times New Roman"/>
          <w:sz w:val="22"/>
          <w:szCs w:val="22"/>
          <w:i w:val="1"/>
          <w:iCs w:val="1"/>
          <w:color w:val="auto"/>
        </w:rPr>
        <w:t>Strong unit and revenue growth driven by customer acquisition, expansion, and Realm-X adoption through premium tiers and value added services</w:t>
      </w:r>
    </w:p>
    <w:p>
      <w:pPr>
        <w:spacing w:after="0" w:line="19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SANTA BARBARA, Calif., October 30, 2025 -- AppFolio, Inc. (NASDAQ: APPF) ("AppFolio" or the "Company"), a technology leader powering the future of the real estate industry, today announced its financial results for the third quarter ended September 30, 2025.</w:t>
      </w:r>
    </w:p>
    <w:p>
      <w:pPr>
        <w:spacing w:after="0" w:line="20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"I'm pleased with our third quarter results, as we continue to win in the market. We are expanding the value we deliver to our existing customers while effectively capturing new market share," said Shane Trigg, President and CEO. "Our Performance Platform, built on an AI-native architecture, drives real performance outcomes. By embracing our innovations, customers are seeing everyone in their ecosystem thrive. Our success is aligned to our customers' success, and this quarter reflects that our customers are winning."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Highlights for Third Quarter of 2025</w:t>
      </w:r>
    </w:p>
    <w:p>
      <w:pPr>
        <w:spacing w:after="0" w:line="58"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grew 21% year-over-year to $249 million.</w:t>
      </w:r>
    </w:p>
    <w:p>
      <w:pPr>
        <w:spacing w:after="0" w:line="4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units under management grew 7% year-over-year to 9.1 million.</w:t>
      </w:r>
    </w:p>
    <w:p>
      <w:pPr>
        <w:spacing w:after="0" w:line="53" w:lineRule="exact"/>
        <w:rPr>
          <w:rFonts w:ascii="Times New Roman" w:cs="Times New Roman" w:eastAsia="Times New Roman" w:hAnsi="Times New Roman"/>
          <w:sz w:val="20"/>
          <w:szCs w:val="20"/>
          <w:color w:val="auto"/>
        </w:rPr>
      </w:pPr>
    </w:p>
    <w:p>
      <w:pPr>
        <w:ind w:left="660" w:hanging="328"/>
        <w:spacing w:after="0" w:line="28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operating income was $35 million, or 14.1% of revenue, compared to operating income of $43 million, or 20.7% of revenue in Q3 2024.</w:t>
      </w:r>
    </w:p>
    <w:p>
      <w:pPr>
        <w:spacing w:after="0" w:line="1" w:lineRule="exact"/>
        <w:rPr>
          <w:rFonts w:ascii="Times New Roman" w:cs="Times New Roman" w:eastAsia="Times New Roman" w:hAnsi="Times New Roman"/>
          <w:sz w:val="20"/>
          <w:szCs w:val="20"/>
          <w:color w:val="auto"/>
        </w:rPr>
      </w:pPr>
    </w:p>
    <w:p>
      <w:pPr>
        <w:ind w:left="660" w:hanging="328"/>
        <w:spacing w:after="0" w:line="28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operating income was $59 million, or 23.5% of revenue, compared to non-GAAP operating income of $59 million, or 28.7% of revenue, in Q3 2024.</w:t>
      </w:r>
    </w:p>
    <w:p>
      <w:pPr>
        <w:spacing w:after="0" w:line="1" w:lineRule="exact"/>
        <w:rPr>
          <w:rFonts w:ascii="Times New Roman" w:cs="Times New Roman" w:eastAsia="Times New Roman" w:hAnsi="Times New Roman"/>
          <w:sz w:val="20"/>
          <w:szCs w:val="20"/>
          <w:color w:val="auto"/>
        </w:rPr>
      </w:pPr>
    </w:p>
    <w:p>
      <w:pPr>
        <w:ind w:left="660" w:hanging="328"/>
        <w:spacing w:after="0" w:line="311"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cash provided by operating activities was $86 million, or 34.5% of revenue, compared to $58 million, or 28.1% of revenue, in Q3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Outlook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Based on information available as of October 30, 2025, AppFolio's outlook for fiscal year 2025 follows:</w:t>
      </w:r>
    </w:p>
    <w:p>
      <w:pPr>
        <w:spacing w:after="0" w:line="54"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year revenue is expected to be in the range of $945 million to $950 million.</w:t>
      </w:r>
    </w:p>
    <w:p>
      <w:pPr>
        <w:spacing w:after="0" w:line="4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year non-GAAP operating margin as a percentage of revenue is expected to be in the range of 23.5% to 24.5%.</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Diluted weighted average shares outstanding are expected to be approximately 36 million for the full year.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4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 xml:space="preserve">As previously announced, the Company will host a conference call today, October 30, 2025, at 2:00 p.m. Pacific Time (PT), 5:00 p.m. Eastern Time (ET), to discuss the Company’s third quarter financial results. A live webcast of the call will be available at: </w:t>
      </w:r>
      <w:r>
        <w:rPr>
          <w:rFonts w:ascii="Times New Roman" w:cs="Times New Roman" w:eastAsia="Times New Roman" w:hAnsi="Times New Roman"/>
          <w:sz w:val="20"/>
          <w:szCs w:val="20"/>
          <w:b w:val="1"/>
          <w:bCs w:val="1"/>
          <w:color w:val="auto"/>
        </w:rPr>
        <w:t>https://edge.media-server.com/mmc/p/Ksw66h7s/</w:t>
      </w:r>
      <w:r>
        <w:rPr>
          <w:rFonts w:ascii="Times New Roman" w:cs="Times New Roman" w:eastAsia="Times New Roman" w:hAnsi="Times New Roman"/>
          <w:sz w:val="20"/>
          <w:szCs w:val="20"/>
          <w:color w:val="auto"/>
        </w:rPr>
        <w:t>. To access the call by phone, please go to the following link:</w:t>
      </w:r>
      <w:r>
        <w:rPr>
          <w:rFonts w:ascii="Times New Roman" w:cs="Times New Roman" w:eastAsia="Times New Roman" w:hAnsi="Times New Roman"/>
          <w:sz w:val="20"/>
          <w:szCs w:val="20"/>
          <w:b w:val="1"/>
          <w:bCs w:val="1"/>
          <w:color w:val="auto"/>
        </w:rPr>
        <w:t xml:space="preserve"> https://register-conf.media-server.com/register/BIea6cb65f31dc40be9de34783fcefbaf4</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you will be provided with dial in details. A replay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webcast will also be available for a limited time on AppFolio’s Investor Relations website at https://ir.appfolioinc.com/news-events/events.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also provides announcements regarding its financial results and other matters, including SEC filings, investor events, and press releases, on its Investor Relations website at https://ir.appfolioinc.com/, as a means of disclosing material nonpublic information and for complying with AppFolio's disclosure obligations under Regulation FD.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AppFolio</w:t>
      </w:r>
    </w:p>
    <w:p>
      <w:pPr>
        <w:spacing w:after="0" w:line="4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AppFolio is a technology leader powering the future of the real estate industry. Our innovative platform and trusted partnership enable our customers to connect communities, increase operational efficiency, and grow their business. For more information about AppFolio, visit ir.appfolioinc.com.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Relations Contact: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Lori Barker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ir@appfolio.com</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58"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Reconciliations of current and historical non-GAAP financial measures to AppFolio’s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entitled “Statement Regarding the Use of Non-GAAP Financial Measures.”</w:t>
      </w:r>
    </w:p>
    <w:p>
      <w:pPr>
        <w:spacing w:after="0" w:line="21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AppFolio is unable, at this time, to provide GAAP equivalent guidance measures on a forward-looking basis for non-GAAP operating margin because certain items that impact this measure are uncertain, out of our control, or cannot be reasonably predicted, such as charges related to stock-based compensation expense. The effect of these excluded items may be significant.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4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Section 27A of the Securities Act of 1933, as amended, and Section 21E of the Securities Exchange Act of 1934, as amended, which statements are subject to considerable risks and uncertainties. Forward-looking statements include all statements that are not statements of historical fact contained in this press release, and can be identified by words such as “anticipates,” “believes,” “could,” “estimates,” “expects,” “intends,” “may,” “plans,” “potential,” “future’” “predicts, “projects,” “target,” “seeks,” “contemplates,” “should,” “will,” “would” or similar expressions and the negatives of those expressions. In particular, forward-looking statements contained in this press release relate to future operating results and financial position, including the Company's fiscal year 2025 financial outlook, anticipated future expenses and investments, the Company's business opportunities, the impact of the Company's strategic actions and initiatives, the potential benefits and effect of the Company's AI-powered solutions, and their impact on the Company’s plans, objectives, expectations and capabilities.</w:t>
      </w:r>
    </w:p>
    <w:p>
      <w:pPr>
        <w:spacing w:after="0" w:line="22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Forward-looking statements represent AppFolio's current beliefs and expectations based on information currently available and speak only as of the date the statement is made. Forward-looking statements are subject to numerous known and unknown risks, uncertainties and other factors that may cause the Company's actual results, performance or achievements to be materially different from any future results, performance or achievements expressed or implied by the forward-looking statements. The risks, uncertainties and other factors that may cause the Company's</w:t>
      </w:r>
    </w:p>
    <w:p>
      <w:pPr>
        <w:sectPr>
          <w:pgSz w:w="11900" w:h="16838" w:orient="portrait"/>
          <w:cols w:equalWidth="0" w:num="1">
            <w:col w:w="11240"/>
          </w:cols>
          <w:pgMar w:left="320" w:top="1399" w:right="339" w:bottom="1440" w:gutter="0" w:footer="0" w:header="0"/>
        </w:sectPr>
      </w:pPr>
    </w:p>
    <w:bookmarkStart w:id="5" w:name="page6"/>
    <w:bookmarkEnd w:id="5"/>
    <w:p>
      <w:pPr>
        <w:jc w:val="both"/>
        <w:spacing w:after="0" w:line="293" w:lineRule="auto"/>
        <w:rPr>
          <w:sz w:val="20"/>
          <w:szCs w:val="20"/>
          <w:color w:val="auto"/>
        </w:rPr>
      </w:pPr>
      <w:r>
        <w:rPr>
          <w:rFonts w:ascii="Times New Roman" w:cs="Times New Roman" w:eastAsia="Times New Roman" w:hAnsi="Times New Roman"/>
          <w:sz w:val="20"/>
          <w:szCs w:val="20"/>
          <w:color w:val="auto"/>
        </w:rPr>
        <w:t>actual results, performance or achievements to materially differ from those expressed or implied by these forward-looking statements include those risks, uncertainties and other factors described in the section entitled “Risk Factors” in the Company’s Annual Report on Form 10-K for the fiscal year ended December 31, 2024, which was filed with the SEC on February 6, 2025, as such risk factors may be updated from time to time in our subsequent filings with the SEC, and the section entitled “Management’s Discussion and Analysis of Financial Condition and Results of Operations” in the Company’s most recently filed Annual Report on Form 10-K or Quarterly Report on Form 10-Q, as well as in the Company's other filings with the SEC. You should read this press release with the understanding that the Company's actual future results may be materially different from the results expressed or implied by these forward-looking statements.</w:t>
      </w:r>
    </w:p>
    <w:p>
      <w:pPr>
        <w:spacing w:after="0" w:line="22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undertakes no obligation to update any forward-looking statements made in this press release to reflect events or circumstances after the date of this press release or to reflect new information or the occurrence of unanticipated events, except as required by law.</w:t>
      </w:r>
    </w:p>
    <w:p>
      <w:pPr>
        <w:sectPr>
          <w:pgSz w:w="11900" w:h="16838" w:orient="portrait"/>
          <w:cols w:equalWidth="0" w:num="1">
            <w:col w:w="11240"/>
          </w:cols>
          <w:pgMar w:left="320" w:top="913"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42,504</w:t>
            </w:r>
          </w:p>
        </w:tc>
      </w:tr>
      <w:tr>
        <w:trPr>
          <w:trHeight w:val="213"/>
        </w:trPr>
        <w:tc>
          <w:tcPr>
            <w:tcW w:w="8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securities—current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235,745</w:t>
            </w:r>
          </w:p>
        </w:tc>
      </w:tr>
      <w:tr>
        <w:trPr>
          <w:trHeight w:val="219"/>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24,346</w:t>
            </w:r>
          </w:p>
        </w:tc>
      </w:tr>
      <w:tr>
        <w:trPr>
          <w:trHeight w:val="213"/>
        </w:trPr>
        <w:tc>
          <w:tcPr>
            <w:tcW w:w="8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32,807</w:t>
            </w:r>
          </w:p>
        </w:tc>
      </w:tr>
      <w:tr>
        <w:trPr>
          <w:trHeight w:val="212"/>
        </w:trPr>
        <w:tc>
          <w:tcPr>
            <w:tcW w:w="8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335,402</w:t>
            </w:r>
          </w:p>
        </w:tc>
      </w:tr>
      <w:tr>
        <w:trPr>
          <w:trHeight w:val="213"/>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24,483</w:t>
            </w:r>
          </w:p>
        </w:tc>
      </w:tr>
      <w:tr>
        <w:trPr>
          <w:trHeight w:val="21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17,472</w:t>
            </w:r>
          </w:p>
        </w:tc>
      </w:tr>
      <w:tr>
        <w:trPr>
          <w:trHeight w:val="213"/>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software development costs, net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15,429</w:t>
            </w:r>
          </w:p>
        </w:tc>
      </w:tr>
      <w:tr>
        <w:trPr>
          <w:trHeight w:val="21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96,410</w:t>
            </w:r>
          </w:p>
        </w:tc>
      </w:tr>
      <w:tr>
        <w:trPr>
          <w:trHeight w:val="213"/>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49,057</w:t>
            </w:r>
          </w:p>
        </w:tc>
      </w:tr>
      <w:tr>
        <w:trPr>
          <w:trHeight w:val="21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76,910</w:t>
            </w:r>
          </w:p>
        </w:tc>
      </w:tr>
      <w:tr>
        <w:trPr>
          <w:trHeight w:val="213"/>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r>
      <w:tr>
        <w:trPr>
          <w:trHeight w:val="21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w:t>
            </w:r>
          </w:p>
        </w:tc>
      </w:tr>
      <w:tr>
        <w:trPr>
          <w:trHeight w:val="207"/>
        </w:trPr>
        <w:tc>
          <w:tcPr>
            <w:tcW w:w="842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640,465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626,678</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r>
      <w:tr>
        <w:trPr>
          <w:trHeight w:val="213"/>
        </w:trPr>
        <w:tc>
          <w:tcPr>
            <w:tcW w:w="8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employee expenses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30,157</w:t>
            </w:r>
          </w:p>
        </w:tc>
      </w:tr>
      <w:tr>
        <w:trPr>
          <w:trHeight w:val="219"/>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14,658</w:t>
            </w:r>
          </w:p>
        </w:tc>
      </w:tr>
      <w:tr>
        <w:trPr>
          <w:trHeight w:val="213"/>
        </w:trPr>
        <w:tc>
          <w:tcPr>
            <w:tcW w:w="8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16,087</w:t>
            </w:r>
          </w:p>
        </w:tc>
      </w:tr>
      <w:tr>
        <w:trPr>
          <w:trHeight w:val="212"/>
        </w:trPr>
        <w:tc>
          <w:tcPr>
            <w:tcW w:w="8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63,280</w:t>
            </w:r>
          </w:p>
        </w:tc>
      </w:tr>
      <w:tr>
        <w:trPr>
          <w:trHeight w:val="213"/>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37,476</w:t>
            </w:r>
          </w:p>
        </w:tc>
      </w:tr>
      <w:tr>
        <w:trPr>
          <w:trHeight w:val="21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6,632</w:t>
            </w:r>
          </w:p>
        </w:tc>
      </w:tr>
      <w:tr>
        <w:trPr>
          <w:trHeight w:val="207"/>
        </w:trPr>
        <w:tc>
          <w:tcPr>
            <w:tcW w:w="842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107,388</w:t>
            </w:r>
          </w:p>
        </w:tc>
      </w:tr>
      <w:tr>
        <w:trPr>
          <w:trHeight w:val="21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498,868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519,290</w:t>
            </w:r>
          </w:p>
        </w:tc>
      </w:tr>
      <w:tr>
        <w:trPr>
          <w:trHeight w:val="207"/>
        </w:trPr>
        <w:tc>
          <w:tcPr>
            <w:tcW w:w="842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640,465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626,678</w:t>
            </w:r>
          </w:p>
        </w:tc>
      </w:tr>
      <w:tr>
        <w:trPr>
          <w:trHeight w:val="23"/>
        </w:trPr>
        <w:tc>
          <w:tcPr>
            <w:tcW w:w="8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ectPr>
          <w:pgSz w:w="11900" w:h="16838" w:orient="portrait"/>
          <w:cols w:equalWidth="0" w:num="1">
            <w:col w:w="11180"/>
          </w:cols>
          <w:pgMar w:left="360" w:top="914" w:right="359" w:bottom="1440" w:gutter="0" w:footer="0" w:header="0"/>
        </w:sectPr>
      </w:pPr>
    </w:p>
    <w:bookmarkStart w:id="7" w:name="page8"/>
    <w:bookmarkEnd w:id="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(in thousands, except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5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2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249,353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Cost of revenue (exclusive of depreciation and amortization)</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Research and product development</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240" w:type="dxa"/>
            <w:vAlign w:val="bottom"/>
          </w:tcPr>
          <w:p>
            <w:pPr>
              <w:ind w:left="3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214,307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163,165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593,289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477,852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(loss)/income, net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5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0" w:type="dxa"/>
            <w:vAlign w:val="bottom"/>
          </w:tcPr>
          <w:p>
            <w:pPr>
              <w:spacing w:after="0"/>
              <w:rPr>
                <w:sz w:val="19"/>
                <w:szCs w:val="19"/>
                <w:color w:val="auto"/>
              </w:rPr>
            </w:pPr>
          </w:p>
        </w:tc>
        <w:tc>
          <w:tcPr>
            <w:tcW w:w="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0" w:type="dxa"/>
            <w:vAlign w:val="bottom"/>
          </w:tcPr>
          <w:p>
            <w:pPr>
              <w:spacing w:after="0"/>
              <w:rPr>
                <w:sz w:val="19"/>
                <w:szCs w:val="19"/>
                <w:color w:val="auto"/>
              </w:rPr>
            </w:pPr>
          </w:p>
        </w:tc>
        <w:tc>
          <w:tcPr>
            <w:tcW w:w="5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8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5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8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35,889</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36,036</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524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36,259</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36,756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36,368</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36,752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The following table presents our revenue categories:</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1"/>
        </w:trPr>
        <w:tc>
          <w:tcPr>
            <w:tcW w:w="5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9"/>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7"/>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5"/>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solutions</w:t>
            </w:r>
          </w:p>
        </w:tc>
        <w:tc>
          <w:tcPr>
            <w:tcW w:w="3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Value Added Services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192,092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536,943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249,353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Includes stock-based compensation expense as follows:</w:t>
            </w: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5"/>
        </w:trPr>
        <w:tc>
          <w:tcPr>
            <w:tcW w:w="5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9"/>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7"/>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Borders>
              <w:bottom w:val="single" w:sz="8" w:color="CCEEFF"/>
            </w:tcBorders>
          </w:tcPr>
          <w:p>
            <w:pPr>
              <w:spacing w:after="0"/>
              <w:rPr>
                <w:sz w:val="16"/>
                <w:szCs w:val="16"/>
                <w:color w:val="auto"/>
              </w:rPr>
            </w:pPr>
          </w:p>
        </w:tc>
        <w:tc>
          <w:tcPr>
            <w:tcW w:w="5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40" w:type="dxa"/>
            <w:vAlign w:val="bottom"/>
          </w:tcPr>
          <w:p>
            <w:pPr>
              <w:spacing w:after="0"/>
              <w:rPr>
                <w:sz w:val="19"/>
                <w:szCs w:val="19"/>
                <w:color w:val="auto"/>
              </w:rPr>
            </w:pPr>
          </w:p>
        </w:tc>
        <w:tc>
          <w:tcPr>
            <w:tcW w:w="5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1305" w:right="5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0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operating activities</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33,646</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101,009</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101,334</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0" w:type="dxa"/>
            <w:vAlign w:val="bottom"/>
          </w:tcPr>
          <w:p>
            <w:pPr>
              <w:spacing w:after="0"/>
              <w:rPr>
                <w:sz w:val="1"/>
                <w:szCs w:val="1"/>
                <w:color w:val="auto"/>
              </w:rPr>
            </w:pPr>
          </w:p>
        </w:tc>
      </w:tr>
      <w:tr>
        <w:trPr>
          <w:trHeight w:val="213"/>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costs capitalized to obtain revenue contracts, net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including as amortized</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44,304</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0" w:type="dxa"/>
            <w:vAlign w:val="bottom"/>
          </w:tcPr>
          <w:p>
            <w:pPr>
              <w:spacing w:after="0"/>
              <w:rPr>
                <w:sz w:val="1"/>
                <w:szCs w:val="1"/>
                <w:color w:val="auto"/>
              </w:rPr>
            </w:pPr>
          </w:p>
        </w:tc>
      </w:tr>
      <w:tr>
        <w:trPr>
          <w:trHeight w:val="213"/>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w:t>
            </w:r>
          </w:p>
        </w:tc>
        <w:tc>
          <w:tcPr>
            <w:tcW w:w="0" w:type="dxa"/>
            <w:vAlign w:val="bottom"/>
          </w:tcPr>
          <w:p>
            <w:pPr>
              <w:spacing w:after="0"/>
              <w:rPr>
                <w:sz w:val="1"/>
                <w:szCs w:val="1"/>
                <w:color w:val="auto"/>
              </w:rPr>
            </w:pPr>
          </w:p>
        </w:tc>
      </w:tr>
      <w:tr>
        <w:trPr>
          <w:trHeight w:val="213"/>
        </w:trPr>
        <w:tc>
          <w:tcPr>
            <w:tcW w:w="5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3"/>
        </w:trPr>
        <w:tc>
          <w:tcPr>
            <w:tcW w:w="5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w:t>
            </w:r>
          </w:p>
        </w:tc>
        <w:tc>
          <w:tcPr>
            <w:tcW w:w="0" w:type="dxa"/>
            <w:vAlign w:val="bottom"/>
          </w:tcPr>
          <w:p>
            <w:pPr>
              <w:spacing w:after="0"/>
              <w:rPr>
                <w:sz w:val="1"/>
                <w:szCs w:val="1"/>
                <w:color w:val="auto"/>
              </w:rPr>
            </w:pPr>
          </w:p>
        </w:tc>
      </w:tr>
      <w:tr>
        <w:trPr>
          <w:trHeight w:val="207"/>
        </w:trPr>
        <w:tc>
          <w:tcPr>
            <w:tcW w:w="54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86,007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57,770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177,115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151,593</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investing activities</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available-for-sale investments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(265,319)</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of available-for-sale investments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202,662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maturities of available-for-sale investments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163,755</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 of software development costs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long-term investments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in business acquisition, net of cash acquired</w:t>
            </w:r>
          </w:p>
        </w:tc>
        <w:tc>
          <w:tcPr>
            <w:tcW w:w="3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4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(72,013)</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32,546</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(107,497)</w:t>
            </w:r>
          </w:p>
        </w:tc>
        <w:tc>
          <w:tcPr>
            <w:tcW w:w="0" w:type="dxa"/>
            <w:vAlign w:val="bottom"/>
          </w:tcPr>
          <w:p>
            <w:pPr>
              <w:spacing w:after="0"/>
              <w:rPr>
                <w:sz w:val="1"/>
                <w:szCs w:val="1"/>
                <w:color w:val="auto"/>
              </w:rPr>
            </w:pPr>
          </w:p>
        </w:tc>
      </w:tr>
      <w:tr>
        <w:trPr>
          <w:trHeight w:val="194"/>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financing activities</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withholding for net share settlement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(35,101)</w:t>
            </w:r>
          </w:p>
        </w:tc>
        <w:tc>
          <w:tcPr>
            <w:tcW w:w="0" w:type="dxa"/>
            <w:vAlign w:val="bottom"/>
          </w:tcPr>
          <w:p>
            <w:pPr>
              <w:spacing w:after="0"/>
              <w:rPr>
                <w:sz w:val="1"/>
                <w:szCs w:val="1"/>
                <w:color w:val="auto"/>
              </w:rPr>
            </w:pPr>
          </w:p>
        </w:tc>
      </w:tr>
      <w:tr>
        <w:trPr>
          <w:trHeight w:val="165"/>
        </w:trPr>
        <w:tc>
          <w:tcPr>
            <w:tcW w:w="5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Proceeds from the issuance of common stock under the employee stock purchase</w:t>
            </w:r>
          </w:p>
        </w:tc>
        <w:tc>
          <w:tcPr>
            <w:tcW w:w="3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3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3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4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(11,379)</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(176,072)</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0" w:type="dxa"/>
            <w:vAlign w:val="bottom"/>
          </w:tcPr>
          <w:p>
            <w:pPr>
              <w:spacing w:after="0"/>
              <w:rPr>
                <w:sz w:val="1"/>
                <w:szCs w:val="1"/>
                <w:color w:val="auto"/>
              </w:rPr>
            </w:pPr>
          </w:p>
        </w:tc>
      </w:tr>
      <w:tr>
        <w:trPr>
          <w:trHeight w:val="207"/>
        </w:trPr>
        <w:tc>
          <w:tcPr>
            <w:tcW w:w="54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12,908</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73,728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59,889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42,754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49,759</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62,667</w:t>
            </w:r>
          </w:p>
        </w:tc>
        <w:tc>
          <w:tcPr>
            <w:tcW w:w="0" w:type="dxa"/>
            <w:vAlign w:val="bottom"/>
          </w:tcPr>
          <w:p>
            <w:pPr>
              <w:spacing w:after="0"/>
              <w:rPr>
                <w:sz w:val="1"/>
                <w:szCs w:val="1"/>
                <w:color w:val="auto"/>
              </w:rPr>
            </w:pPr>
          </w:p>
        </w:tc>
      </w:tr>
    </w:tbl>
    <w:p>
      <w:pPr>
        <w:sectPr>
          <w:pgSz w:w="11900" w:h="16838" w:orient="portrait"/>
          <w:cols w:equalWidth="0" w:num="1">
            <w:col w:w="10960"/>
          </w:cols>
          <w:pgMar w:left="460" w:top="1373" w:right="4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FROM GAAP TO NON-GAAP RESULTS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540" w:type="dxa"/>
            <w:vAlign w:val="bottom"/>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operating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GAAP cost of revenue (exclusive of depreciation and amortization)</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91,476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71,631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254,801</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205,878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(1,126)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(3,947)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(3,261)</w:t>
            </w:r>
          </w:p>
        </w:tc>
        <w:tc>
          <w:tcPr>
            <w:tcW w:w="0" w:type="dxa"/>
            <w:vAlign w:val="bottom"/>
          </w:tcPr>
          <w:p>
            <w:pPr>
              <w:spacing w:after="0"/>
              <w:rPr>
                <w:sz w:val="1"/>
                <w:szCs w:val="1"/>
                <w:color w:val="auto"/>
              </w:rPr>
            </w:pPr>
          </w:p>
        </w:tc>
      </w:tr>
      <w:tr>
        <w:trPr>
          <w:trHeight w:val="212"/>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Non-GAAP cost of revenue (exclusive of depreciation and amortization)</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90,235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70,505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250,854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202,617</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20" w:type="dxa"/>
            <w:vAlign w:val="bottom"/>
            <w:shd w:val="clear" w:color="auto" w:fill="CCEEFF"/>
          </w:tcPr>
          <w:p>
            <w:pPr>
              <w:ind w:left="320"/>
              <w:spacing w:after="0" w:line="129" w:lineRule="exact"/>
              <w:rPr>
                <w:sz w:val="20"/>
                <w:szCs w:val="20"/>
                <w:color w:val="auto"/>
              </w:rPr>
            </w:pPr>
            <w:r>
              <w:rPr>
                <w:rFonts w:ascii="Times New Roman" w:cs="Times New Roman" w:eastAsia="Times New Roman" w:hAnsi="Times New Roman"/>
                <w:sz w:val="14"/>
                <w:szCs w:val="14"/>
                <w:color w:val="auto"/>
              </w:rPr>
              <w:t>GAAP cost of revenue (exclusive of depreciation and amortization) as a</w:t>
            </w:r>
          </w:p>
        </w:tc>
        <w:tc>
          <w:tcPr>
            <w:tcW w:w="3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percentage of revenue</w:t>
            </w: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color w:val="auto"/>
              </w:rPr>
              <w:t>Non-GAAP cost of revenue (exclusive of depreciation and amortization) as</w:t>
            </w: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13"/>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 percentage of revenue</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5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GAAP sales and marketing</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35,912</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25,406</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103,745</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77,161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(3,443)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(2,071)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(9,336)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(5,284)</w:t>
            </w:r>
          </w:p>
        </w:tc>
        <w:tc>
          <w:tcPr>
            <w:tcW w:w="0" w:type="dxa"/>
            <w:vAlign w:val="bottom"/>
          </w:tcPr>
          <w:p>
            <w:pPr>
              <w:spacing w:after="0"/>
              <w:rPr>
                <w:sz w:val="1"/>
                <w:szCs w:val="1"/>
                <w:color w:val="auto"/>
              </w:rPr>
            </w:pPr>
          </w:p>
        </w:tc>
      </w:tr>
      <w:tr>
        <w:trPr>
          <w:trHeight w:val="212"/>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Non-GAAP sales and marketing</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32,469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23,335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94,409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71,877</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GAAP sales and marketing as a percentage of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3"/>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Non-GAAP sales and marketing as a percentage of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73"/>
        </w:trPr>
        <w:tc>
          <w:tcPr>
            <w:tcW w:w="5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GAAP research and product development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54,037</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40,662</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144,469</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118,079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(9,076)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(7,471)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(24,182)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(19,625)</w:t>
            </w:r>
          </w:p>
        </w:tc>
        <w:tc>
          <w:tcPr>
            <w:tcW w:w="0" w:type="dxa"/>
            <w:vAlign w:val="bottom"/>
          </w:tcPr>
          <w:p>
            <w:pPr>
              <w:spacing w:after="0"/>
              <w:rPr>
                <w:sz w:val="1"/>
                <w:szCs w:val="1"/>
                <w:color w:val="auto"/>
              </w:rPr>
            </w:pPr>
          </w:p>
        </w:tc>
      </w:tr>
      <w:tr>
        <w:trPr>
          <w:trHeight w:val="212"/>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Non-GAAP research and product development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44,961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33,191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120,287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98,454</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GAAP research and product development as a percentage of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3"/>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Non-GAAP research and product development as a percentage of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73"/>
        </w:trPr>
        <w:tc>
          <w:tcPr>
            <w:tcW w:w="5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GAAP general and administrative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27,446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21,139</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72,733</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62,525</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(7,033)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(5,367)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(17,998)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(16,133)</w:t>
            </w:r>
          </w:p>
        </w:tc>
        <w:tc>
          <w:tcPr>
            <w:tcW w:w="0" w:type="dxa"/>
            <w:vAlign w:val="bottom"/>
          </w:tcPr>
          <w:p>
            <w:pPr>
              <w:spacing w:after="0"/>
              <w:rPr>
                <w:sz w:val="1"/>
                <w:szCs w:val="1"/>
                <w:color w:val="auto"/>
              </w:rPr>
            </w:pPr>
          </w:p>
        </w:tc>
      </w:tr>
      <w:tr>
        <w:trPr>
          <w:trHeight w:val="212"/>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Non-GAAP general and administrative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20,413</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15,772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54,735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46,392</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GAAP general and administrative as a percentage of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3"/>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Non-GAAP general and administrative as a percentage of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73"/>
        </w:trPr>
        <w:tc>
          <w:tcPr>
            <w:tcW w:w="5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GAAP depreciation and amortization</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5,436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4,327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17,541</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14,209</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620"/>
              <w:spacing w:after="0" w:line="165" w:lineRule="exact"/>
              <w:rPr>
                <w:sz w:val="20"/>
                <w:szCs w:val="20"/>
                <w:color w:val="auto"/>
              </w:rPr>
            </w:pPr>
            <w:r>
              <w:rPr>
                <w:rFonts w:ascii="Times New Roman" w:cs="Times New Roman" w:eastAsia="Times New Roman" w:hAnsi="Times New Roman"/>
                <w:sz w:val="16"/>
                <w:szCs w:val="16"/>
                <w:color w:val="auto"/>
              </w:rPr>
              <w:t>Amortization of stock-based compensation capitalized in software</w:t>
            </w: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development costs</w:t>
            </w: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(2,558)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(7,673)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Non-GAAP depreciation and amortization</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2,637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3,795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9,145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12,450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6"/>
                <w:szCs w:val="16"/>
                <w:color w:val="auto"/>
              </w:rPr>
              <w:t>GAAP depreciation and amortization as a 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Non-GAAP depreciation and amortization as a percentage of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bl>
    <w:p>
      <w:pPr>
        <w:sectPr>
          <w:pgSz w:w="11900" w:h="16838" w:orient="portrait"/>
          <w:cols w:equalWidth="0" w:num="1">
            <w:col w:w="11040"/>
          </w:cols>
          <w:pgMar w:left="420" w:top="914" w:right="4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560" w:type="dxa"/>
            <w:vAlign w:val="bottom"/>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GAAP income from operations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35,046</w:t>
            </w:r>
          </w:p>
        </w:tc>
        <w:tc>
          <w:tcPr>
            <w:tcW w:w="100" w:type="dxa"/>
            <w:vAlign w:val="bottom"/>
          </w:tcPr>
          <w:p>
            <w:pPr>
              <w:spacing w:after="0"/>
              <w:rPr>
                <w:sz w:val="18"/>
                <w:szCs w:val="18"/>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42,568</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109,341</w:t>
            </w:r>
          </w:p>
        </w:tc>
        <w:tc>
          <w:tcPr>
            <w:tcW w:w="100" w:type="dxa"/>
            <w:vAlign w:val="bottom"/>
          </w:tcPr>
          <w:p>
            <w:pPr>
              <w:spacing w:after="0"/>
              <w:rPr>
                <w:sz w:val="18"/>
                <w:szCs w:val="18"/>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112,686</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20,793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16,035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55,463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44,303</w:t>
            </w:r>
          </w:p>
        </w:tc>
        <w:tc>
          <w:tcPr>
            <w:tcW w:w="0" w:type="dxa"/>
            <w:vAlign w:val="bottom"/>
          </w:tcPr>
          <w:p>
            <w:pPr>
              <w:spacing w:after="0"/>
              <w:rPr>
                <w:sz w:val="1"/>
                <w:szCs w:val="1"/>
                <w:color w:val="auto"/>
              </w:rPr>
            </w:pPr>
          </w:p>
        </w:tc>
      </w:tr>
      <w:tr>
        <w:trPr>
          <w:trHeight w:val="162"/>
        </w:trPr>
        <w:tc>
          <w:tcPr>
            <w:tcW w:w="4960" w:type="dxa"/>
            <w:vAlign w:val="bottom"/>
          </w:tcPr>
          <w:p>
            <w:pPr>
              <w:ind w:left="620"/>
              <w:spacing w:after="0" w:line="162" w:lineRule="exact"/>
              <w:rPr>
                <w:sz w:val="20"/>
                <w:szCs w:val="20"/>
                <w:color w:val="auto"/>
              </w:rPr>
            </w:pPr>
            <w:r>
              <w:rPr>
                <w:rFonts w:ascii="Times New Roman" w:cs="Times New Roman" w:eastAsia="Times New Roman" w:hAnsi="Times New Roman"/>
                <w:sz w:val="16"/>
                <w:szCs w:val="16"/>
                <w:color w:val="auto"/>
              </w:rPr>
              <w:t>Amortization of stock-based compensation capitalized in software</w:t>
            </w:r>
          </w:p>
        </w:tc>
        <w:tc>
          <w:tcPr>
            <w:tcW w:w="320" w:type="dxa"/>
            <w:vAlign w:val="bottom"/>
          </w:tcPr>
          <w:p>
            <w:pPr>
              <w:spacing w:after="0"/>
              <w:rPr>
                <w:sz w:val="14"/>
                <w:szCs w:val="14"/>
                <w:color w:val="auto"/>
              </w:rPr>
            </w:pPr>
          </w:p>
        </w:tc>
        <w:tc>
          <w:tcPr>
            <w:tcW w:w="106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13"/>
        </w:trPr>
        <w:tc>
          <w:tcPr>
            <w:tcW w:w="49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development costs</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7,673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12"/>
        </w:trPr>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58,638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59,135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173,200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158,748</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margin: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GAAP operating margin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19.1 %</w:t>
            </w:r>
          </w:p>
        </w:tc>
        <w:tc>
          <w:tcPr>
            <w:tcW w:w="0" w:type="dxa"/>
            <w:vAlign w:val="bottom"/>
          </w:tcPr>
          <w:p>
            <w:pPr>
              <w:spacing w:after="0"/>
              <w:rPr>
                <w:sz w:val="1"/>
                <w:szCs w:val="1"/>
                <w:color w:val="auto"/>
              </w:rPr>
            </w:pPr>
          </w:p>
        </w:tc>
      </w:tr>
      <w:tr>
        <w:trPr>
          <w:trHeight w:val="213"/>
        </w:trPr>
        <w:tc>
          <w:tcPr>
            <w:tcW w:w="49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Stock-based compensation expense as a percentage of revenue</w:t>
            </w:r>
          </w:p>
        </w:tc>
        <w:tc>
          <w:tcPr>
            <w:tcW w:w="3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65"/>
        </w:trPr>
        <w:tc>
          <w:tcPr>
            <w:tcW w:w="4960" w:type="dxa"/>
            <w:vAlign w:val="bottom"/>
            <w:shd w:val="clear" w:color="auto" w:fill="CCEEFF"/>
          </w:tcPr>
          <w:p>
            <w:pPr>
              <w:ind w:left="620"/>
              <w:spacing w:after="0" w:line="165" w:lineRule="exact"/>
              <w:rPr>
                <w:sz w:val="20"/>
                <w:szCs w:val="20"/>
                <w:color w:val="auto"/>
              </w:rPr>
            </w:pPr>
            <w:r>
              <w:rPr>
                <w:rFonts w:ascii="Times New Roman" w:cs="Times New Roman" w:eastAsia="Times New Roman" w:hAnsi="Times New Roman"/>
                <w:sz w:val="16"/>
                <w:szCs w:val="16"/>
                <w:color w:val="auto"/>
              </w:rPr>
              <w:t>Amortization of stock-based compensation capitalized in software</w:t>
            </w: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development costs as a percentage of revenue</w:t>
            </w: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6"/>
                <w:szCs w:val="16"/>
                <w:color w:val="auto"/>
              </w:rPr>
              <w:t>Amortization of purchased intangibles as a percentage of revenue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Non-GAAP operating margin</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28.7 %</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26.9 %</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GAAP 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33,646</w:t>
            </w:r>
          </w:p>
        </w:tc>
        <w:tc>
          <w:tcPr>
            <w:tcW w:w="100" w:type="dxa"/>
            <w:vAlign w:val="bottom"/>
          </w:tcPr>
          <w:p>
            <w:pPr>
              <w:spacing w:after="0"/>
              <w:rPr>
                <w:sz w:val="18"/>
                <w:szCs w:val="18"/>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33,006</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101,009</w:t>
            </w:r>
          </w:p>
        </w:tc>
        <w:tc>
          <w:tcPr>
            <w:tcW w:w="100" w:type="dxa"/>
            <w:vAlign w:val="bottom"/>
          </w:tcPr>
          <w:p>
            <w:pPr>
              <w:spacing w:after="0"/>
              <w:rPr>
                <w:sz w:val="18"/>
                <w:szCs w:val="18"/>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101,334</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20,793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16,035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55,463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44,303</w:t>
            </w:r>
          </w:p>
        </w:tc>
        <w:tc>
          <w:tcPr>
            <w:tcW w:w="0" w:type="dxa"/>
            <w:vAlign w:val="bottom"/>
          </w:tcPr>
          <w:p>
            <w:pPr>
              <w:spacing w:after="0"/>
              <w:rPr>
                <w:sz w:val="1"/>
                <w:szCs w:val="1"/>
                <w:color w:val="auto"/>
              </w:rPr>
            </w:pPr>
          </w:p>
        </w:tc>
      </w:tr>
      <w:tr>
        <w:trPr>
          <w:trHeight w:val="162"/>
        </w:trPr>
        <w:tc>
          <w:tcPr>
            <w:tcW w:w="4960" w:type="dxa"/>
            <w:vAlign w:val="bottom"/>
          </w:tcPr>
          <w:p>
            <w:pPr>
              <w:ind w:left="620"/>
              <w:spacing w:after="0" w:line="162" w:lineRule="exact"/>
              <w:rPr>
                <w:sz w:val="20"/>
                <w:szCs w:val="20"/>
                <w:color w:val="auto"/>
              </w:rPr>
            </w:pPr>
            <w:r>
              <w:rPr>
                <w:rFonts w:ascii="Times New Roman" w:cs="Times New Roman" w:eastAsia="Times New Roman" w:hAnsi="Times New Roman"/>
                <w:sz w:val="16"/>
                <w:szCs w:val="16"/>
                <w:color w:val="auto"/>
              </w:rPr>
              <w:t>Amortization of stock-based compensation capitalized in software</w:t>
            </w:r>
          </w:p>
        </w:tc>
        <w:tc>
          <w:tcPr>
            <w:tcW w:w="320" w:type="dxa"/>
            <w:vAlign w:val="bottom"/>
          </w:tcPr>
          <w:p>
            <w:pPr>
              <w:spacing w:after="0"/>
              <w:rPr>
                <w:sz w:val="14"/>
                <w:szCs w:val="14"/>
                <w:color w:val="auto"/>
              </w:rPr>
            </w:pPr>
          </w:p>
        </w:tc>
        <w:tc>
          <w:tcPr>
            <w:tcW w:w="106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13"/>
        </w:trPr>
        <w:tc>
          <w:tcPr>
            <w:tcW w:w="49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development costs</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7,673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6"/>
                <w:szCs w:val="16"/>
                <w:color w:val="auto"/>
              </w:rPr>
              <w:t>Income tax effect of adjustments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(9,582)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(2,211)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(23,182)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(20,474)</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Non-GAAP 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47,656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47,362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141,686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126,922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per share, basic:</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GAAP net income per share, basic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tcPr>
          <w:p>
            <w:pPr>
              <w:spacing w:after="0"/>
              <w:rPr>
                <w:sz w:val="18"/>
                <w:szCs w:val="18"/>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0.91</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Non-GAAP adjustments to net income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0.71</w:t>
            </w:r>
          </w:p>
        </w:tc>
        <w:tc>
          <w:tcPr>
            <w:tcW w:w="0" w:type="dxa"/>
            <w:vAlign w:val="bottom"/>
          </w:tcPr>
          <w:p>
            <w:pPr>
              <w:spacing w:after="0"/>
              <w:rPr>
                <w:sz w:val="1"/>
                <w:szCs w:val="1"/>
                <w:color w:val="auto"/>
              </w:rPr>
            </w:pPr>
          </w:p>
        </w:tc>
      </w:tr>
      <w:tr>
        <w:trPr>
          <w:trHeight w:val="212"/>
        </w:trPr>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Non-GAAP net income per share, basic</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per share, diluted: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GAAP net income per share, 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6"/>
                <w:szCs w:val="16"/>
                <w:color w:val="auto"/>
              </w:rPr>
              <w:t>Non-GAAP adjustments to net income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0.69</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Non-GAAP net income per share,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Weighted-average shares used in GAAP and non-GAAP per share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calculation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35,889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36,306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36,036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36,211</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36,259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36,756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36,368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36,752</w:t>
            </w:r>
          </w:p>
        </w:tc>
        <w:tc>
          <w:tcPr>
            <w:tcW w:w="0" w:type="dxa"/>
            <w:vAlign w:val="bottom"/>
          </w:tcPr>
          <w:p>
            <w:pPr>
              <w:spacing w:after="0"/>
              <w:rPr>
                <w:sz w:val="1"/>
                <w:szCs w:val="1"/>
                <w:color w:val="auto"/>
              </w:rPr>
            </w:pPr>
          </w:p>
        </w:tc>
      </w:tr>
    </w:tbl>
    <w:p>
      <w:pPr>
        <w:sectPr>
          <w:pgSz w:w="11900" w:h="16838" w:orient="portrait"/>
          <w:cols w:equalWidth="0" w:num="1">
            <w:col w:w="10780"/>
          </w:cols>
          <w:pgMar w:left="560" w:top="912" w:right="5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Statement Regarding the Use of Non-GAAP Financial Measures</w:t>
      </w:r>
    </w:p>
    <w:p>
      <w:pPr>
        <w:spacing w:after="0" w:line="2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 the following non-GAAP financial measures in addition to, and not as a substitute for, or superior to, financial measures calculated in accordance with GAAP.</w:t>
      </w:r>
    </w:p>
    <w:p>
      <w:pPr>
        <w:spacing w:after="0" w:line="227" w:lineRule="exact"/>
        <w:rPr>
          <w:sz w:val="20"/>
          <w:szCs w:val="20"/>
          <w:color w:val="auto"/>
        </w:rPr>
      </w:pPr>
    </w:p>
    <w:p>
      <w:pPr>
        <w:jc w:val="both"/>
        <w:ind w:left="660" w:hanging="328"/>
        <w:spacing w:after="0" w:line="246"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Non-GAAP presentation of income from operations, costs and operating expenses, operating margin, net income, and net income per share. </w:t>
      </w:r>
      <w:r>
        <w:rPr>
          <w:rFonts w:ascii="Times New Roman" w:cs="Times New Roman" w:eastAsia="Times New Roman" w:hAnsi="Times New Roman"/>
          <w:sz w:val="18"/>
          <w:szCs w:val="18"/>
          <w:color w:val="auto"/>
        </w:rPr>
        <w:t>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exclude certain non-cash or non-recurring items, including stock-based compensation expense, amortization of stock-based compensation capitalized in software development costs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amortization of purchased intangibles, and the related income tax effect of these adjustments, as applicable and described below. Non-GAAP operating margin is calculated as non-GAAP operating income from operations as a percentage of revenue.</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each of these non-GAAP financial measures internally to assess and compare operating results across reporting periods, for internal budgeting and forecasting purposes, and to evaluate our financial performance. We believe these non-GAAP financial measures also provide useful supplemental information to investors and facilitate the analysis of our operating results and comparison of operating results across reporting periods.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particular, we believe these non-GAAP financial measures are useful to investors and others in assessing our operating performance due to the following factors:</w:t>
      </w:r>
    </w:p>
    <w:p>
      <w:pPr>
        <w:spacing w:after="0" w:line="227" w:lineRule="exact"/>
        <w:rPr>
          <w:sz w:val="20"/>
          <w:szCs w:val="20"/>
          <w:color w:val="auto"/>
        </w:rPr>
      </w:pPr>
    </w:p>
    <w:p>
      <w:pPr>
        <w:jc w:val="both"/>
        <w:ind w:left="660" w:hanging="328"/>
        <w:spacing w:after="0" w:line="248" w:lineRule="auto"/>
        <w:tabs>
          <w:tab w:leader="none" w:pos="655" w:val="left"/>
        </w:tabs>
        <w:numPr>
          <w:ilvl w:val="0"/>
          <w:numId w:val="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 xml:space="preserve">Stock-based compensation expense and amortization of stock-based compensation capitalized in software development costs. </w:t>
      </w:r>
      <w:r>
        <w:rPr>
          <w:rFonts w:ascii="Times New Roman" w:cs="Times New Roman" w:eastAsia="Times New Roman" w:hAnsi="Times New Roman"/>
          <w:sz w:val="18"/>
          <w:szCs w:val="18"/>
          <w:color w:val="auto"/>
        </w:rPr>
        <w:t>We utilize stock-based compensation to attract and retain employees. It is principally aimed at aligning their interests with those of our stockholders while ensuring long-term retention, rather than to address operational performance for any particular period. As a result, stock-based compensation expenses vary for reasons that are generally unrelated to financial and operational performance in any particular period.</w:t>
      </w:r>
    </w:p>
    <w:p>
      <w:pPr>
        <w:spacing w:after="0" w:line="257" w:lineRule="exact"/>
        <w:rPr>
          <w:rFonts w:ascii="Times New Roman" w:cs="Times New Roman" w:eastAsia="Times New Roman" w:hAnsi="Times New Roman"/>
          <w:sz w:val="22"/>
          <w:szCs w:val="22"/>
          <w:i w:val="1"/>
          <w:iCs w:val="1"/>
          <w:color w:val="auto"/>
        </w:rPr>
      </w:pPr>
    </w:p>
    <w:p>
      <w:pPr>
        <w:jc w:val="both"/>
        <w:ind w:left="660" w:hanging="328"/>
        <w:spacing w:after="0"/>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We view amortization of purchased intangible assets as items arising from pre-acquisition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at the time of an acquisition. While these intangible assets are evaluated for impairment regularly, amortization of the cost of purchased intangibles is an expense that is not typically affected by operations during any particular period.</w:t>
      </w:r>
    </w:p>
    <w:p>
      <w:pPr>
        <w:spacing w:after="0" w:line="224"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Income tax effects of adjustments</w:t>
      </w:r>
      <w:r>
        <w:rPr>
          <w:rFonts w:ascii="Times New Roman" w:cs="Times New Roman" w:eastAsia="Times New Roman" w:hAnsi="Times New Roman"/>
          <w:sz w:val="18"/>
          <w:szCs w:val="18"/>
          <w:color w:val="auto"/>
        </w:rPr>
        <w:t>. We utilize a fixed long-term projected tax rate in our computation of non-GAAP income tax effects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better consistency across interim reporting periods. In projecting this long-term non-GAAP tax rate, we utilize a financial projection that excludes the direct impact of other non-GAAP adjustments. The projected rate, which we have determined to be 21% and 25% for 2025 and 2024, respectively, considers other factors such as our current operating structure, existing tax positions in various jurisdictions, and key legislation in major jurisdictions where we operate. We periodically re-evaluate this tax rate, as necessary, for significant events, based on relevant tax law changes, and material changes in the forecasted geographic earnings mix.</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non-GAAP financial measures may not provide information that is directly comparable to that provided by other companies in our industry, as other companies may calculate non-GAAP financial results differently. In addition, there are limitations in using non-GAAP financial measures because non-GAAP financial measures are not prepared in accordance with GAAP and can exclude expenses that may have a material impact on our reported financial results. As such, non-GAAP financial measures should not be considered in isolation from, or as a substitute for, financial information prepared in accordance with GAAP. A reconciliation of the historical non-GAAP financial measures to their most directly comparable GAAP measures has been</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provided in the tables above. We encourage investors to review the reconciliation of these historical non-GAAP financial measures to their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240"/>
      </w:cols>
      <w:pgMar w:left="320" w:top="9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2025-10-30T15:26:46Z</dcterms:created>
  <dcterms:modified xsi:type="dcterms:W3CDTF">2025-10-30T15:26:46Z</dcterms:modified>
</cp:coreProperties>
</file>