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506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50684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Barat Elizabeth Erin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 CASTILIAN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APPFOLIO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APPF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65"/>
        <w:spacing w:after="0"/>
        <w:rPr>
          <w:sz w:val="20"/>
          <w:szCs w:val="20"/>
          <w:color w:val="auto"/>
        </w:rPr>
      </w:pPr>
      <w:r>
        <w:rPr>
          <w:rFonts w:ascii="Times New Roman" w:cs="Times New Roman" w:eastAsia="Times New Roman" w:hAnsi="Times New Roman"/>
          <w:sz w:val="17"/>
          <w:szCs w:val="17"/>
          <w:color w:val="0000FF"/>
        </w:rPr>
        <w:t>Chief People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93117</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BARBARA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4"/>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jc w:val="center"/>
              <w:ind w:left="603"/>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left="47"/>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05/10/2026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left="1"/>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301</w:t>
            </w:r>
            <w:r>
              <w:rPr>
                <w:rFonts w:ascii="Times New Roman" w:cs="Times New Roman" w:eastAsia="Times New Roman" w:hAnsi="Times New Roman"/>
                <w:sz w:val="11"/>
                <w:szCs w:val="11"/>
                <w:color w:val="008000"/>
                <w:w w:val="81"/>
              </w:rPr>
              <w:t>(1)</w:t>
            </w:r>
          </w:p>
        </w:tc>
        <w:tc>
          <w:tcPr>
            <w:tcW w:w="44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24,466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05/10/2026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left="1"/>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270</w:t>
            </w:r>
            <w:r>
              <w:rPr>
                <w:rFonts w:ascii="Times New Roman" w:cs="Times New Roman" w:eastAsia="Times New Roman" w:hAnsi="Times New Roman"/>
                <w:sz w:val="11"/>
                <w:szCs w:val="11"/>
                <w:color w:val="008000"/>
                <w:w w:val="81"/>
              </w:rPr>
              <w:t>(2)</w:t>
            </w:r>
          </w:p>
        </w:tc>
        <w:tc>
          <w:tcPr>
            <w:tcW w:w="44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24,196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05/10/2026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left="1"/>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142</w:t>
            </w:r>
            <w:r>
              <w:rPr>
                <w:rFonts w:ascii="Times New Roman" w:cs="Times New Roman" w:eastAsia="Times New Roman" w:hAnsi="Times New Roman"/>
                <w:sz w:val="11"/>
                <w:szCs w:val="11"/>
                <w:color w:val="008000"/>
                <w:w w:val="81"/>
              </w:rPr>
              <w:t>(3)</w:t>
            </w:r>
          </w:p>
        </w:tc>
        <w:tc>
          <w:tcPr>
            <w:tcW w:w="44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24,054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05/10/2026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left="1"/>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102</w:t>
            </w:r>
            <w:r>
              <w:rPr>
                <w:rFonts w:ascii="Times New Roman" w:cs="Times New Roman" w:eastAsia="Times New Roman" w:hAnsi="Times New Roman"/>
                <w:sz w:val="11"/>
                <w:szCs w:val="11"/>
                <w:color w:val="008000"/>
                <w:w w:val="81"/>
              </w:rPr>
              <w:t>(4)</w:t>
            </w:r>
          </w:p>
        </w:tc>
        <w:tc>
          <w:tcPr>
            <w:tcW w:w="44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23,952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05/10/2026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left="1"/>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146</w:t>
            </w:r>
            <w:r>
              <w:rPr>
                <w:rFonts w:ascii="Times New Roman" w:cs="Times New Roman" w:eastAsia="Times New Roman" w:hAnsi="Times New Roman"/>
                <w:sz w:val="11"/>
                <w:szCs w:val="11"/>
                <w:color w:val="008000"/>
                <w:w w:val="81"/>
              </w:rPr>
              <w:t>(5)</w:t>
            </w:r>
          </w:p>
        </w:tc>
        <w:tc>
          <w:tcPr>
            <w:tcW w:w="44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23,806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05/10/2026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left="1"/>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110</w:t>
            </w:r>
            <w:r>
              <w:rPr>
                <w:rFonts w:ascii="Times New Roman" w:cs="Times New Roman" w:eastAsia="Times New Roman" w:hAnsi="Times New Roman"/>
                <w:sz w:val="11"/>
                <w:szCs w:val="11"/>
                <w:color w:val="008000"/>
                <w:w w:val="81"/>
              </w:rPr>
              <w:t>(5)</w:t>
            </w:r>
          </w:p>
        </w:tc>
        <w:tc>
          <w:tcPr>
            <w:tcW w:w="44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23,696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05/10/2026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left="1"/>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88</w:t>
            </w:r>
            <w:r>
              <w:rPr>
                <w:rFonts w:ascii="Times New Roman" w:cs="Times New Roman" w:eastAsia="Times New Roman" w:hAnsi="Times New Roman"/>
                <w:sz w:val="11"/>
                <w:szCs w:val="11"/>
                <w:color w:val="008000"/>
                <w:w w:val="84"/>
              </w:rPr>
              <w:t>(6)</w:t>
            </w:r>
          </w:p>
        </w:tc>
        <w:tc>
          <w:tcPr>
            <w:tcW w:w="44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23,608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05/10/2026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left="1"/>
              <w:spacing w:after="0" w:line="320" w:lineRule="exact"/>
              <w:rPr>
                <w:sz w:val="20"/>
                <w:szCs w:val="20"/>
                <w:color w:val="auto"/>
              </w:rPr>
            </w:pPr>
            <w:r>
              <w:rPr>
                <w:rFonts w:ascii="Times New Roman" w:cs="Times New Roman" w:eastAsia="Times New Roman" w:hAnsi="Times New Roman"/>
                <w:sz w:val="34"/>
                <w:szCs w:val="34"/>
                <w:color w:val="0000FF"/>
                <w:w w:val="84"/>
                <w:vertAlign w:val="subscript"/>
              </w:rPr>
              <w:t>85</w:t>
            </w:r>
            <w:r>
              <w:rPr>
                <w:rFonts w:ascii="Times New Roman" w:cs="Times New Roman" w:eastAsia="Times New Roman" w:hAnsi="Times New Roman"/>
                <w:sz w:val="11"/>
                <w:szCs w:val="11"/>
                <w:color w:val="008000"/>
                <w:w w:val="84"/>
              </w:rPr>
              <w:t>(7)</w:t>
            </w:r>
          </w:p>
        </w:tc>
        <w:tc>
          <w:tcPr>
            <w:tcW w:w="44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166.59</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23,523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80" w:type="dxa"/>
            <w:vAlign w:val="bottom"/>
            <w:tcBorders>
              <w:bottom w:val="single" w:sz="8" w:color="2C2C2C"/>
            </w:tcBorders>
            <w:gridSpan w:val="3"/>
          </w:tcPr>
          <w:p>
            <w:pPr>
              <w:jc w:val="center"/>
              <w:ind w:left="583"/>
              <w:spacing w:after="0"/>
              <w:rPr>
                <w:sz w:val="20"/>
                <w:szCs w:val="20"/>
                <w:color w:val="auto"/>
              </w:rPr>
            </w:pPr>
            <w:r>
              <w:rPr>
                <w:rFonts w:ascii="Times New Roman" w:cs="Times New Roman" w:eastAsia="Times New Roman" w:hAnsi="Times New Roman"/>
                <w:sz w:val="17"/>
                <w:szCs w:val="17"/>
                <w:color w:val="0000FF"/>
              </w:rPr>
              <w:t>05/12/2026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7"/>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1,978</w:t>
            </w:r>
            <w:r>
              <w:rPr>
                <w:rFonts w:ascii="Times New Roman" w:cs="Times New Roman" w:eastAsia="Times New Roman" w:hAnsi="Times New Roman"/>
                <w:sz w:val="22"/>
                <w:szCs w:val="22"/>
                <w:color w:val="008000"/>
                <w:w w:val="93"/>
                <w:vertAlign w:val="superscript"/>
              </w:rPr>
              <w:t>(8)</w:t>
            </w:r>
          </w:p>
        </w:tc>
        <w:tc>
          <w:tcPr>
            <w:tcW w:w="440" w:type="dxa"/>
            <w:vAlign w:val="bottom"/>
            <w:tcBorders>
              <w:bottom w:val="single" w:sz="8" w:color="2C2C2C"/>
            </w:tcBorders>
          </w:tcPr>
          <w:p>
            <w:pPr>
              <w:jc w:val="center"/>
              <w:ind w:left="87"/>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158.12</w:t>
            </w: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21,545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jc w:val="center"/>
              <w:ind w:left="66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jc w:val="center"/>
              <w:ind w:right="4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jc w:val="center"/>
              <w:ind w:right="317"/>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performance-based restricted stock units ("PSUs") previously granted to the Reporting Person on January 29, 2025 pursuant to the Issuer's 2025 Omnibus Plan.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PSUs previously granted to the Reporting Person on January 24, 2024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time-based restricted stock units ("RSUs") previously granted to the Reporting Person on January 27, 2026 pursuant to the Issuer's 2025 Omnibus Plan.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RSUs previously granted to the Reporting Person on January 28, 2025 pursuant to the Issuer's 2025 Omnibus Plan.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RSUs previously granted to the Reporting Person on January 23, 2024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RSUs previously granted to the Reporting Person on April 25, 2023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Class A Common Stock withheld by the Issuer to satisfy the minimum tax withholding obligations of the Reporting Person arising in connection with the vesting on May 10, 2026 of the RSUs previously granted to the Reporting Person on January 24, 2023 pursuant to the Issuer's 2015 Stock Incentive Plan.</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with sales prices ranging from $158.00 to $158.23. The price reported above reflects the weighted average sales price for the cumulative trades. The reporting person hereby undertakes to provide upon request to the SEC staff, the issuer or a security holder of the issuer information regarding the individual trades.</w:t>
      </w:r>
    </w:p>
    <w:p>
      <w:pPr>
        <w:sectPr>
          <w:pgSz w:w="11900" w:h="16838" w:orient="portrait"/>
          <w:cols w:equalWidth="0" w:num="1">
            <w:col w:w="11080"/>
          </w:cols>
          <w:pgMar w:left="460" w:top="219" w:right="359" w:bottom="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195"/>
        </w:trPr>
        <w:tc>
          <w:tcPr>
            <w:tcW w:w="15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0000FF"/>
              </w:rPr>
              <w:t>/s/ Evan Pickering, as</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05/12/2026</w:t>
            </w:r>
          </w:p>
        </w:tc>
      </w:tr>
      <w:tr>
        <w:trPr>
          <w:trHeight w:val="193"/>
        </w:trPr>
        <w:tc>
          <w:tcPr>
            <w:tcW w:w="2080" w:type="dxa"/>
            <w:vAlign w:val="bottom"/>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Attorney-in-Fact, for</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128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Elizabeth E. Barat</w:t>
            </w:r>
          </w:p>
        </w:tc>
        <w:tc>
          <w:tcPr>
            <w:tcW w:w="180" w:type="dxa"/>
            <w:vAlign w:val="bottom"/>
            <w:tcBorders>
              <w:top w:val="single" w:sz="8" w:color="auto"/>
            </w:tcBorders>
          </w:tcPr>
          <w:p>
            <w:pPr>
              <w:spacing w:after="0"/>
              <w:rPr>
                <w:sz w:val="16"/>
                <w:szCs w:val="16"/>
                <w:color w:val="auto"/>
              </w:rPr>
            </w:pPr>
          </w:p>
        </w:tc>
        <w:tc>
          <w:tcPr>
            <w:tcW w:w="6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35"/>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1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4905" TargetMode="External"/><Relationship Id="rId14" Type="http://schemas.openxmlformats.org/officeDocument/2006/relationships/hyperlink" Target="http://www.sec.gov/cgi-bin/browse-edgar?action=getcompany&amp;CIK=00014331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2026-05-12T19:50:17Z</dcterms:created>
  <dcterms:modified xsi:type="dcterms:W3CDTF">2026-05-12T19:50:17Z</dcterms:modified>
</cp:coreProperties>
</file>