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40"/>
        <w:jc w:val="center"/>
        <w:rPr/>
      </w:pPr>
      <w:r>
        <w:rPr>
          <w:color w:val="000000"/>
        </w:rPr>
        <w:t> </w:t>
      </w: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100" w:after="10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 one)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June 30, 2023. </w:t>
      </w:r>
    </w:p>
    <w:p>
      <w:pPr>
        <w:pStyle w:val="TextBody"/>
        <w:bidi w:val="0"/>
        <w:spacing w:lineRule="auto" w:line="288" w:before="0" w:after="0"/>
        <w:jc w:val="left"/>
        <w:rPr/>
      </w:pP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 to ________.</w:t>
      </w:r>
    </w:p>
    <w:p>
      <w:pPr>
        <w:pStyle w:val="TextBody"/>
        <w:bidi w:val="0"/>
        <w:spacing w:before="100" w:after="100"/>
        <w:jc w:val="left"/>
        <w:rPr/>
      </w:pPr>
      <w:r>
        <w:rPr/>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001-37468 </w:t>
      </w:r>
    </w:p>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AppFolio, Inc. </w:t>
      </w:r>
    </w:p>
    <w:p>
      <w:pPr>
        <w:pStyle w:val="TextBody"/>
        <w:bidi w:val="0"/>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(Exact name of registrant as specified in its charter)</w:t>
      </w:r>
    </w:p>
    <w:tbl>
      <w:tblPr>
        <w:tblW w:w="6821" w:type="dxa"/>
        <w:jc w:val="center"/>
        <w:tblInd w:w="0" w:type="dxa"/>
        <w:tblLayout w:type="fixed"/>
        <w:tblCellMar>
          <w:top w:w="28" w:type="dxa"/>
          <w:left w:w="28" w:type="dxa"/>
          <w:bottom w:w="28" w:type="dxa"/>
          <w:right w:w="28" w:type="dxa"/>
        </w:tblCellMar>
      </w:tblPr>
      <w:tblGrid>
        <w:gridCol w:w="421"/>
        <w:gridCol w:w="371"/>
        <w:gridCol w:w="371"/>
        <w:gridCol w:w="371"/>
        <w:gridCol w:w="371"/>
        <w:gridCol w:w="371"/>
        <w:gridCol w:w="371"/>
        <w:gridCol w:w="371"/>
        <w:gridCol w:w="387"/>
        <w:gridCol w:w="109"/>
        <w:gridCol w:w="109"/>
        <w:gridCol w:w="109"/>
        <w:gridCol w:w="902"/>
        <w:gridCol w:w="902"/>
        <w:gridCol w:w="1285"/>
      </w:tblGrid>
      <w:tr>
        <w:trPr/>
        <w:tc>
          <w:tcPr>
            <w:tcW w:w="4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26-0359894</w:t>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(State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(I.R.S. Employer Identification No.)</w:t>
            </w:r>
          </w:p>
        </w:tc>
      </w:tr>
      <w:tr>
        <w:trPr/>
        <w:tc>
          <w:tcPr>
            <w:tcW w:w="682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70 Castilian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93117</w:t>
            </w:r>
          </w:p>
        </w:tc>
      </w:tr>
      <w:tr>
        <w:trPr/>
        <w:tc>
          <w:tcPr>
            <w:tcW w:w="2276" w:type="dxa"/>
            <w:gridSpan w:val="6"/>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color w:val="000000"/>
                <w:sz w:val="20"/>
              </w:rPr>
              <w:t>Santa Barbara,</w:t>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 xml:space="preserve">(Address of principal executive offices)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(Zip Code)</w:t>
            </w:r>
          </w:p>
        </w:tc>
      </w:tr>
    </w:tbl>
    <w:p>
      <w:pPr>
        <w:pStyle w:val="TextBody"/>
        <w:bidi w:val="0"/>
        <w:spacing w:lineRule="auto" w:line="288" w:before="80" w:after="180"/>
        <w:jc w:val="center"/>
        <w:rPr/>
      </w:pPr>
      <w:r>
        <w:rPr>
          <w:color w:val="000000"/>
        </w:rPr>
        <w:t> </w:t>
      </w:r>
      <w:r>
        <w:rPr>
          <w:rFonts w:ascii="Times New Roman;sans-serif" w:hAnsi="Times New Roman;sans-serif"/>
          <w:b/>
          <w:color w:val="000000"/>
          <w:sz w:val="18"/>
        </w:rPr>
        <w:t xml:space="preserve">(805) 364-6093 </w:t>
      </w:r>
    </w:p>
    <w:p>
      <w:pPr>
        <w:pStyle w:val="TextBody"/>
        <w:bidi w:val="0"/>
        <w:spacing w:lineRule="auto" w:line="417" w:before="180" w:after="180"/>
        <w:jc w:val="center"/>
        <w:rPr>
          <w:rFonts w:ascii="Times New Roman;sans-serif" w:hAnsi="Times New Roman;sans-serif"/>
          <w:b/>
          <w:i/>
          <w:color w:val="000000"/>
          <w:sz w:val="18"/>
        </w:rPr>
      </w:pPr>
      <w:r>
        <w:rPr>
          <w:rFonts w:ascii="Times New Roman;sans-serif" w:hAnsi="Times New Roman;sans-serif"/>
          <w:b/>
          <w:i/>
          <w:color w:val="000000"/>
          <w:sz w:val="18"/>
        </w:rPr>
        <w:t>(Registrant’s telephone number, including area code)</w:t>
      </w:r>
    </w:p>
    <w:p>
      <w:pPr>
        <w:pStyle w:val="TextBody"/>
        <w:bidi w:val="0"/>
        <w:spacing w:lineRule="auto" w:line="288" w:before="180" w:after="18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bidi w:val="0"/>
        <w:spacing w:lineRule="auto" w:line="288" w:before="180" w:after="180"/>
        <w:jc w:val="center"/>
        <w:rPr>
          <w:rFonts w:ascii="Times New Roman;sans-serif" w:hAnsi="Times New Roman;sans-serif"/>
          <w:b/>
          <w:i/>
          <w:color w:val="000000"/>
          <w:sz w:val="18"/>
        </w:rPr>
      </w:pPr>
      <w:r>
        <w:rPr>
          <w:rFonts w:ascii="Times New Roman;sans-serif" w:hAnsi="Times New Roman;sans-serif"/>
          <w:b/>
          <w:i/>
          <w:color w:val="000000"/>
          <w:sz w:val="18"/>
        </w:rPr>
        <w:t>(Former name, former address and former fiscal year, if changed since last report)</w:t>
      </w:r>
    </w:p>
    <w:p>
      <w:pPr>
        <w:pStyle w:val="TextBody"/>
        <w:bidi w:val="0"/>
        <w:spacing w:lineRule="auto" w:line="288" w:before="180" w:after="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7977" w:type="dxa"/>
        <w:jc w:val="center"/>
        <w:tblInd w:w="0" w:type="dxa"/>
        <w:tblLayout w:type="fixed"/>
        <w:tblCellMar>
          <w:top w:w="28" w:type="dxa"/>
          <w:left w:w="28" w:type="dxa"/>
          <w:bottom w:w="28" w:type="dxa"/>
          <w:right w:w="28" w:type="dxa"/>
        </w:tblCellMar>
      </w:tblPr>
      <w:tblGrid>
        <w:gridCol w:w="1133"/>
        <w:gridCol w:w="997"/>
        <w:gridCol w:w="1004"/>
        <w:gridCol w:w="454"/>
        <w:gridCol w:w="454"/>
        <w:gridCol w:w="456"/>
        <w:gridCol w:w="1019"/>
        <w:gridCol w:w="1019"/>
        <w:gridCol w:w="1441"/>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31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APPF</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Market</w:t>
            </w:r>
          </w:p>
        </w:tc>
      </w:tr>
    </w:tbl>
    <w:p>
      <w:pPr>
        <w:pStyle w:val="TextBody"/>
        <w:bidi w:val="0"/>
        <w:spacing w:lineRule="auto" w:line="288" w:before="0" w:after="10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100" w:after="10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lineRule="auto" w:line="288" w:before="100" w:after="200"/>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6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45"/>
        <w:gridCol w:w="145"/>
        <w:gridCol w:w="146"/>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July 20, 2023, the number of shares of the registrant’s Class A common stock outstanding was 20,925,280 and the number of shares of the registrant’s Class B common stock outstanding was 14,719,225.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64"/>
        <w:gridCol w:w="2870"/>
        <w:gridCol w:w="2882"/>
        <w:gridCol w:w="109"/>
        <w:gridCol w:w="109"/>
        <w:gridCol w:w="109"/>
        <w:gridCol w:w="251"/>
        <w:gridCol w:w="251"/>
        <w:gridCol w:w="360"/>
      </w:tblGrid>
      <w:tr>
        <w:trPr/>
        <w:tc>
          <w:tcPr>
            <w:tcW w:w="326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aa9277c8a4991aa69a58da73d33cd_10">
              <w:r>
                <w:rPr>
                  <w:rStyle w:val="InternetLink"/>
                  <w:rFonts w:ascii="Times New Roman;sans-serif" w:hAnsi="Times New Roman;sans-serif"/>
                  <w:b w:val="false"/>
                  <w:color w:val="0000FF"/>
                  <w:sz w:val="20"/>
                  <w:u w:val="single"/>
                </w:rPr>
                <w:t>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fc6aa9277c8a4991aa69a58da73d33cd_10">
              <w:r>
                <w:rPr>
                  <w:rStyle w:val="InternetLink"/>
                  <w:rFonts w:ascii="Times New Roman;sans-serif" w:hAnsi="Times New Roman;sans-serif"/>
                  <w:b w:val="false"/>
                  <w:color w:val="0000FF"/>
                  <w:sz w:val="20"/>
                  <w:u w:val="single"/>
                </w:rPr>
                <w:t>1</w:t>
              </w:r>
            </w:hyperlink>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aa9277c8a4991aa69a58da73d33cd_13">
              <w:r>
                <w:rPr>
                  <w:rStyle w:val="InternetLink"/>
                  <w:rFonts w:ascii="Times New Roman;sans-serif" w:hAnsi="Times New Roman;sans-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6aa9277c8a4991aa69a58da73d33cd_13">
              <w:r>
                <w:rPr>
                  <w:rStyle w:val="InternetLink"/>
                  <w:rFonts w:ascii="Times New Roman;sans-serif" w:hAnsi="Times New Roman;sans-serif"/>
                  <w:b w:val="false"/>
                  <w:color w:val="0000FF"/>
                  <w:sz w:val="20"/>
                  <w:u w:val="single"/>
                </w:rPr>
                <w:t>2</w:t>
              </w:r>
            </w:hyperlink>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aa9277c8a4991aa69a58da73d33cd_13">
              <w:r>
                <w:rPr>
                  <w:rStyle w:val="InternetLink"/>
                  <w:rFonts w:ascii="Times New Roman;sans-serif" w:hAnsi="Times New Roman;sans-serif"/>
                  <w:b w:val="false"/>
                  <w:color w:val="0000FF"/>
                  <w:sz w:val="20"/>
                  <w:u w:val="single"/>
                </w:rPr>
                <w:t>Item 1. Condensed Consolidated Financial Statements (Unaudited)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6aa9277c8a4991aa69a58da73d33cd_13">
              <w:r>
                <w:rPr>
                  <w:rStyle w:val="InternetLink"/>
                  <w:rFonts w:ascii="Times New Roman;sans-serif" w:hAnsi="Times New Roman;sans-serif"/>
                  <w:b w:val="false"/>
                  <w:color w:val="0000FF"/>
                  <w:sz w:val="20"/>
                  <w:u w:val="single"/>
                </w:rPr>
                <w:t>2</w:t>
              </w:r>
            </w:hyperlink>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aa9277c8a4991aa69a58da73d33cd_16">
              <w:r>
                <w:rPr>
                  <w:rStyle w:val="InternetLink"/>
                  <w:rFonts w:ascii="Times New Roman;sans-serif" w:hAnsi="Times New Roman;sans-serif"/>
                  <w:b w:val="false"/>
                  <w:color w:val="000080"/>
                  <w:sz w:val="20"/>
                  <w:u w:val="single"/>
                </w:rPr>
                <w:t xml:space="preserve">Condensed Consolidated Balance Sheets as of </w:t>
              </w:r>
            </w:hyperlink>
            <w:hyperlink w:anchor="ifc6aa9277c8a4991aa69a58da73d33cd_16">
              <w:r>
                <w:rPr>
                  <w:rStyle w:val="InternetLink"/>
                  <w:rFonts w:ascii="Times New Roman;sans-serif" w:hAnsi="Times New Roman;sans-serif"/>
                  <w:b w:val="false"/>
                  <w:color w:val="000080"/>
                  <w:sz w:val="20"/>
                  <w:u w:val="single"/>
                </w:rPr>
                <w:t>June 30</w:t>
              </w:r>
            </w:hyperlink>
            <w:hyperlink w:anchor="ifc6aa9277c8a4991aa69a58da73d33cd_16">
              <w:r>
                <w:rPr>
                  <w:rStyle w:val="InternetLink"/>
                  <w:rFonts w:ascii="Times New Roman;sans-serif" w:hAnsi="Times New Roman;sans-serif"/>
                  <w:b w:val="false"/>
                  <w:color w:val="000080"/>
                  <w:sz w:val="20"/>
                  <w:u w:val="single"/>
                </w:rPr>
                <w:t>, 2023 and December 31,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6aa9277c8a4991aa69a58da73d33cd_16">
              <w:r>
                <w:rPr>
                  <w:rStyle w:val="InternetLink"/>
                  <w:rFonts w:ascii="Times New Roman;sans-serif" w:hAnsi="Times New Roman;sans-serif"/>
                  <w:b w:val="false"/>
                  <w:color w:val="0000FF"/>
                  <w:sz w:val="20"/>
                  <w:u w:val="single"/>
                </w:rPr>
                <w:t>3</w:t>
              </w:r>
            </w:hyperlink>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aa9277c8a4991aa69a58da73d33cd_19">
              <w:r>
                <w:rPr>
                  <w:rStyle w:val="InternetLink"/>
                  <w:rFonts w:ascii="Times New Roman;sans-serif" w:hAnsi="Times New Roman;sans-serif"/>
                  <w:b w:val="false"/>
                  <w:color w:val="000080"/>
                  <w:sz w:val="20"/>
                  <w:u w:val="single"/>
                </w:rPr>
                <w:t xml:space="preserve">Condensed Consolidated Statements of Operations for the Three </w:t>
              </w:r>
            </w:hyperlink>
            <w:hyperlink w:anchor="ifc6aa9277c8a4991aa69a58da73d33cd_19">
              <w:r>
                <w:rPr>
                  <w:rStyle w:val="InternetLink"/>
                  <w:rFonts w:ascii="Times New Roman;sans-serif" w:hAnsi="Times New Roman;sans-serif"/>
                  <w:b w:val="false"/>
                  <w:color w:val="000080"/>
                  <w:sz w:val="20"/>
                  <w:u w:val="single"/>
                </w:rPr>
                <w:t>a</w:t>
              </w:r>
            </w:hyperlink>
            <w:hyperlink w:anchor="ifc6aa9277c8a4991aa69a58da73d33cd_19">
              <w:r>
                <w:rPr>
                  <w:rStyle w:val="InternetLink"/>
                  <w:rFonts w:ascii="Times New Roman;sans-serif" w:hAnsi="Times New Roman;sans-serif"/>
                  <w:b w:val="false"/>
                  <w:color w:val="000080"/>
                  <w:sz w:val="20"/>
                  <w:u w:val="single"/>
                </w:rPr>
                <w:t>nd Si</w:t>
              </w:r>
            </w:hyperlink>
            <w:hyperlink w:anchor="ifc6aa9277c8a4991aa69a58da73d33cd_19">
              <w:r>
                <w:rPr>
                  <w:rStyle w:val="InternetLink"/>
                  <w:rFonts w:ascii="Times New Roman;sans-serif" w:hAnsi="Times New Roman;sans-serif"/>
                  <w:b w:val="false"/>
                  <w:color w:val="000080"/>
                  <w:sz w:val="20"/>
                  <w:u w:val="single"/>
                </w:rPr>
                <w:t xml:space="preserve">x </w:t>
              </w:r>
            </w:hyperlink>
            <w:hyperlink w:anchor="ifc6aa9277c8a4991aa69a58da73d33cd_19">
              <w:r>
                <w:rPr>
                  <w:rStyle w:val="InternetLink"/>
                  <w:rFonts w:ascii="Times New Roman;sans-serif" w:hAnsi="Times New Roman;sans-serif"/>
                  <w:b w:val="false"/>
                  <w:color w:val="000080"/>
                  <w:sz w:val="20"/>
                  <w:u w:val="single"/>
                </w:rPr>
                <w:t xml:space="preserve">Months Ended </w:t>
              </w:r>
            </w:hyperlink>
            <w:hyperlink w:anchor="ifc6aa9277c8a4991aa69a58da73d33cd_19">
              <w:r>
                <w:rPr>
                  <w:rStyle w:val="InternetLink"/>
                  <w:rFonts w:ascii="Times New Roman;sans-serif" w:hAnsi="Times New Roman;sans-serif"/>
                  <w:b w:val="false"/>
                  <w:color w:val="000080"/>
                  <w:sz w:val="20"/>
                  <w:u w:val="single"/>
                </w:rPr>
                <w:t>June 30</w:t>
              </w:r>
            </w:hyperlink>
            <w:hyperlink w:anchor="ifc6aa9277c8a4991aa69a58da73d33cd_19">
              <w:r>
                <w:rPr>
                  <w:rStyle w:val="InternetLink"/>
                  <w:rFonts w:ascii="Times New Roman;sans-serif" w:hAnsi="Times New Roman;sans-serif"/>
                  <w:b w:val="false"/>
                  <w:color w:val="000080"/>
                  <w:sz w:val="20"/>
                  <w:u w:val="single"/>
                </w:rPr>
                <w:t>, 2023 and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6aa9277c8a4991aa69a58da73d33cd_19">
              <w:r>
                <w:rPr>
                  <w:rStyle w:val="InternetLink"/>
                  <w:rFonts w:ascii="Times New Roman;sans-serif" w:hAnsi="Times New Roman;sans-serif"/>
                  <w:b w:val="false"/>
                  <w:color w:val="0000FF"/>
                  <w:sz w:val="20"/>
                  <w:u w:val="single"/>
                </w:rPr>
                <w:t>4</w:t>
              </w:r>
            </w:hyperlink>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aa9277c8a4991aa69a58da73d33cd_22">
              <w:r>
                <w:rPr>
                  <w:rStyle w:val="InternetLink"/>
                  <w:rFonts w:ascii="Times New Roman;sans-serif" w:hAnsi="Times New Roman;sans-serif"/>
                  <w:b w:val="false"/>
                  <w:color w:val="000080"/>
                  <w:sz w:val="20"/>
                  <w:u w:val="single"/>
                </w:rPr>
                <w:t xml:space="preserve">Condensed Consolidated Statements of Comprehensive Loss for the Three </w:t>
              </w:r>
            </w:hyperlink>
            <w:hyperlink w:anchor="ifc6aa9277c8a4991aa69a58da73d33cd_22">
              <w:r>
                <w:rPr>
                  <w:rStyle w:val="InternetLink"/>
                  <w:rFonts w:ascii="Times New Roman;sans-serif" w:hAnsi="Times New Roman;sans-serif"/>
                  <w:b w:val="false"/>
                  <w:color w:val="000080"/>
                  <w:sz w:val="20"/>
                  <w:u w:val="single"/>
                </w:rPr>
                <w:t>an</w:t>
              </w:r>
            </w:hyperlink>
            <w:hyperlink w:anchor="ifc6aa9277c8a4991aa69a58da73d33cd_22">
              <w:r>
                <w:rPr>
                  <w:rStyle w:val="InternetLink"/>
                  <w:rFonts w:ascii="Times New Roman;sans-serif" w:hAnsi="Times New Roman;sans-serif"/>
                  <w:b w:val="false"/>
                  <w:color w:val="000080"/>
                  <w:sz w:val="20"/>
                  <w:u w:val="single"/>
                </w:rPr>
                <w:t xml:space="preserve">d Six </w:t>
              </w:r>
            </w:hyperlink>
            <w:hyperlink w:anchor="ifc6aa9277c8a4991aa69a58da73d33cd_22">
              <w:r>
                <w:rPr>
                  <w:rStyle w:val="InternetLink"/>
                  <w:rFonts w:ascii="Times New Roman;sans-serif" w:hAnsi="Times New Roman;sans-serif"/>
                  <w:b w:val="false"/>
                  <w:color w:val="000080"/>
                  <w:sz w:val="20"/>
                  <w:u w:val="single"/>
                </w:rPr>
                <w:t xml:space="preserve">Months Ended </w:t>
              </w:r>
            </w:hyperlink>
            <w:hyperlink w:anchor="ifc6aa9277c8a4991aa69a58da73d33cd_22">
              <w:r>
                <w:rPr>
                  <w:rStyle w:val="InternetLink"/>
                  <w:rFonts w:ascii="Times New Roman;sans-serif" w:hAnsi="Times New Roman;sans-serif"/>
                  <w:b w:val="false"/>
                  <w:color w:val="000080"/>
                  <w:sz w:val="20"/>
                  <w:u w:val="single"/>
                </w:rPr>
                <w:t>June 30</w:t>
              </w:r>
            </w:hyperlink>
            <w:hyperlink w:anchor="ifc6aa9277c8a4991aa69a58da73d33cd_22">
              <w:r>
                <w:rPr>
                  <w:rStyle w:val="InternetLink"/>
                  <w:rFonts w:ascii="Times New Roman;sans-serif" w:hAnsi="Times New Roman;sans-serif"/>
                  <w:b w:val="false"/>
                  <w:color w:val="000080"/>
                  <w:sz w:val="20"/>
                  <w:u w:val="single"/>
                </w:rPr>
                <w:t>, 2023 and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6aa9277c8a4991aa69a58da73d33cd_22">
              <w:r>
                <w:rPr>
                  <w:rStyle w:val="InternetLink"/>
                  <w:rFonts w:ascii="Times New Roman;sans-serif" w:hAnsi="Times New Roman;sans-serif"/>
                  <w:b w:val="false"/>
                  <w:color w:val="0000FF"/>
                  <w:sz w:val="20"/>
                  <w:u w:val="single"/>
                </w:rPr>
                <w:t>5</w:t>
              </w:r>
            </w:hyperlink>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aa9277c8a4991aa69a58da73d33cd_25">
              <w:r>
                <w:rPr>
                  <w:rStyle w:val="InternetLink"/>
                  <w:rFonts w:ascii="Times New Roman;sans-serif" w:hAnsi="Times New Roman;sans-serif"/>
                  <w:b w:val="false"/>
                  <w:color w:val="000080"/>
                  <w:sz w:val="20"/>
                  <w:u w:val="single"/>
                </w:rPr>
                <w:t xml:space="preserve">Condensed Consolidated Statements of Stockholders' Equity for the Three </w:t>
              </w:r>
            </w:hyperlink>
            <w:hyperlink w:anchor="ifc6aa9277c8a4991aa69a58da73d33cd_25">
              <w:r>
                <w:rPr>
                  <w:rStyle w:val="InternetLink"/>
                  <w:rFonts w:ascii="Times New Roman;sans-serif" w:hAnsi="Times New Roman;sans-serif"/>
                  <w:b w:val="false"/>
                  <w:color w:val="000080"/>
                  <w:sz w:val="20"/>
                  <w:u w:val="single"/>
                </w:rPr>
                <w:t xml:space="preserve">and Six </w:t>
              </w:r>
            </w:hyperlink>
            <w:hyperlink w:anchor="ifc6aa9277c8a4991aa69a58da73d33cd_25">
              <w:r>
                <w:rPr>
                  <w:rStyle w:val="InternetLink"/>
                  <w:rFonts w:ascii="Times New Roman;sans-serif" w:hAnsi="Times New Roman;sans-serif"/>
                  <w:b w:val="false"/>
                  <w:color w:val="000080"/>
                  <w:sz w:val="20"/>
                  <w:u w:val="single"/>
                </w:rPr>
                <w:t xml:space="preserve">Months Ended </w:t>
              </w:r>
            </w:hyperlink>
            <w:hyperlink w:anchor="ifc6aa9277c8a4991aa69a58da73d33cd_25">
              <w:r>
                <w:rPr>
                  <w:rStyle w:val="InternetLink"/>
                  <w:rFonts w:ascii="Times New Roman;sans-serif" w:hAnsi="Times New Roman;sans-serif"/>
                  <w:b w:val="false"/>
                  <w:color w:val="000080"/>
                  <w:sz w:val="20"/>
                  <w:u w:val="single"/>
                </w:rPr>
                <w:t>June 30</w:t>
              </w:r>
            </w:hyperlink>
            <w:hyperlink w:anchor="ifc6aa9277c8a4991aa69a58da73d33cd_25">
              <w:r>
                <w:rPr>
                  <w:rStyle w:val="InternetLink"/>
                  <w:rFonts w:ascii="Times New Roman;sans-serif" w:hAnsi="Times New Roman;sans-serif"/>
                  <w:b w:val="false"/>
                  <w:color w:val="000080"/>
                  <w:sz w:val="20"/>
                  <w:u w:val="single"/>
                </w:rPr>
                <w:t>, 2023 and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6aa9277c8a4991aa69a58da73d33cd_25">
              <w:r>
                <w:rPr>
                  <w:rStyle w:val="InternetLink"/>
                  <w:rFonts w:ascii="Times New Roman;sans-serif" w:hAnsi="Times New Roman;sans-serif"/>
                  <w:b w:val="false"/>
                  <w:color w:val="0000FF"/>
                  <w:sz w:val="20"/>
                  <w:u w:val="single"/>
                </w:rPr>
                <w:t>6</w:t>
              </w:r>
            </w:hyperlink>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aa9277c8a4991aa69a58da73d33cd_28">
              <w:r>
                <w:rPr>
                  <w:rStyle w:val="InternetLink"/>
                  <w:rFonts w:ascii="Times New Roman;sans-serif" w:hAnsi="Times New Roman;sans-serif"/>
                  <w:b w:val="false"/>
                  <w:color w:val="000080"/>
                  <w:sz w:val="20"/>
                  <w:u w:val="single"/>
                </w:rPr>
                <w:t xml:space="preserve">Condensed Consolidated Statements of Cash Flows for the </w:t>
              </w:r>
            </w:hyperlink>
            <w:hyperlink w:anchor="ifc6aa9277c8a4991aa69a58da73d33cd_28">
              <w:r>
                <w:rPr>
                  <w:rStyle w:val="InternetLink"/>
                  <w:rFonts w:ascii="Times New Roman;sans-serif" w:hAnsi="Times New Roman;sans-serif"/>
                  <w:b w:val="false"/>
                  <w:color w:val="000080"/>
                  <w:sz w:val="20"/>
                  <w:u w:val="single"/>
                </w:rPr>
                <w:t>Six</w:t>
              </w:r>
            </w:hyperlink>
            <w:hyperlink w:anchor="ifc6aa9277c8a4991aa69a58da73d33cd_28">
              <w:r>
                <w:rPr>
                  <w:rStyle w:val="InternetLink"/>
                  <w:rFonts w:ascii="Times New Roman;sans-serif" w:hAnsi="Times New Roman;sans-serif"/>
                  <w:b w:val="false"/>
                  <w:color w:val="000080"/>
                  <w:sz w:val="20"/>
                  <w:u w:val="single"/>
                </w:rPr>
                <w:t xml:space="preserve"> Months Ended </w:t>
              </w:r>
            </w:hyperlink>
            <w:hyperlink w:anchor="ifc6aa9277c8a4991aa69a58da73d33cd_28">
              <w:r>
                <w:rPr>
                  <w:rStyle w:val="InternetLink"/>
                  <w:rFonts w:ascii="Times New Roman;sans-serif" w:hAnsi="Times New Roman;sans-serif"/>
                  <w:b w:val="false"/>
                  <w:color w:val="000080"/>
                  <w:sz w:val="20"/>
                  <w:u w:val="single"/>
                </w:rPr>
                <w:t>June 30</w:t>
              </w:r>
            </w:hyperlink>
            <w:hyperlink w:anchor="ifc6aa9277c8a4991aa69a58da73d33cd_28">
              <w:r>
                <w:rPr>
                  <w:rStyle w:val="InternetLink"/>
                  <w:rFonts w:ascii="Times New Roman;sans-serif" w:hAnsi="Times New Roman;sans-serif"/>
                  <w:b w:val="false"/>
                  <w:color w:val="000080"/>
                  <w:sz w:val="20"/>
                  <w:u w:val="single"/>
                </w:rPr>
                <w:t>, 2023 and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6aa9277c8a4991aa69a58da73d33cd_28">
              <w:r>
                <w:rPr>
                  <w:rStyle w:val="InternetLink"/>
                  <w:rFonts w:ascii="Times New Roman;sans-serif" w:hAnsi="Times New Roman;sans-serif"/>
                  <w:b w:val="false"/>
                  <w:color w:val="0000FF"/>
                  <w:sz w:val="20"/>
                  <w:u w:val="single"/>
                </w:rPr>
                <w:t>8</w:t>
              </w:r>
            </w:hyperlink>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aa9277c8a4991aa69a58da73d33cd_31">
              <w:r>
                <w:rPr>
                  <w:rStyle w:val="InternetLink"/>
                  <w:rFonts w:ascii="Times New Roman;sans-serif" w:hAnsi="Times New Roman;sans-serif"/>
                  <w:b w:val="false"/>
                  <w:color w:val="0000FF"/>
                  <w:sz w:val="20"/>
                  <w:u w:val="single"/>
                </w:rPr>
                <w:t>Notes to Condensed Consolidated Unaudited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6aa9277c8a4991aa69a58da73d33cd_31">
              <w:r>
                <w:rPr>
                  <w:rStyle w:val="InternetLink"/>
                  <w:rFonts w:ascii="Times New Roman;sans-serif" w:hAnsi="Times New Roman;sans-serif"/>
                  <w:b w:val="false"/>
                  <w:color w:val="0000FF"/>
                  <w:sz w:val="20"/>
                  <w:u w:val="single"/>
                </w:rPr>
                <w:t>9</w:t>
              </w:r>
            </w:hyperlink>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aa9277c8a4991aa69a58da73d33cd_73">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6aa9277c8a4991aa69a58da73d33cd_73">
              <w:r>
                <w:rPr>
                  <w:rStyle w:val="InternetLink"/>
                  <w:rFonts w:ascii="Times New Roman;sans-serif" w:hAnsi="Times New Roman;sans-serif"/>
                  <w:b w:val="false"/>
                  <w:color w:val="0000FF"/>
                  <w:sz w:val="20"/>
                  <w:u w:val="single"/>
                </w:rPr>
                <w:t>18</w:t>
              </w:r>
            </w:hyperlink>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aa9277c8a4991aa69a58da73d33cd_91">
              <w:r>
                <w:rPr>
                  <w:rStyle w:val="InternetLink"/>
                  <w:rFonts w:ascii="Times New Roman;sans-serif" w:hAnsi="Times New Roman;sans-serif"/>
                  <w:b w:val="false"/>
                  <w:color w:val="0000FF"/>
                  <w:sz w:val="20"/>
                  <w:u w:val="single"/>
                </w:rPr>
                <w:t>Item 3. Qualitative and Quantitative Disclosure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6aa9277c8a4991aa69a58da73d33cd_91">
              <w:r>
                <w:rPr>
                  <w:rStyle w:val="InternetLink"/>
                  <w:rFonts w:ascii="Times New Roman;sans-serif" w:hAnsi="Times New Roman;sans-serif"/>
                  <w:b w:val="false"/>
                  <w:color w:val="0000FF"/>
                  <w:sz w:val="20"/>
                  <w:u w:val="single"/>
                </w:rPr>
                <w:t>25</w:t>
              </w:r>
            </w:hyperlink>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aa9277c8a4991aa69a58da73d33cd_94">
              <w:r>
                <w:rPr>
                  <w:rStyle w:val="InternetLink"/>
                  <w:rFonts w:ascii="Times New Roman;sans-serif" w:hAnsi="Times New Roman;sans-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6aa9277c8a4991aa69a58da73d33cd_94">
              <w:r>
                <w:rPr>
                  <w:rStyle w:val="InternetLink"/>
                  <w:rFonts w:ascii="Times New Roman;sans-serif" w:hAnsi="Times New Roman;sans-serif"/>
                  <w:b w:val="false"/>
                  <w:color w:val="0000FF"/>
                  <w:sz w:val="20"/>
                  <w:u w:val="single"/>
                </w:rPr>
                <w:t>25</w:t>
              </w:r>
            </w:hyperlink>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aa9277c8a4991aa69a58da73d33cd_97">
              <w:r>
                <w:rPr>
                  <w:rStyle w:val="InternetLink"/>
                  <w:rFonts w:ascii="Times New Roman;sans-serif" w:hAnsi="Times New Roman;sans-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6aa9277c8a4991aa69a58da73d33cd_97">
              <w:r>
                <w:rPr>
                  <w:rStyle w:val="InternetLink"/>
                  <w:rFonts w:ascii="Times New Roman;sans-serif" w:hAnsi="Times New Roman;sans-serif"/>
                  <w:b w:val="false"/>
                  <w:color w:val="0000FF"/>
                  <w:sz w:val="20"/>
                  <w:u w:val="single"/>
                </w:rPr>
                <w:t>26</w:t>
              </w:r>
            </w:hyperlink>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aa9277c8a4991aa69a58da73d33cd_100">
              <w:r>
                <w:rPr>
                  <w:rStyle w:val="InternetLink"/>
                  <w:rFonts w:ascii="Times New Roman;sans-serif" w:hAnsi="Times New Roman;sans-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6aa9277c8a4991aa69a58da73d33cd_100">
              <w:r>
                <w:rPr>
                  <w:rStyle w:val="InternetLink"/>
                  <w:rFonts w:ascii="Times New Roman;sans-serif" w:hAnsi="Times New Roman;sans-serif"/>
                  <w:b w:val="false"/>
                  <w:color w:val="0000FF"/>
                  <w:sz w:val="20"/>
                  <w:u w:val="single"/>
                </w:rPr>
                <w:t>26</w:t>
              </w:r>
            </w:hyperlink>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aa9277c8a4991aa69a58da73d33cd_103">
              <w:r>
                <w:rPr>
                  <w:rStyle w:val="InternetLink"/>
                  <w:rFonts w:ascii="Times New Roman;sans-serif" w:hAnsi="Times New Roman;sans-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6aa9277c8a4991aa69a58da73d33cd_103">
              <w:r>
                <w:rPr>
                  <w:rStyle w:val="InternetLink"/>
                  <w:rFonts w:ascii="Times New Roman;sans-serif" w:hAnsi="Times New Roman;sans-serif"/>
                  <w:b w:val="false"/>
                  <w:color w:val="0000FF"/>
                  <w:sz w:val="20"/>
                  <w:u w:val="single"/>
                </w:rPr>
                <w:t>26</w:t>
              </w:r>
            </w:hyperlink>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86ac81cef274470b1aa3323928ccc38_4655">
              <w:r>
                <w:rPr>
                  <w:rStyle w:val="InternetLink"/>
                  <w:rFonts w:ascii="Times New Roman;sans-serif" w:hAnsi="Times New Roman;sans-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6aa9277c8a4991aa69a58da73d33cd_103">
              <w:r>
                <w:rPr>
                  <w:rStyle w:val="InternetLink"/>
                  <w:rFonts w:ascii="Times New Roman;sans-serif" w:hAnsi="Times New Roman;sans-serif"/>
                  <w:b w:val="false"/>
                  <w:color w:val="0000FF"/>
                  <w:sz w:val="20"/>
                  <w:u w:val="single"/>
                </w:rPr>
                <w:t>26</w:t>
              </w:r>
            </w:hyperlink>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aa9277c8a4991aa69a58da73d33cd_109">
              <w:r>
                <w:rPr>
                  <w:rStyle w:val="InternetLink"/>
                  <w:rFonts w:ascii="Times New Roman;sans-serif" w:hAnsi="Times New Roman;sans-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fc6aa9277c8a4991aa69a58da73d33cd_109">
              <w:r>
                <w:rPr>
                  <w:rStyle w:val="InternetLink"/>
                  <w:rFonts w:ascii="Times New Roman;sans-serif" w:hAnsi="Times New Roman;sans-serif"/>
                  <w:b w:val="false"/>
                  <w:color w:val="0000FF"/>
                  <w:sz w:val="20"/>
                  <w:u w:val="single"/>
                </w:rPr>
                <w:t>27</w:t>
              </w:r>
            </w:hyperlink>
          </w:p>
        </w:tc>
      </w:tr>
      <w:tr>
        <w:trPr/>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c6aa9277c8a4991aa69a58da73d33cd_112">
              <w:r>
                <w:rPr>
                  <w:rStyle w:val="InternetLink"/>
                  <w:rFonts w:ascii="Times New Roman;sans-serif" w:hAnsi="Times New Roman;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for the fiscal quarter ended June 30, 2023 (this "Quarterly Report"), contains forward-looking statements within the meaning of federal securities laws, which statements involve substantial risks and uncertainties. The forward-looking statements made in this Quarterly Report are based primarily on our current expectations and projections about future events and trends that we believe may affect our business, financial condition, operating results, and prospects and relate only to events as of the date on which the statements are made. In some cases, you can identify forward-looking statements because they contain words such as “may,” “will,” “should,” “might,” “expects,” “plans,” “anticipates,” “could,” “intends,” “target,” “projects,” “contemplates,” “believes,” “estimates,” “predicts,” “potential,” or “continue,” or the negative of these words or other similar terms or expressions that concern our expectations, strategy, plans, or intentions. We cannot assure you that the results, events, and circumstances reflected in the forward-looking statements will be achieved or occur, and actual results, events, or circumstances could differ materially from those described in the forward-looking statements. Our forward-looking statements do not reflect the potential impact of any future acquisitions, mergers, dispositions, joint ventures, or investments we may make. The outcome of the events described in these forward-looking statements is subject to risks, uncertainties, and other factors described in the section titled "Management's Discussion and Analysis of Financial Condition and Results of Operations" in this Quarterly Report and "Risk Factors" in our Annual Report on Form 10-K for the fiscal year ended December 31, 2022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 As such, you should not rely upon forward-looking statements as predictions of future events. Examples of forward-looking statements include, among others, statements made regarding changes in the competitive environment, responding to customer needs, research and product development plans, future products and services, growth in the size of our business and number of customers, strategic plans and objectives,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Any forward-looking statement made by us in this Quarterly Report is based only on information currently available to us and speaks only as of the date on which it is made.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pStyle w:val="TextBody"/>
        <w:bidi w:val="0"/>
        <w:spacing w:before="60" w:after="12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6089" w:type="dxa"/>
        <w:jc w:val="center"/>
        <w:tblInd w:w="0" w:type="dxa"/>
        <w:tblLayout w:type="fixed"/>
        <w:tblCellMar>
          <w:top w:w="28" w:type="dxa"/>
          <w:left w:w="28" w:type="dxa"/>
          <w:bottom w:w="28" w:type="dxa"/>
          <w:right w:w="28" w:type="dxa"/>
        </w:tblCellMar>
      </w:tblPr>
      <w:tblGrid>
        <w:gridCol w:w="1162"/>
        <w:gridCol w:w="1018"/>
        <w:gridCol w:w="1029"/>
        <w:gridCol w:w="109"/>
        <w:gridCol w:w="109"/>
        <w:gridCol w:w="109"/>
        <w:gridCol w:w="196"/>
        <w:gridCol w:w="736"/>
        <w:gridCol w:w="109"/>
        <w:gridCol w:w="109"/>
        <w:gridCol w:w="109"/>
        <w:gridCol w:w="109"/>
        <w:gridCol w:w="214"/>
        <w:gridCol w:w="803"/>
        <w:gridCol w:w="168"/>
      </w:tblGrid>
      <w:tr>
        <w:trPr/>
        <w:tc>
          <w:tcPr>
            <w:tcW w:w="116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201,468 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35,315 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56,060 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381,217 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34,376 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61,343 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115,671 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265,546 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381,217 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before="60" w:after="283"/>
        <w:jc w:val="center"/>
        <w:rPr/>
      </w:pPr>
      <w:r>
        <w:rPr/>
      </w:r>
    </w:p>
    <w:p>
      <w:pPr>
        <w:pStyle w:val="TextBody"/>
        <w:bidi w:val="0"/>
        <w:spacing w:lineRule="auto" w:line="288" w:before="60" w:after="283"/>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56"/>
        <w:gridCol w:w="1129"/>
        <w:gridCol w:w="113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09"/>
        <w:gridCol w:w="109"/>
        <w:gridCol w:w="156"/>
      </w:tblGrid>
      <w:tr>
        <w:trPr/>
        <w:tc>
          <w:tcPr>
            <w:tcW w:w="145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 (exclusive of depreciation and amortization)</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product development</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 basic and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 and 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2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stock-based compensation expense as follows:</w:t>
      </w:r>
    </w:p>
    <w:tbl>
      <w:tblPr>
        <w:tblW w:w="10205" w:type="dxa"/>
        <w:jc w:val="left"/>
        <w:tblInd w:w="0" w:type="dxa"/>
        <w:tblLayout w:type="fixed"/>
        <w:tblCellMar>
          <w:top w:w="28" w:type="dxa"/>
          <w:left w:w="28" w:type="dxa"/>
          <w:bottom w:w="28" w:type="dxa"/>
          <w:right w:w="28" w:type="dxa"/>
        </w:tblCellMar>
      </w:tblPr>
      <w:tblGrid>
        <w:gridCol w:w="952"/>
        <w:gridCol w:w="831"/>
        <w:gridCol w:w="831"/>
        <w:gridCol w:w="831"/>
        <w:gridCol w:w="831"/>
        <w:gridCol w:w="843"/>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5"/>
      </w:tblGrid>
      <w:tr>
        <w:trPr/>
        <w:tc>
          <w:tcPr>
            <w:tcW w:w="95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1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1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included in costs and 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pStyle w:val="TextBody"/>
        <w:bidi w:val="0"/>
        <w:spacing w:before="3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24"/>
        <w:gridCol w:w="1498"/>
        <w:gridCol w:w="1526"/>
        <w:gridCol w:w="211"/>
        <w:gridCol w:w="787"/>
        <w:gridCol w:w="109"/>
        <w:gridCol w:w="109"/>
        <w:gridCol w:w="109"/>
        <w:gridCol w:w="109"/>
        <w:gridCol w:w="211"/>
        <w:gridCol w:w="787"/>
        <w:gridCol w:w="109"/>
        <w:gridCol w:w="109"/>
        <w:gridCol w:w="109"/>
        <w:gridCol w:w="109"/>
        <w:gridCol w:w="211"/>
        <w:gridCol w:w="787"/>
        <w:gridCol w:w="109"/>
        <w:gridCol w:w="109"/>
        <w:gridCol w:w="109"/>
        <w:gridCol w:w="109"/>
        <w:gridCol w:w="211"/>
        <w:gridCol w:w="787"/>
        <w:gridCol w:w="157"/>
      </w:tblGrid>
      <w:tr>
        <w:trPr/>
        <w:tc>
          <w:tcPr>
            <w:tcW w:w="1724"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7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Changes in unrealized gains (losses) on investment securities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(52,914)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(46,002)</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before="60" w:after="283"/>
        <w:jc w:val="center"/>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STOCKHOLDERS' EQUITY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2673" w:type="dxa"/>
        <w:jc w:val="center"/>
        <w:tblInd w:w="0" w:type="dxa"/>
        <w:tblLayout w:type="fixed"/>
        <w:tblCellMar>
          <w:top w:w="28" w:type="dxa"/>
          <w:left w:w="28" w:type="dxa"/>
          <w:bottom w:w="28" w:type="dxa"/>
          <w:right w:w="28" w:type="dxa"/>
        </w:tblCellMar>
      </w:tblPr>
      <w:tblGrid>
        <w:gridCol w:w="621"/>
        <w:gridCol w:w="282"/>
        <w:gridCol w:w="283"/>
        <w:gridCol w:w="323"/>
        <w:gridCol w:w="323"/>
        <w:gridCol w:w="196"/>
        <w:gridCol w:w="109"/>
        <w:gridCol w:w="109"/>
        <w:gridCol w:w="109"/>
        <w:gridCol w:w="248"/>
        <w:gridCol w:w="305"/>
        <w:gridCol w:w="138"/>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271"/>
        <w:gridCol w:w="792"/>
        <w:gridCol w:w="153"/>
        <w:gridCol w:w="109"/>
        <w:gridCol w:w="109"/>
        <w:gridCol w:w="109"/>
        <w:gridCol w:w="196"/>
        <w:gridCol w:w="661"/>
        <w:gridCol w:w="109"/>
        <w:gridCol w:w="109"/>
        <w:gridCol w:w="109"/>
        <w:gridCol w:w="109"/>
        <w:gridCol w:w="196"/>
        <w:gridCol w:w="646"/>
        <w:gridCol w:w="109"/>
        <w:gridCol w:w="109"/>
        <w:gridCol w:w="109"/>
        <w:gridCol w:w="109"/>
        <w:gridCol w:w="196"/>
        <w:gridCol w:w="736"/>
        <w:gridCol w:w="109"/>
        <w:gridCol w:w="109"/>
        <w:gridCol w:w="109"/>
        <w:gridCol w:w="109"/>
        <w:gridCol w:w="109"/>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Class B common stock to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2023</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223,025 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tbl>
      <w:tblPr>
        <w:tblW w:w="12763" w:type="dxa"/>
        <w:jc w:val="center"/>
        <w:tblInd w:w="0" w:type="dxa"/>
        <w:tblLayout w:type="fixed"/>
        <w:tblCellMar>
          <w:top w:w="28" w:type="dxa"/>
          <w:left w:w="28" w:type="dxa"/>
          <w:bottom w:w="28" w:type="dxa"/>
          <w:right w:w="28" w:type="dxa"/>
        </w:tblCellMar>
      </w:tblPr>
      <w:tblGrid>
        <w:gridCol w:w="621"/>
        <w:gridCol w:w="282"/>
        <w:gridCol w:w="283"/>
        <w:gridCol w:w="323"/>
        <w:gridCol w:w="323"/>
        <w:gridCol w:w="196"/>
        <w:gridCol w:w="109"/>
        <w:gridCol w:w="109"/>
        <w:gridCol w:w="109"/>
        <w:gridCol w:w="248"/>
        <w:gridCol w:w="305"/>
        <w:gridCol w:w="138"/>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271"/>
        <w:gridCol w:w="792"/>
        <w:gridCol w:w="153"/>
        <w:gridCol w:w="109"/>
        <w:gridCol w:w="109"/>
        <w:gridCol w:w="109"/>
        <w:gridCol w:w="196"/>
        <w:gridCol w:w="661"/>
        <w:gridCol w:w="109"/>
        <w:gridCol w:w="109"/>
        <w:gridCol w:w="109"/>
        <w:gridCol w:w="109"/>
        <w:gridCol w:w="196"/>
        <w:gridCol w:w="736"/>
        <w:gridCol w:w="109"/>
        <w:gridCol w:w="109"/>
        <w:gridCol w:w="109"/>
        <w:gridCol w:w="109"/>
        <w:gridCol w:w="196"/>
        <w:gridCol w:w="736"/>
        <w:gridCol w:w="109"/>
        <w:gridCol w:w="109"/>
        <w:gridCol w:w="109"/>
        <w:gridCol w:w="109"/>
        <w:gridCol w:w="109"/>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Class B common stock to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Class B stock to Class A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June 30, 2022</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20,173 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264,991 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934"/>
        <w:gridCol w:w="1603"/>
        <w:gridCol w:w="1615"/>
        <w:gridCol w:w="378"/>
        <w:gridCol w:w="1381"/>
        <w:gridCol w:w="210"/>
        <w:gridCol w:w="210"/>
        <w:gridCol w:w="210"/>
        <w:gridCol w:w="210"/>
        <w:gridCol w:w="378"/>
        <w:gridCol w:w="1381"/>
        <w:gridCol w:w="210"/>
        <w:gridCol w:w="109"/>
        <w:gridCol w:w="109"/>
        <w:gridCol w:w="109"/>
        <w:gridCol w:w="158"/>
      </w:tblGrid>
      <w:tr>
        <w:trPr/>
        <w:tc>
          <w:tcPr>
            <w:tcW w:w="193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720" w:type="dxa"/>
            <w:gridSpan w:val="12"/>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operating activities</w:t>
            </w:r>
          </w:p>
        </w:tc>
        <w:tc>
          <w:tcPr>
            <w:tcW w:w="1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(44,257)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provided by operating activities:</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15,637 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net</w:t>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lease modification</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including as amortized</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18,478 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(2,652)</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expenses</w:t>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payable</w:t>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25,152 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(4,638)</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operating activities</w:t>
            </w:r>
          </w:p>
        </w:tc>
        <w:tc>
          <w:tcPr>
            <w:tcW w:w="1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(7,657)</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investing activities</w:t>
            </w:r>
          </w:p>
        </w:tc>
        <w:tc>
          <w:tcPr>
            <w:tcW w:w="1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available-for-sale investments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(73,597)</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(44,900)</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available-for-sale investments</w:t>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available-for-sale investments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49,617 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43,498 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 of software development costs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(2,151)</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(7,193)</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equity-method investment</w:t>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(26,660)</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(13,694)</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financing activities</w:t>
            </w:r>
          </w:p>
        </w:tc>
        <w:tc>
          <w:tcPr>
            <w:tcW w:w="1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stock option exercises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for net share settlement</w:t>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(11,754)</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(4,994)</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(46,071)</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(15,407)</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71,019 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58,283 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24,948 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42,876 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cash, cash equivalents and restricted cash reported within our Condensed Consolidated Balance Sheets to the total of the same such amounts shown above (in thousands):</w:t>
      </w:r>
    </w:p>
    <w:tbl>
      <w:tblPr>
        <w:tblW w:w="5708" w:type="dxa"/>
        <w:jc w:val="center"/>
        <w:tblInd w:w="0" w:type="dxa"/>
        <w:tblLayout w:type="fixed"/>
        <w:tblCellMar>
          <w:top w:w="28" w:type="dxa"/>
          <w:left w:w="28" w:type="dxa"/>
          <w:bottom w:w="28" w:type="dxa"/>
          <w:right w:w="28" w:type="dxa"/>
        </w:tblCellMar>
      </w:tblPr>
      <w:tblGrid>
        <w:gridCol w:w="1245"/>
        <w:gridCol w:w="1091"/>
        <w:gridCol w:w="1098"/>
        <w:gridCol w:w="196"/>
        <w:gridCol w:w="646"/>
        <w:gridCol w:w="109"/>
        <w:gridCol w:w="109"/>
        <w:gridCol w:w="109"/>
        <w:gridCol w:w="109"/>
        <w:gridCol w:w="196"/>
        <w:gridCol w:w="64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UNAUDITED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color w:val="000000"/>
        </w:rPr>
      </w:pPr>
      <w:r>
        <w:rPr>
          <w:color w:val="000000"/>
        </w:rPr>
        <w:t> </w:t>
      </w:r>
      <w:r>
        <w:rPr>
          <w:rFonts w:ascii="Times New Roman;sans-serif" w:hAnsi="Times New Roman;sans-serif"/>
          <w:b/>
          <w:color w:val="000000"/>
          <w:sz w:val="20"/>
        </w:rPr>
        <w:t>1. Nature of Business</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Inc. ("we," "us" or "our") is a leading provider of cloud business management solutions for the real estate industry. Our solutions are designed to enable our customers to digitally transform their businesses, address critical business operations and deliver a better customer experience. Digital transformation is effectively a requirement for business success in the modern world, and the way we work and live requires powerful software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ans-serif" w:hAnsi="Times New Roman;sans-serif"/>
          <w:b/>
          <w:color w:val="000000"/>
          <w:sz w:val="20"/>
        </w:rPr>
        <w:t>2. Summary of Significant Accounting Policies</w:t>
      </w:r>
    </w:p>
    <w:p>
      <w:pPr>
        <w:pStyle w:val="TextBody"/>
        <w:bidi w:val="0"/>
        <w:spacing w:lineRule="auto" w:line="288" w:before="6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Significant Accounting Policies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February 9, 2023.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six months ended June 30, 2023 are not necessarily indicative of the results expected for the full year ending December 31, 2023.</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Reclassification</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reclassified certain amounts in our Condensed Consolidated Statements of Cash Flows within the cash flows from operating activities section in the prior year to conform to the current year's presentation.</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financial instruments, capitalized software development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assumptions underlying performance-based compensation (whether cash or stock-based), and assumptions underlying stock-based compensation. Actual results could differ from those estimates and any such differences may have a material impact on our Condensed Consolidated Financial Statements. </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Net Loss per Common Share</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 was the same for shares of our Class A and Class B common stock because they are entitled to the same liquidation and dividend rights and are therefore combined in the table below. The following table presents a reconciliation of the weighted average number of shares of our Class A and Class B common stock used to compute net loss per common share (in thousands):</w:t>
      </w:r>
    </w:p>
    <w:tbl>
      <w:tblPr>
        <w:tblW w:w="10205" w:type="dxa"/>
        <w:jc w:val="center"/>
        <w:tblInd w:w="0" w:type="dxa"/>
        <w:tblLayout w:type="fixed"/>
        <w:tblCellMar>
          <w:top w:w="28" w:type="dxa"/>
          <w:left w:w="28" w:type="dxa"/>
          <w:bottom w:w="28" w:type="dxa"/>
          <w:right w:w="28" w:type="dxa"/>
        </w:tblCellMar>
      </w:tblPr>
      <w:tblGrid>
        <w:gridCol w:w="1830"/>
        <w:gridCol w:w="1599"/>
        <w:gridCol w:w="1602"/>
        <w:gridCol w:w="109"/>
        <w:gridCol w:w="109"/>
        <w:gridCol w:w="109"/>
        <w:gridCol w:w="360"/>
        <w:gridCol w:w="361"/>
        <w:gridCol w:w="165"/>
        <w:gridCol w:w="165"/>
        <w:gridCol w:w="165"/>
        <w:gridCol w:w="165"/>
        <w:gridCol w:w="360"/>
        <w:gridCol w:w="361"/>
        <w:gridCol w:w="165"/>
        <w:gridCol w:w="109"/>
        <w:gridCol w:w="109"/>
        <w:gridCol w:w="109"/>
        <w:gridCol w:w="360"/>
        <w:gridCol w:w="361"/>
        <w:gridCol w:w="156"/>
        <w:gridCol w:w="145"/>
        <w:gridCol w:w="145"/>
        <w:gridCol w:w="145"/>
        <w:gridCol w:w="360"/>
        <w:gridCol w:w="361"/>
        <w:gridCol w:w="220"/>
      </w:tblGrid>
      <w:tr>
        <w:trPr/>
        <w:tc>
          <w:tcPr>
            <w:tcW w:w="1830"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0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0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Weighted average unvested restricted shares subject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34,881 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5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5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5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5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5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5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5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reported a net loss for all periods presented, all potentially dilutive common shares are anti-dilutive for these periods and have been excluded from the calculation of net loss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 Adopted</w:t>
      </w:r>
    </w:p>
    <w:p>
      <w:pPr>
        <w:pStyle w:val="TextBody"/>
        <w:bidi w:val="0"/>
        <w:spacing w:lineRule="auto" w:line="276" w:before="60" w:after="120"/>
        <w:ind w:left="0" w:right="0" w:firstLine="720"/>
        <w:jc w:val="both"/>
        <w:rPr/>
      </w:pPr>
      <w:r>
        <w:rPr>
          <w:rFonts w:ascii="Times New Roman;sans-serif" w:hAnsi="Times New Roman;sans-serif"/>
          <w:b w:val="false"/>
          <w:color w:val="000000"/>
          <w:sz w:val="20"/>
        </w:rPr>
        <w:t>In October 2021, the Financial Accounting Standards Board ("FASB") issued Accounting Standards Update ("ASU") 2021-08, "</w:t>
      </w:r>
      <w:r>
        <w:rPr>
          <w:rFonts w:ascii="Times New Roman;sans-serif" w:hAnsi="Times New Roman;sans-serif"/>
          <w:b w:val="false"/>
          <w:i/>
          <w:color w:val="000000"/>
          <w:sz w:val="20"/>
        </w:rPr>
        <w:t>Business Combinations (Topic 805): Accounting for Contract Assets and Contract Liabilities from Contracts with Customers</w:t>
      </w:r>
      <w:r>
        <w:rPr>
          <w:rFonts w:ascii="Times New Roman;sans-serif" w:hAnsi="Times New Roman;sans-serif"/>
          <w:b w:val="false"/>
          <w:color w:val="000000"/>
          <w:sz w:val="20"/>
        </w:rPr>
        <w:t>," which requires contract assets and contract liabilities acquired in a business combination to be recognized and measured by the acquirer on the acquisition date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as if the acquirer had originated the contracts. ASU 2021-08 is effective for fiscal years beginning after December 15, 2022, with early adoption permitted. We adopted ASU 2021-08 on January 1, 2023. Adoption did not have an impact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ans-serif" w:hAnsi="Times New Roman;sans-serif"/>
          <w:b/>
          <w:color w:val="000000"/>
          <w:sz w:val="20"/>
        </w:rPr>
        <w:t>3. Investment Securities and Fair Value Measurements</w:t>
      </w:r>
    </w:p>
    <w:p>
      <w:pPr>
        <w:pStyle w:val="TextBody"/>
        <w:bidi w:val="0"/>
        <w:spacing w:lineRule="auto" w:line="288" w:before="6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Investment Securities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securities classified as available-for-sale consisted of the following as of June 30, 2023 and December 31, 2022 (in thousands):</w:t>
      </w:r>
    </w:p>
    <w:tbl>
      <w:tblPr>
        <w:tblW w:w="10205" w:type="dxa"/>
        <w:jc w:val="center"/>
        <w:tblInd w:w="0" w:type="dxa"/>
        <w:tblLayout w:type="fixed"/>
        <w:tblCellMar>
          <w:top w:w="28" w:type="dxa"/>
          <w:left w:w="28" w:type="dxa"/>
          <w:bottom w:w="28" w:type="dxa"/>
          <w:right w:w="28" w:type="dxa"/>
        </w:tblCellMar>
      </w:tblPr>
      <w:tblGrid>
        <w:gridCol w:w="1174"/>
        <w:gridCol w:w="1031"/>
        <w:gridCol w:w="1012"/>
        <w:gridCol w:w="224"/>
        <w:gridCol w:w="880"/>
        <w:gridCol w:w="115"/>
        <w:gridCol w:w="109"/>
        <w:gridCol w:w="109"/>
        <w:gridCol w:w="109"/>
        <w:gridCol w:w="460"/>
        <w:gridCol w:w="887"/>
        <w:gridCol w:w="239"/>
        <w:gridCol w:w="109"/>
        <w:gridCol w:w="109"/>
        <w:gridCol w:w="109"/>
        <w:gridCol w:w="342"/>
        <w:gridCol w:w="1106"/>
        <w:gridCol w:w="176"/>
        <w:gridCol w:w="109"/>
        <w:gridCol w:w="109"/>
        <w:gridCol w:w="109"/>
        <w:gridCol w:w="278"/>
        <w:gridCol w:w="1090"/>
        <w:gridCol w:w="210"/>
      </w:tblGrid>
      <w:tr>
        <w:trPr/>
        <w:tc>
          <w:tcPr>
            <w:tcW w:w="117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3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122,793 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140,327 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139,273 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74"/>
        <w:gridCol w:w="1031"/>
        <w:gridCol w:w="1011"/>
        <w:gridCol w:w="224"/>
        <w:gridCol w:w="880"/>
        <w:gridCol w:w="115"/>
        <w:gridCol w:w="109"/>
        <w:gridCol w:w="109"/>
        <w:gridCol w:w="109"/>
        <w:gridCol w:w="580"/>
        <w:gridCol w:w="704"/>
        <w:gridCol w:w="302"/>
        <w:gridCol w:w="109"/>
        <w:gridCol w:w="109"/>
        <w:gridCol w:w="109"/>
        <w:gridCol w:w="342"/>
        <w:gridCol w:w="1106"/>
        <w:gridCol w:w="176"/>
        <w:gridCol w:w="109"/>
        <w:gridCol w:w="109"/>
        <w:gridCol w:w="109"/>
        <w:gridCol w:w="278"/>
        <w:gridCol w:w="1090"/>
        <w:gridCol w:w="211"/>
      </w:tblGrid>
      <w:tr>
        <w:trPr/>
        <w:tc>
          <w:tcPr>
            <w:tcW w:w="117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116,609 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114,458 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decline in fair value below amortized cost basis was not considered other than temporary as it is more likely than not we will hold the securities until maturity or recovery of the cost basis. No allowance for credit losses for available-for-sale investment securities was recorded as of June 30, 2023 or December 31, 2022.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available-for-sale investment securities, by remaining contractual maturity, are as follows (in thousands):</w:t>
      </w:r>
    </w:p>
    <w:tbl>
      <w:tblPr>
        <w:tblW w:w="10205" w:type="dxa"/>
        <w:jc w:val="center"/>
        <w:tblInd w:w="0" w:type="dxa"/>
        <w:tblLayout w:type="fixed"/>
        <w:tblCellMar>
          <w:top w:w="28" w:type="dxa"/>
          <w:left w:w="28" w:type="dxa"/>
          <w:bottom w:w="28" w:type="dxa"/>
          <w:right w:w="28" w:type="dxa"/>
        </w:tblCellMar>
      </w:tblPr>
      <w:tblGrid>
        <w:gridCol w:w="1334"/>
        <w:gridCol w:w="1089"/>
        <w:gridCol w:w="1096"/>
        <w:gridCol w:w="227"/>
        <w:gridCol w:w="890"/>
        <w:gridCol w:w="117"/>
        <w:gridCol w:w="109"/>
        <w:gridCol w:w="109"/>
        <w:gridCol w:w="109"/>
        <w:gridCol w:w="292"/>
        <w:gridCol w:w="1149"/>
        <w:gridCol w:w="151"/>
        <w:gridCol w:w="109"/>
        <w:gridCol w:w="109"/>
        <w:gridCol w:w="109"/>
        <w:gridCol w:w="227"/>
        <w:gridCol w:w="890"/>
        <w:gridCol w:w="117"/>
        <w:gridCol w:w="109"/>
        <w:gridCol w:w="109"/>
        <w:gridCol w:w="109"/>
        <w:gridCol w:w="290"/>
        <w:gridCol w:w="1137"/>
        <w:gridCol w:w="218"/>
      </w:tblGrid>
      <w:tr>
        <w:trPr/>
        <w:tc>
          <w:tcPr>
            <w:tcW w:w="133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139,273 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89,297 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three years</w:t>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140,327 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139,273 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116,609 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114,458 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and 2022, we had sales and maturities of investment securities,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78"/>
        <w:gridCol w:w="508"/>
        <w:gridCol w:w="511"/>
        <w:gridCol w:w="586"/>
        <w:gridCol w:w="710"/>
        <w:gridCol w:w="303"/>
        <w:gridCol w:w="109"/>
        <w:gridCol w:w="109"/>
        <w:gridCol w:w="109"/>
        <w:gridCol w:w="473"/>
        <w:gridCol w:w="911"/>
        <w:gridCol w:w="244"/>
        <w:gridCol w:w="109"/>
        <w:gridCol w:w="109"/>
        <w:gridCol w:w="109"/>
        <w:gridCol w:w="452"/>
        <w:gridCol w:w="1322"/>
        <w:gridCol w:w="234"/>
        <w:gridCol w:w="109"/>
        <w:gridCol w:w="109"/>
        <w:gridCol w:w="109"/>
        <w:gridCol w:w="463"/>
        <w:gridCol w:w="1585"/>
        <w:gridCol w:w="344"/>
      </w:tblGrid>
      <w:tr>
        <w:trPr/>
        <w:tc>
          <w:tcPr>
            <w:tcW w:w="57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Proceeds from Sales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Maturities</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11,012 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vAlign w:val="center"/>
          </w:tcPr>
          <w:p>
            <w:pPr>
              <w:pStyle w:val="TableContents"/>
              <w:bidi w:val="0"/>
              <w:spacing w:before="0" w:after="283"/>
              <w:jc w:val="left"/>
              <w:rPr>
                <w:sz w:val="4"/>
                <w:szCs w:val="4"/>
              </w:rPr>
            </w:pPr>
            <w:r>
              <w:rPr>
                <w:sz w:val="4"/>
                <w:szCs w:val="4"/>
              </w:rPr>
            </w:r>
          </w:p>
        </w:tc>
        <w:tc>
          <w:tcPr>
            <w:tcW w:w="15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2" w:type="dxa"/>
            <w:gridSpan w:val="3"/>
            <w:tcBorders/>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32,355 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49,617 </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
        <w:gridCol w:w="510"/>
        <w:gridCol w:w="513"/>
        <w:gridCol w:w="467"/>
        <w:gridCol w:w="900"/>
        <w:gridCol w:w="241"/>
        <w:gridCol w:w="109"/>
        <w:gridCol w:w="109"/>
        <w:gridCol w:w="109"/>
        <w:gridCol w:w="476"/>
        <w:gridCol w:w="917"/>
        <w:gridCol w:w="245"/>
        <w:gridCol w:w="109"/>
        <w:gridCol w:w="109"/>
        <w:gridCol w:w="109"/>
        <w:gridCol w:w="572"/>
        <w:gridCol w:w="1099"/>
        <w:gridCol w:w="298"/>
        <w:gridCol w:w="109"/>
        <w:gridCol w:w="109"/>
        <w:gridCol w:w="109"/>
        <w:gridCol w:w="466"/>
        <w:gridCol w:w="1593"/>
        <w:gridCol w:w="346"/>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2022</w:t>
            </w:r>
          </w:p>
        </w:tc>
      </w:tr>
      <w:tr>
        <w:trPr/>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Maturities</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23,998 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1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19,500 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43,498 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60" w:after="12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Recurring Fair Value Measurements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financial assets and liabilities measured at fair value on a recurring basis as of June 30, 2023 and December 31, 2022 by level within the fair value hierarchy (in thousands):</w:t>
      </w:r>
    </w:p>
    <w:tbl>
      <w:tblPr>
        <w:tblW w:w="7640" w:type="dxa"/>
        <w:jc w:val="left"/>
        <w:tblInd w:w="0" w:type="dxa"/>
        <w:tblLayout w:type="fixed"/>
        <w:tblCellMar>
          <w:top w:w="28" w:type="dxa"/>
          <w:left w:w="28" w:type="dxa"/>
          <w:bottom w:w="28" w:type="dxa"/>
          <w:right w:w="28" w:type="dxa"/>
        </w:tblCellMar>
      </w:tblPr>
      <w:tblGrid>
        <w:gridCol w:w="1227"/>
        <w:gridCol w:w="1078"/>
        <w:gridCol w:w="1085"/>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c>
          <w:tcPr>
            <w:tcW w:w="1300" w:type="dxa"/>
            <w:gridSpan w:val="4"/>
            <w:tcBorders/>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investment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40" w:type="dxa"/>
        <w:jc w:val="left"/>
        <w:tblInd w:w="0" w:type="dxa"/>
        <w:tblLayout w:type="fixed"/>
        <w:tblCellMar>
          <w:top w:w="28" w:type="dxa"/>
          <w:left w:w="28" w:type="dxa"/>
          <w:bottom w:w="28" w:type="dxa"/>
          <w:right w:w="28" w:type="dxa"/>
        </w:tblCellMar>
      </w:tblPr>
      <w:tblGrid>
        <w:gridCol w:w="1227"/>
        <w:gridCol w:w="1078"/>
        <w:gridCol w:w="1085"/>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300" w:type="dxa"/>
            <w:gridSpan w:val="4"/>
            <w:tcBorders/>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investment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cash and cash equivalents, restricted cash, accounts receivable, accounts payable and accrued liabilities approximate their fair value because of the short maturity of these items.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4. Capitalized Software Development Costs, net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software development costs were as follows (in thousands): </w:t>
      </w:r>
    </w:p>
    <w:tbl>
      <w:tblPr>
        <w:tblW w:w="6846" w:type="dxa"/>
        <w:jc w:val="left"/>
        <w:tblInd w:w="0" w:type="dxa"/>
        <w:tblLayout w:type="fixed"/>
        <w:tblCellMar>
          <w:top w:w="28" w:type="dxa"/>
          <w:left w:w="28" w:type="dxa"/>
          <w:bottom w:w="28" w:type="dxa"/>
          <w:right w:w="28" w:type="dxa"/>
        </w:tblCellMar>
      </w:tblPr>
      <w:tblGrid>
        <w:gridCol w:w="1398"/>
        <w:gridCol w:w="1225"/>
        <w:gridCol w:w="1232"/>
        <w:gridCol w:w="109"/>
        <w:gridCol w:w="109"/>
        <w:gridCol w:w="109"/>
        <w:gridCol w:w="211"/>
        <w:gridCol w:w="826"/>
        <w:gridCol w:w="109"/>
        <w:gridCol w:w="109"/>
        <w:gridCol w:w="109"/>
        <w:gridCol w:w="109"/>
        <w:gridCol w:w="211"/>
        <w:gridCol w:w="826"/>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software development costs were $1.3 million and $4.2 million for the three months ended June 30, 2023 and 2022, respectively, and $2.3 million and $8.3 million for the six months ended June 30, 2023 and 2022, respectively. Amortization expense with respect to capitalized software development costs totaled $4.9 million and $6.0 million for the three months ended June 30, 2023 and 2022, respectively, and $10.8 million and $12.0 million for the six months ended June 30, 2023 and 2022, respectively. During the three and six months ended June 30, 2023, we disposed of $1.3 million and $3.5 million, respectively, of fully amortized capitalized software development costs.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amortization expense with respect to capitalized software development costs as of June 30, 2023 is estimated as follows (in thousands):</w:t>
      </w:r>
    </w:p>
    <w:tbl>
      <w:tblPr>
        <w:tblW w:w="4524" w:type="dxa"/>
        <w:jc w:val="left"/>
        <w:tblInd w:w="0" w:type="dxa"/>
        <w:tblLayout w:type="fixed"/>
        <w:tblCellMar>
          <w:top w:w="28" w:type="dxa"/>
          <w:left w:w="28" w:type="dxa"/>
          <w:bottom w:w="28" w:type="dxa"/>
          <w:right w:w="28" w:type="dxa"/>
        </w:tblCellMar>
      </w:tblPr>
      <w:tblGrid>
        <w:gridCol w:w="933"/>
        <w:gridCol w:w="819"/>
        <w:gridCol w:w="828"/>
        <w:gridCol w:w="150"/>
        <w:gridCol w:w="150"/>
        <w:gridCol w:w="150"/>
        <w:gridCol w:w="290"/>
        <w:gridCol w:w="992"/>
        <w:gridCol w:w="212"/>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5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amortization expense</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26,857 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5. Intangible Assets, net</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(in thousands, except years):</w:t>
      </w:r>
    </w:p>
    <w:tbl>
      <w:tblPr>
        <w:tblW w:w="10135" w:type="dxa"/>
        <w:jc w:val="center"/>
        <w:tblInd w:w="0" w:type="dxa"/>
        <w:tblLayout w:type="fixed"/>
        <w:tblCellMar>
          <w:top w:w="28" w:type="dxa"/>
          <w:left w:w="28" w:type="dxa"/>
          <w:bottom w:w="28" w:type="dxa"/>
          <w:right w:w="28" w:type="dxa"/>
        </w:tblCellMar>
      </w:tblPr>
      <w:tblGrid>
        <w:gridCol w:w="874"/>
        <w:gridCol w:w="769"/>
        <w:gridCol w:w="771"/>
        <w:gridCol w:w="109"/>
        <w:gridCol w:w="109"/>
        <w:gridCol w:w="109"/>
        <w:gridCol w:w="252"/>
        <w:gridCol w:w="862"/>
        <w:gridCol w:w="132"/>
        <w:gridCol w:w="109"/>
        <w:gridCol w:w="109"/>
        <w:gridCol w:w="109"/>
        <w:gridCol w:w="211"/>
        <w:gridCol w:w="796"/>
        <w:gridCol w:w="109"/>
        <w:gridCol w:w="109"/>
        <w:gridCol w:w="109"/>
        <w:gridCol w:w="109"/>
        <w:gridCol w:w="243"/>
        <w:gridCol w:w="711"/>
        <w:gridCol w:w="127"/>
        <w:gridCol w:w="109"/>
        <w:gridCol w:w="109"/>
        <w:gridCol w:w="109"/>
        <w:gridCol w:w="869"/>
        <w:gridCol w:w="869"/>
        <w:gridCol w:w="1232"/>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Useful Life in Years</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Database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Domain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r>
    </w:tbl>
    <w:tbl>
      <w:tblPr>
        <w:tblW w:w="10135" w:type="dxa"/>
        <w:jc w:val="center"/>
        <w:tblInd w:w="0" w:type="dxa"/>
        <w:tblLayout w:type="fixed"/>
        <w:tblCellMar>
          <w:top w:w="28" w:type="dxa"/>
          <w:left w:w="28" w:type="dxa"/>
          <w:bottom w:w="28" w:type="dxa"/>
          <w:right w:w="28" w:type="dxa"/>
        </w:tblCellMar>
      </w:tblPr>
      <w:tblGrid>
        <w:gridCol w:w="874"/>
        <w:gridCol w:w="769"/>
        <w:gridCol w:w="771"/>
        <w:gridCol w:w="109"/>
        <w:gridCol w:w="109"/>
        <w:gridCol w:w="109"/>
        <w:gridCol w:w="252"/>
        <w:gridCol w:w="862"/>
        <w:gridCol w:w="132"/>
        <w:gridCol w:w="109"/>
        <w:gridCol w:w="109"/>
        <w:gridCol w:w="109"/>
        <w:gridCol w:w="211"/>
        <w:gridCol w:w="796"/>
        <w:gridCol w:w="109"/>
        <w:gridCol w:w="109"/>
        <w:gridCol w:w="109"/>
        <w:gridCol w:w="109"/>
        <w:gridCol w:w="243"/>
        <w:gridCol w:w="711"/>
        <w:gridCol w:w="127"/>
        <w:gridCol w:w="109"/>
        <w:gridCol w:w="109"/>
        <w:gridCol w:w="109"/>
        <w:gridCol w:w="869"/>
        <w:gridCol w:w="869"/>
        <w:gridCol w:w="1232"/>
      </w:tblGrid>
      <w:tr>
        <w:trPr/>
        <w:tc>
          <w:tcPr>
            <w:tcW w:w="87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Useful Life in Years</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Database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Domain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70"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r>
    </w:tbl>
    <w:p>
      <w:pPr>
        <w:pStyle w:val="TextBody"/>
        <w:bidi w:val="0"/>
        <w:spacing w:before="0" w:after="120"/>
        <w:ind w:left="0" w:right="0" w:firstLine="720"/>
        <w:jc w:val="both"/>
        <w:rPr/>
      </w:pPr>
      <w:r>
        <w:rPr/>
      </w:r>
    </w:p>
    <w:p>
      <w:pPr>
        <w:pStyle w:val="TextBody"/>
        <w:bidi w:val="0"/>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with respect to intangible assets totaled $0.6 million and $1.2 million for the three months ended June 30, 2023 and 2022, respectively, and $1.2 million and $2.3 million for the six months ended June 30, 2023 and 2022, respectively. Future amortization expense with respect to intangible assets as of June 30, 2023 is estimated as follows (in thousands):</w:t>
      </w:r>
    </w:p>
    <w:tbl>
      <w:tblPr>
        <w:tblW w:w="4491" w:type="dxa"/>
        <w:jc w:val="left"/>
        <w:tblInd w:w="0" w:type="dxa"/>
        <w:tblLayout w:type="fixed"/>
        <w:tblCellMar>
          <w:top w:w="28" w:type="dxa"/>
          <w:left w:w="28" w:type="dxa"/>
          <w:bottom w:w="28" w:type="dxa"/>
          <w:right w:w="28" w:type="dxa"/>
        </w:tblCellMar>
      </w:tblPr>
      <w:tblGrid>
        <w:gridCol w:w="931"/>
        <w:gridCol w:w="817"/>
        <w:gridCol w:w="832"/>
        <w:gridCol w:w="159"/>
        <w:gridCol w:w="159"/>
        <w:gridCol w:w="159"/>
        <w:gridCol w:w="308"/>
        <w:gridCol w:w="901"/>
        <w:gridCol w:w="225"/>
      </w:tblGrid>
      <w:tr>
        <w:trPr/>
        <w:tc>
          <w:tcPr>
            <w:tcW w:w="93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49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amortization expense</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r>
        <w:rPr>
          <w:rFonts w:ascii="Times New Roman;sans-serif" w:hAnsi="Times New Roman;sans-serif"/>
          <w:b/>
          <w:color w:val="000000"/>
          <w:sz w:val="20"/>
        </w:rPr>
        <w:t>6. Accrued Employee Expenses</w:t>
      </w:r>
    </w:p>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employee expenses consisted of the following (in thousands): </w:t>
      </w:r>
    </w:p>
    <w:tbl>
      <w:tblPr>
        <w:tblW w:w="5923" w:type="dxa"/>
        <w:jc w:val="left"/>
        <w:tblInd w:w="0" w:type="dxa"/>
        <w:tblLayout w:type="fixed"/>
        <w:tblCellMar>
          <w:top w:w="28" w:type="dxa"/>
          <w:left w:w="28" w:type="dxa"/>
          <w:bottom w:w="28" w:type="dxa"/>
          <w:right w:w="28" w:type="dxa"/>
        </w:tblCellMar>
      </w:tblPr>
      <w:tblGrid>
        <w:gridCol w:w="1117"/>
        <w:gridCol w:w="983"/>
        <w:gridCol w:w="989"/>
        <w:gridCol w:w="109"/>
        <w:gridCol w:w="109"/>
        <w:gridCol w:w="109"/>
        <w:gridCol w:w="211"/>
        <w:gridCol w:w="721"/>
        <w:gridCol w:w="109"/>
        <w:gridCol w:w="109"/>
        <w:gridCol w:w="109"/>
        <w:gridCol w:w="109"/>
        <w:gridCol w:w="221"/>
        <w:gridCol w:w="757"/>
        <w:gridCol w:w="161"/>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accrued employee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we accrued $14.9 million of severance related to separation costs associated with our former Chief Executive Officer's Transition and Separation Agreement, dated March 1, 2023 ("Separation Agreement"). The $14.9 million was fully paid in the second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7. Leases</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for our corporate offices have remaining lease terms ranging from one to ten years, some of which include options to extend the leases for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Certain leases contain provisions for property-related costs that are variable in nature for which we are responsible, including common area maintenance, which are expensed as incurred. </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recognized in the Condensed Consolidated Statements of Operations were as follows (in thousands):</w:t>
      </w:r>
    </w:p>
    <w:tbl>
      <w:tblPr>
        <w:tblW w:w="6525" w:type="dxa"/>
        <w:jc w:val="left"/>
        <w:tblInd w:w="0" w:type="dxa"/>
        <w:tblLayout w:type="fixed"/>
        <w:tblCellMar>
          <w:top w:w="28" w:type="dxa"/>
          <w:left w:w="28" w:type="dxa"/>
          <w:bottom w:w="28" w:type="dxa"/>
          <w:right w:w="28" w:type="dxa"/>
        </w:tblCellMar>
      </w:tblPr>
      <w:tblGrid>
        <w:gridCol w:w="635"/>
        <w:gridCol w:w="558"/>
        <w:gridCol w:w="562"/>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720"/>
        <w:jc w:val="both"/>
        <w:rPr/>
      </w:pPr>
      <w:r>
        <w:rPr/>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Lease-related assets and liabilities were as follows (in thousands):</w:t>
      </w:r>
    </w:p>
    <w:tbl>
      <w:tblPr>
        <w:tblW w:w="5387" w:type="dxa"/>
        <w:jc w:val="center"/>
        <w:tblInd w:w="0" w:type="dxa"/>
        <w:tblLayout w:type="fixed"/>
        <w:tblCellMar>
          <w:top w:w="28" w:type="dxa"/>
          <w:left w:w="28" w:type="dxa"/>
          <w:bottom w:w="28" w:type="dxa"/>
          <w:right w:w="28" w:type="dxa"/>
        </w:tblCellMar>
      </w:tblPr>
      <w:tblGrid>
        <w:gridCol w:w="1040"/>
        <w:gridCol w:w="916"/>
        <w:gridCol w:w="924"/>
        <w:gridCol w:w="211"/>
        <w:gridCol w:w="721"/>
        <w:gridCol w:w="109"/>
        <w:gridCol w:w="109"/>
        <w:gridCol w:w="109"/>
        <w:gridCol w:w="109"/>
        <w:gridCol w:w="221"/>
        <w:gridCol w:w="757"/>
        <w:gridCol w:w="161"/>
      </w:tblGrid>
      <w:tr>
        <w:trPr/>
        <w:tc>
          <w:tcPr>
            <w:tcW w:w="104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2022, we decided to exit and make available for sublease certain leased office spaces. As a result, we recorded an impairment of $19.4 million consisting of $15.7 million related to ROU assets and $3.7 million related to property and equipment associated with our leased office spaces. These charges were recorded within General and administrative expenses in our Condensed Consolidated Statements of Operations.</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entered into an amendment to the lease agreement for our San Diego facility (the "San Diego Lease"). We remeasured the lease liability and recorded a reduction to the lease liability and right-of-use asset using the discount rate at the modification date, which resulted in a gain of $2.4 million in the Condensed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2023, we entered into a second amendment to reduce the rentable square footage and our future rental payment obligations under the San Diego Lease pursuant to which we made a one-time payment of $2.9 million. We again remeasured the lease liability and recorded a reduction to the lease liability using the discount rate at the modification date. As a result, we recorded a gain of $1.9 million in the Condensed Consolidated Statements of Operations. </w:t>
      </w:r>
    </w:p>
    <w:p>
      <w:pPr>
        <w:pStyle w:val="TextBody"/>
        <w:bidi w:val="0"/>
        <w:spacing w:lineRule="auto" w:line="288" w:before="120" w:after="12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2023, we entered into an agreement to sublet one of our office spaces in Santa Barbara through December 31, 2031.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as of June 30, 2023 were as follows (in thousands):</w:t>
      </w:r>
    </w:p>
    <w:tbl>
      <w:tblPr>
        <w:tblW w:w="4266" w:type="dxa"/>
        <w:jc w:val="center"/>
        <w:tblInd w:w="0" w:type="dxa"/>
        <w:tblLayout w:type="fixed"/>
        <w:tblCellMar>
          <w:top w:w="28" w:type="dxa"/>
          <w:left w:w="28" w:type="dxa"/>
          <w:bottom w:w="28" w:type="dxa"/>
          <w:right w:w="28" w:type="dxa"/>
        </w:tblCellMar>
      </w:tblPr>
      <w:tblGrid>
        <w:gridCol w:w="1151"/>
        <w:gridCol w:w="1011"/>
        <w:gridCol w:w="1018"/>
        <w:gridCol w:w="211"/>
        <w:gridCol w:w="721"/>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Years ending December 31, </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2023</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2024</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Future minimum lease payments for the years ending December 31, 2023 and 2024 are presented net of tenant improvement allowances of $3.7 million and $0.7 million respectively.</w:t>
      </w:r>
    </w:p>
    <w:p>
      <w:pPr>
        <w:pStyle w:val="TextBody"/>
        <w:bidi w:val="0"/>
        <w:spacing w:before="120" w:after="12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8. Commitments and Contingencies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Legal Liability to Landlord Insurance</w:t>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We have a wholly owned subsidiary, Terra Mar Insurance Company, Inc., which was established in connection with reinsuring liability to landlord insurance policies offered to our customers by our third-party service provider. Each policy has a limit of $100 thousand per incident.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w:t>
      </w:r>
      <w:r>
        <w:rPr>
          <w:rFonts w:ascii="Times New Roman;sans-serif" w:hAnsi="Times New Roman;sans-serif"/>
          <w:b w:val="false"/>
          <w:color w:val="000000"/>
          <w:sz w:val="20"/>
          <w:shd w:fill="FFFFFF" w:val="clear"/>
        </w:rPr>
        <w:t xml:space="preserve">stimated liability for reported claims and incurred but not reported claims as of June 30, 2023 and December 31, 2022 was </w:t>
      </w:r>
      <w:r>
        <w:rPr>
          <w:rFonts w:ascii="Times New Roman;sans-serif" w:hAnsi="Times New Roman;sans-serif"/>
          <w:b w:val="false"/>
          <w:color w:val="000000"/>
          <w:sz w:val="20"/>
        </w:rPr>
        <w:t xml:space="preserve">$3.2 million and $2.7 million, respectively, and is included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on our Condensed Consolidated Balance Sheets.</w:t>
      </w:r>
    </w:p>
    <w:p>
      <w:pPr>
        <w:pStyle w:val="TextBody"/>
        <w:bidi w:val="0"/>
        <w:spacing w:lineRule="auto" w:line="288" w:before="60" w:after="283"/>
        <w:ind w:left="0" w:right="0" w:firstLine="720"/>
        <w:jc w:val="both"/>
        <w:rPr/>
      </w:pPr>
      <w:r>
        <w:rPr>
          <w:rFonts w:ascii="Times New Roman;sans-serif" w:hAnsi="Times New Roman;sans-serif"/>
          <w:b w:val="false"/>
          <w:color w:val="000000"/>
          <w:sz w:val="20"/>
        </w:rPr>
        <w:t xml:space="preserve">Included in </w:t>
      </w:r>
      <w:r>
        <w:rPr>
          <w:rFonts w:ascii="Times New Roman;sans-serif" w:hAnsi="Times New Roman;sans-serif"/>
          <w:b w:val="false"/>
          <w:i/>
          <w:color w:val="000000"/>
          <w:sz w:val="20"/>
        </w:rPr>
        <w:t>Prepaid expenses and other current assets</w:t>
      </w:r>
      <w:r>
        <w:rPr>
          <w:color w:val="000000"/>
        </w:rPr>
        <w:t xml:space="preserve"> </w:t>
      </w:r>
      <w:r>
        <w:rPr>
          <w:rFonts w:ascii="Times New Roman;sans-serif" w:hAnsi="Times New Roman;sans-serif"/>
          <w:b w:val="false"/>
          <w:color w:val="000000"/>
          <w:sz w:val="20"/>
        </w:rPr>
        <w:t>as of June 30, 2023 and December 31, 2022 are $2.8 million</w:t>
      </w:r>
      <w:r>
        <w:rPr>
          <w:color w:val="000000"/>
          <w:shd w:fill="FFFFFF" w:val="clear"/>
        </w:rPr>
        <w:t xml:space="preserve"> </w:t>
      </w:r>
      <w:r>
        <w:rPr>
          <w:rFonts w:ascii="Times New Roman;sans-serif" w:hAnsi="Times New Roman;sans-serif"/>
          <w:b w:val="false"/>
          <w:color w:val="000000"/>
          <w:sz w:val="20"/>
        </w:rPr>
        <w:t>and $4.5 million, respectively, of deposits held with a third party related to requirements to maintain collateral for this insurance service.</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involved in various legal proceedings, investigative inquiries, and other disputes arising from or related to matters incident to the ordinary course of our business activities. We are not currently a party to any matters, nor are we aware of any pending or threatened matters, that we believe would have a material adverse effect on our business, operating results, cash flows or financial condition should such proceedings be resolved unfavorably.</w:t>
      </w:r>
    </w:p>
    <w:p>
      <w:pPr>
        <w:pStyle w:val="TextBody"/>
        <w:bidi w:val="0"/>
        <w:spacing w:lineRule="auto" w:line="276"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9. Stock-Based Compensation</w:t>
      </w:r>
    </w:p>
    <w:p>
      <w:pPr>
        <w:pStyle w:val="TextBody"/>
        <w:bidi w:val="0"/>
        <w:spacing w:lineRule="auto" w:line="288" w:before="12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connection with our stock options for the six months ended June 30, 2023, is as follows (number of shares in thousands):</w:t>
      </w:r>
    </w:p>
    <w:tbl>
      <w:tblPr>
        <w:tblW w:w="8289" w:type="dxa"/>
        <w:jc w:val="left"/>
        <w:tblInd w:w="0" w:type="dxa"/>
        <w:tblLayout w:type="fixed"/>
        <w:tblCellMar>
          <w:top w:w="28" w:type="dxa"/>
          <w:left w:w="28" w:type="dxa"/>
          <w:bottom w:w="28" w:type="dxa"/>
          <w:right w:w="28" w:type="dxa"/>
        </w:tblCellMar>
      </w:tblPr>
      <w:tblGrid>
        <w:gridCol w:w="1386"/>
        <w:gridCol w:w="1218"/>
        <w:gridCol w:w="1221"/>
        <w:gridCol w:w="109"/>
        <w:gridCol w:w="109"/>
        <w:gridCol w:w="109"/>
        <w:gridCol w:w="295"/>
        <w:gridCol w:w="295"/>
        <w:gridCol w:w="296"/>
        <w:gridCol w:w="109"/>
        <w:gridCol w:w="109"/>
        <w:gridCol w:w="109"/>
        <w:gridCol w:w="277"/>
        <w:gridCol w:w="810"/>
        <w:gridCol w:w="144"/>
        <w:gridCol w:w="109"/>
        <w:gridCol w:w="109"/>
        <w:gridCol w:w="109"/>
        <w:gridCol w:w="400"/>
        <w:gridCol w:w="400"/>
        <w:gridCol w:w="566"/>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 Life</w:t>
              <w:br/>
              <w:t>in Years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we granted our Chief Executive Officer 120,000 stock options of our Class A common stock. These stock options vest based on service conditions with one-third vesting at the end of each of the years ending December 31, 2025, 2026 and 2027. No stock options were granted during the six months ended June 30, 2022. </w:t>
      </w:r>
    </w:p>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stock-based compensation expense for stock options was $0.4 million and $0.6 million for the three and six months ended June 30, 2023, respectively. There was no stock-based compensation expense for stock options in the same periods in the prior year. </w:t>
      </w:r>
    </w:p>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options granted is estimated on the date of grant using the Black-Scholes option-pricing model. The following table summarizes information relating to our stock options granted during six months ended June 30, 2023:</w:t>
      </w:r>
    </w:p>
    <w:tbl>
      <w:tblPr>
        <w:tblW w:w="5939" w:type="dxa"/>
        <w:jc w:val="left"/>
        <w:tblInd w:w="0" w:type="dxa"/>
        <w:tblLayout w:type="fixed"/>
        <w:tblCellMar>
          <w:top w:w="28" w:type="dxa"/>
          <w:left w:w="28" w:type="dxa"/>
          <w:bottom w:w="28" w:type="dxa"/>
          <w:right w:w="28" w:type="dxa"/>
        </w:tblCellMar>
      </w:tblPr>
      <w:tblGrid>
        <w:gridCol w:w="1616"/>
        <w:gridCol w:w="1422"/>
        <w:gridCol w:w="1431"/>
        <w:gridCol w:w="109"/>
        <w:gridCol w:w="109"/>
        <w:gridCol w:w="109"/>
        <w:gridCol w:w="211"/>
        <w:gridCol w:w="616"/>
        <w:gridCol w:w="316"/>
      </w:tblGrid>
      <w:tr>
        <w:trPr/>
        <w:tc>
          <w:tcPr>
            <w:tcW w:w="161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grant-date fair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Black-Scholes model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total estimated remaining stock-based compensation expense for the aforementioned stock options was $7.5 million, which is expected to be recognized over a weighted average period of 4.5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connection with our RSUs for the six months ended June 30, 2023, is as follows (number of shares in thousands):</w:t>
      </w:r>
    </w:p>
    <w:tbl>
      <w:tblPr>
        <w:tblW w:w="8948" w:type="dxa"/>
        <w:jc w:val="left"/>
        <w:tblInd w:w="0" w:type="dxa"/>
        <w:tblLayout w:type="fixed"/>
        <w:tblCellMar>
          <w:top w:w="28" w:type="dxa"/>
          <w:left w:w="28" w:type="dxa"/>
          <w:bottom w:w="28" w:type="dxa"/>
          <w:right w:w="28" w:type="dxa"/>
        </w:tblCellMar>
      </w:tblPr>
      <w:tblGrid>
        <w:gridCol w:w="1059"/>
        <w:gridCol w:w="930"/>
        <w:gridCol w:w="936"/>
        <w:gridCol w:w="109"/>
        <w:gridCol w:w="109"/>
        <w:gridCol w:w="109"/>
        <w:gridCol w:w="469"/>
        <w:gridCol w:w="469"/>
        <w:gridCol w:w="471"/>
        <w:gridCol w:w="109"/>
        <w:gridCol w:w="109"/>
        <w:gridCol w:w="109"/>
        <w:gridCol w:w="768"/>
        <w:gridCol w:w="2629"/>
        <w:gridCol w:w="563"/>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Share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116.88 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122.37 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116.18 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115.28 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119.84 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Unvested RSUs as of June 30, 2023 were composed of 1.1 million RSUs with only service conditions and 0.2 million PSUs with both service conditions and performance conditions. RSUs granted with only service conditions generally vest over a four-year period. The number of PSUs granted, as included in the above table, assumes achievement of the performance metric at 100% of the performance target. Of the unvested PSUs as of June 30, 2023, 0.1 million are subject to vesting based on the achievement of pre-established performance metrics for the year ending December 31, 2023 and will vest over a three year period, assuming continued employment through each vesting date. The actual number of shares to be issued at the end of the performance period will range from 0% to 142% of the target number of shares depending on achievement relative to the performance metric over the applicable period. The remaining 0.1 million PSUs unvested as of June 30, 2023 are subject to vesting based on the achievement of pre-established performance metrics for three year measurement periods ending December 31, 2023, assuming continued employment throughout the performance period. The actual number of shares to be issued at the end of the performance period will range from 0% to 100% of the initial target awards. Achievement of the performance metric between 100% and 150% of the performance target will result in a performance-based cash bonus payment between 0% and 65% of the initial target awards. </w:t>
      </w:r>
    </w:p>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stock-based compensation expense for the RSUs and PSUs of $10.4 million and $10.5 million for the three months ended June 30, 2023 and 2022, respectively, and $24.1 million and $18.3 million for the six months ended June 30, 2023 and 2022, respectively. Excluded from stock-based compensation expense is capitalized software development costs of $0.2 million and $0.7 million for the three months ended June 30, 2023 and 2022, respectively, and $0.4 million and $1.2 million for the six months ended June 30, 2023 and 2022, respectively. As of June 30, 2023, the total estimated remaining stock-based compensation expense for the aforementioned RSUs and PSUs was $126.2 million, which is expected to be recognized over a weighted average period of 2.7 years.</w:t>
      </w:r>
    </w:p>
    <w:p>
      <w:pPr>
        <w:pStyle w:val="TextBody"/>
        <w:bidi w:val="0"/>
        <w:spacing w:lineRule="auto" w:line="288" w:before="6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Restricted Stock Awards</w:t>
      </w:r>
    </w:p>
    <w:p>
      <w:pPr>
        <w:pStyle w:val="TextBody"/>
        <w:bidi w:val="0"/>
        <w:spacing w:lineRule="auto" w:line="288" w:before="60" w:after="120"/>
        <w:ind w:left="0" w:right="0" w:firstLine="720"/>
        <w:jc w:val="both"/>
        <w:rPr/>
      </w:pPr>
      <w:r>
        <w:rPr>
          <w:rFonts w:ascii="Times New Roman;sans-serif" w:hAnsi="Times New Roman;sans-serif"/>
          <w:b w:val="false"/>
          <w:color w:val="000000"/>
          <w:sz w:val="20"/>
        </w:rPr>
        <w:t>A summary of activity in connection with our restricted stock awards ("RSAs") for the six months ended June 30, 2023 is as follows (number of shares in thousands):</w:t>
      </w:r>
      <w:r>
        <w:rPr>
          <w:color w:val="000000"/>
        </w:rPr>
        <w:t> </w:t>
      </w:r>
    </w:p>
    <w:tbl>
      <w:tblPr>
        <w:tblW w:w="6146" w:type="dxa"/>
        <w:jc w:val="left"/>
        <w:tblInd w:w="0" w:type="dxa"/>
        <w:tblLayout w:type="fixed"/>
        <w:tblCellMar>
          <w:top w:w="28" w:type="dxa"/>
          <w:left w:w="28" w:type="dxa"/>
          <w:bottom w:w="28" w:type="dxa"/>
          <w:right w:w="28" w:type="dxa"/>
        </w:tblCellMar>
      </w:tblPr>
      <w:tblGrid>
        <w:gridCol w:w="1059"/>
        <w:gridCol w:w="930"/>
        <w:gridCol w:w="936"/>
        <w:gridCol w:w="109"/>
        <w:gridCol w:w="109"/>
        <w:gridCol w:w="109"/>
        <w:gridCol w:w="295"/>
        <w:gridCol w:w="295"/>
        <w:gridCol w:w="296"/>
        <w:gridCol w:w="109"/>
        <w:gridCol w:w="109"/>
        <w:gridCol w:w="109"/>
        <w:gridCol w:w="326"/>
        <w:gridCol w:w="1116"/>
        <w:gridCol w:w="239"/>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w:t>
              <w:br/>
              <w:t>Fair Value per Share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right to repurchase any unvested RSAs subject to certain conditions. RSAs vest over a one-year period. Our stock-based compensation expense for RSAs was not material for the periods presented.</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total estimated remaining stock-based compensation expense for unvested RSAs with a repurchase right was $0.9 million, which is expected to be recognized over a weighted average period of 0.9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color w:val="000000"/>
        </w:rPr>
      </w:pPr>
      <w:r>
        <w:rPr>
          <w:color w:val="000000"/>
        </w:rPr>
        <w:t> </w:t>
      </w:r>
      <w:r>
        <w:rPr>
          <w:rFonts w:ascii="Times New Roman;sans-serif" w:hAnsi="Times New Roman;sans-serif"/>
          <w:b/>
          <w:color w:val="000000"/>
          <w:sz w:val="20"/>
        </w:rPr>
        <w:t>10. Income Taxes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our provision for (benefit from) income taxes on a quarterly basis by applying an estimated annual effective tax rate to income/loss from operations and by calculating the tax effect of discrete items recognized during the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we recorded income tax expense of $19.6 million and $29.6 million representing an effective tax rate of 2,637% and (121)%. The effective tax rate as compared to the U.S. federal statutory rate of 21% differs primarily due to the change in valuation allowance against deferred tax assets, non-deductible officers' compensation and state income taxes, partially offset by tax benefits from research and development tax credits.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our ability to realize our deferred tax assets on a quarterly basis and we establish a valuation allowance if it is more-likely-than-not that some portion of the deferred tax assets will not be realized. We weigh all available positive and negative evidence, including our earnings history and results of recent operations, scheduled reversals of deferred tax liabilities, projected future taxable income and tax planning strategies.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our unrecognized tax benefits during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color w:val="000000"/>
        </w:rPr>
      </w:pPr>
      <w:r>
        <w:rPr>
          <w:color w:val="000000"/>
        </w:rPr>
        <w:t> </w:t>
      </w:r>
      <w:r>
        <w:rPr>
          <w:rFonts w:ascii="Times New Roman;sans-serif" w:hAnsi="Times New Roman;sans-serif"/>
          <w:b/>
          <w:color w:val="000000"/>
          <w:sz w:val="20"/>
        </w:rPr>
        <w:t>11. Revenue and Other Information</w:t>
      </w:r>
    </w:p>
    <w:p>
      <w:pPr>
        <w:pStyle w:val="TextBody"/>
        <w:bidi w:val="0"/>
        <w:spacing w:lineRule="auto" w:line="288" w:before="120" w:after="283"/>
        <w:ind w:left="0" w:right="0" w:firstLine="720"/>
        <w:jc w:val="both"/>
        <w:rPr/>
      </w:pPr>
      <w:r>
        <w:rPr>
          <w:rFonts w:ascii="Times New Roman;sans-serif" w:hAnsi="Times New Roman;sans-serif"/>
          <w:b w:val="false"/>
          <w:color w:val="000000"/>
          <w:sz w:val="20"/>
        </w:rPr>
        <w:t>The following table presents our revenue categories for the three and six months ended June 30, 2023 and 2022 (in thousands):</w:t>
      </w:r>
      <w:r>
        <w:rPr>
          <w:color w:val="000000"/>
        </w:rPr>
        <w:t> </w:t>
      </w:r>
    </w:p>
    <w:tbl>
      <w:tblPr>
        <w:tblW w:w="7842" w:type="dxa"/>
        <w:jc w:val="left"/>
        <w:tblInd w:w="0" w:type="dxa"/>
        <w:tblLayout w:type="fixed"/>
        <w:tblCellMar>
          <w:top w:w="28" w:type="dxa"/>
          <w:left w:w="28" w:type="dxa"/>
          <w:bottom w:w="28" w:type="dxa"/>
          <w:right w:w="28" w:type="dxa"/>
        </w:tblCellMar>
      </w:tblPr>
      <w:tblGrid>
        <w:gridCol w:w="689"/>
        <w:gridCol w:w="606"/>
        <w:gridCol w:w="610"/>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generated primarily from customers in the United States. All of our property and equipment is located in the United States.</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288" w:before="200" w:after="120"/>
        <w:ind w:left="0" w:right="0" w:firstLine="720"/>
        <w:jc w:val="both"/>
        <w:rPr/>
      </w:pPr>
      <w:r>
        <w:rPr>
          <w:rFonts w:ascii="Times New Roman;sans-serif" w:hAnsi="Times New Roman;sans-serif"/>
          <w:b w:val="false"/>
          <w:color w:val="000000"/>
          <w:sz w:val="20"/>
        </w:rPr>
        <w:t>Deferred revenue as of June 30, 2023 and December 31, 2022 wa</w:t>
      </w:r>
      <w:r>
        <w:rPr>
          <w:rFonts w:ascii="Times New Roman;sans-serif" w:hAnsi="Times New Roman;sans-serif"/>
          <w:b w:val="false"/>
          <w:color w:val="000000"/>
          <w:sz w:val="20"/>
          <w:shd w:fill="FFFFFF" w:val="clear"/>
        </w:rPr>
        <w:t xml:space="preserve">s </w:t>
      </w:r>
      <w:r>
        <w:rPr>
          <w:rFonts w:ascii="Times New Roman;sans-serif" w:hAnsi="Times New Roman;sans-serif"/>
          <w:b w:val="false"/>
          <w:color w:val="000000"/>
          <w:sz w:val="20"/>
        </w:rPr>
        <w:t>$1.1 million</w:t>
      </w:r>
      <w:r>
        <w:rPr>
          <w:color w:val="000000"/>
          <w:shd w:fill="FFFFFF" w:val="clear"/>
        </w:rPr>
        <w:t xml:space="preserve"> </w:t>
      </w: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 xml:space="preserve">nd $0.9 million, respectively, and is included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on our Condensed Consolidated Balance Sheets. During the six months ended June 30, 2023 and 2022, we recognized</w:t>
      </w:r>
      <w:r>
        <w:rPr>
          <w:color w:val="000000"/>
          <w:shd w:fill="FFFFFF" w:val="clear"/>
        </w:rPr>
        <w:t xml:space="preserve"> </w:t>
      </w:r>
      <w:r>
        <w:rPr>
          <w:rFonts w:ascii="Times New Roman;sans-serif" w:hAnsi="Times New Roman;sans-serif"/>
          <w:b w:val="false"/>
          <w:color w:val="000000"/>
          <w:sz w:val="20"/>
        </w:rPr>
        <w:t>$0.7 million</w:t>
      </w:r>
      <w:r>
        <w:rPr>
          <w:color w:val="000000"/>
          <w:shd w:fill="FFFFFF" w:val="clear"/>
        </w:rPr>
        <w:t xml:space="preserve"> </w:t>
      </w:r>
      <w:r>
        <w:rPr>
          <w:rFonts w:ascii="Times New Roman;sans-serif" w:hAnsi="Times New Roman;sans-serif"/>
          <w:b w:val="false"/>
          <w:color w:val="000000"/>
          <w:sz w:val="20"/>
          <w:shd w:fill="FFFFFF" w:val="clear"/>
        </w:rPr>
        <w:t>a</w:t>
      </w:r>
      <w:r>
        <w:rPr>
          <w:rFonts w:ascii="Times New Roman;sans-serif" w:hAnsi="Times New Roman;sans-serif"/>
          <w:b w:val="false"/>
          <w:color w:val="000000"/>
          <w:sz w:val="20"/>
        </w:rPr>
        <w:t>nd $2.1 million of revenue, respectively, which were included in the deferred revenue balances as of December 31, 2022 and 2021, respectively.</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2023, the total non-cancelable remaining performance obligations ("RPO") under our contracts with customers was $24 million, and we expect to recognize revenue on approximately 50% of these RPO over the following 12 months, with the balance to be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together with our Condensed Consolidated Financial Statements and the related notes included elsewhere in this Quarterly Report and in our Annual Report. This discussion and analysis contains forward-looking statements that are based on our current expectations and reflect our plans, estimates and anticipated future financial performance. These statements involve numerous risks and uncertainties. Our actual results may differ materially from those expressed or implied by these forward-looking statements as a result of many factors, including those set forth in the section entitled “Risk Factors” in our Annual Report, as well as our other public filings with the SEC. Please also refer to the section of this Quarterly Report entitled "Forward-Looking Statements"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provider of cloud business management solutions for the real estate industry. Our solutions are designed to enable our property manager customers to digitally transform their businesses, address critical business operations and deliver a better customer experience. Our products assist our customers with an interconnected and growing network of stakeholders in their business ecosystems, including property owners, real estate investment managers, rental prospects, residents, and service providers, and provide key functionality related to critical transactions across the real estate lifecycle, including screening potential tenants, sending and receiving payments and risk mitigation services. AppFolio’s intuitive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interface, coupled with streamlined and automated workflows, make it easier for our customers to eliminate redundant and manual processes so they can deliver a great experience for their network of stakeholders while improving financial and operational performance. </w:t>
      </w:r>
    </w:p>
    <w:p>
      <w:pPr>
        <w:pStyle w:val="TextBody"/>
        <w:bidi w:val="0"/>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heavily on our talented team of employees to execute our growth plans and achieve our long-term strategic objectives. We believe our people are at the heart of our success and our customers' success, and we have worked hard not only to attract and retain talented individuals, but also to provide a challenging and rewarding work environment to motivate and develop our valuable human capital. As we navigate the challenges of increased competition for talent, we continue to evolve our compensation and employee reward practices. </w:t>
      </w:r>
    </w:p>
    <w:p>
      <w:pPr>
        <w:pStyle w:val="TextBody"/>
        <w:bidi w:val="0"/>
        <w:spacing w:lineRule="auto" w:line="276" w:before="60" w:after="60"/>
        <w:ind w:left="0" w:right="0" w:firstLine="720"/>
        <w:jc w:val="both"/>
        <w:rPr/>
      </w:pPr>
      <w:r>
        <w:rPr>
          <w:rFonts w:ascii="Times New Roman;sans-serif" w:hAnsi="Times New Roman;sans-serif"/>
          <w:b/>
          <w:i/>
          <w:color w:val="000000"/>
          <w:sz w:val="20"/>
        </w:rPr>
        <w:t>Property management units under management</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believe that our ability to increase our number of property management units under management is an indicator of our market penetration, growth, and potential future business opportunities. We define property management units under management as active or committed units under management at the period end date. We had 7.7 million and 6.8 million property management units under management as of June 30, 2023 and 2022, respectively.</w:t>
      </w:r>
    </w:p>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Key Components of Results of Operations</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core solutions and certain of our Value Added Services are offered on a subscription basis. Our core solutions subscription fees vary by property type and are designed to scale with the size of our customers’ businesses. We recognize revenue for subscription-based services on a straight-line basis over the contract term beginning on the date that our service is made available. We generally invoice monthly or, to a lesser extent, annually in advance of the subscription period. </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certain Value Added Services, which are not covered by our subscription fees, on a per-use basis. Usage-based fees are charged either as a percentage of the transaction amount (e.g., for certain of our payment services) or on a flat fee per transaction basis with no minimum usage commitments (e.g., for our tenant screening and risk mitigation services). We recognize revenue for usage-based services in the period the service is rendered. Our payments services fees are recorded gross of the interchange and payment processing related fees. We generally invoice our usage-based services on a monthly basis or collect the fee at the time of service. A significant majority of our Value Added Services revenue comes from the use of our payment services, tenant screening services, and risk mitigation services. </w:t>
      </w:r>
    </w:p>
    <w:p>
      <w:pPr>
        <w:pStyle w:val="TextBody"/>
        <w:bidi w:val="0"/>
        <w:spacing w:lineRule="auto" w:line="288" w:before="60" w:after="120"/>
        <w:ind w:left="0" w:right="0" w:firstLine="720"/>
        <w:jc w:val="both"/>
        <w:rPr/>
      </w:pPr>
      <w:r>
        <w:rPr>
          <w:rFonts w:ascii="Times New Roman;sans-serif" w:hAnsi="Times New Roman;sans-serif"/>
          <w:b w:val="false"/>
          <w:color w:val="000000"/>
          <w:sz w:val="20"/>
        </w:rPr>
        <w:t xml:space="preserve">We charge our customers for assistance onboarding onto our core solutions and for certain other non-recurring services. We generally invoice for these other services in advance of the services being completed and recognize revenue in the period the service is rendered. We generate revenue from the legacy customers of previously acquired businesses by providing services outside of our property management core solution platform. Revenue derived from these services is recorded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 xml:space="preserve">As of June 30, 2023 and 2022, we had 19,145 and 17,878 property management customers, respectively. </w:t>
      </w:r>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Costs and Operating Expenses</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Cost of Revenue (Exclusive of Depreciation and Amortization). </w:t>
      </w:r>
      <w:r>
        <w:rPr>
          <w:rFonts w:ascii="Times New Roman;sans-serif" w:hAnsi="Times New Roman;sans-serif"/>
          <w:b w:val="false"/>
          <w:color w:val="000000"/>
          <w:sz w:val="20"/>
        </w:rPr>
        <w:t>Many of our Value Added Services are facilitated by third-party service providers. Cost of revenue paid to these third-party service providers includes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consists of personnel-related costs for our employees focused on customer service and the support of our operations (including salaries, performance-based compensation,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 xml:space="preserve">Sales and marketing expense consists of personnel-related costs for our employees focused on sales and marketing (including salaries, sales commissions, performance-based compensation,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software solutions, creating sales leads, establishing and promoting our brands, and cultivating an educated community of successful and vocal customers.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Research and Product Development. </w:t>
      </w:r>
      <w:r>
        <w:rPr>
          <w:rFonts w:ascii="Times New Roman;sans-serif" w:hAnsi="Times New Roman;sans-serif"/>
          <w:b w:val="false"/>
          <w:color w:val="000000"/>
          <w:sz w:val="20"/>
        </w:rPr>
        <w:t>Research and product development expense consists of personnel-related costs for our employees focused on research and product development</w:t>
      </w:r>
      <w:r>
        <w:rPr>
          <w:color w:val="000000"/>
        </w:rPr>
        <w:t xml:space="preserve"> </w:t>
      </w:r>
      <w:r>
        <w:rPr>
          <w:rFonts w:ascii="Times New Roman;sans-serif" w:hAnsi="Times New Roman;sans-serif"/>
          <w:b w:val="false"/>
          <w:color w:val="000000"/>
          <w:sz w:val="20"/>
        </w:rPr>
        <w:t xml:space="preserve">(including salaries, performance-based compensation, benefits, and stock-based compensation), fees for third-party development resources, and allocated shared and other costs. Our research and product development efforts are focused on expanding functionality and the ease of use of our existing software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solutions by adding new core functionality, Value Added Services and other improvements, as well as developing new products and services. We capitalize our software development costs that meet the criteria for capitalization. Amortization of capitalized software development costs is included in depreciation and amortization expense.</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 xml:space="preserve">General and administrative expense consists of personnel-related costs for employees in our executive, finance, information technology, human resources, legal, compliance, corporate development and administrative organizations (including salaries, performance-based cash compensation, benefits, and stock-based compensation). In addition, general and administrative expense includes fees for third-party professional services (including audit, legal, compliance, and tax services), transaction costs related to sales of subsidiary businesses, regulatory fees, other corporate expenses, impairment of long-lived assets, gains on lease modifications, and allocated shared and other costs.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Other Income (Loss), Net. </w:t>
      </w:r>
      <w:r>
        <w:rPr>
          <w:rFonts w:ascii="Times New Roman;sans-serif" w:hAnsi="Times New Roman;sans-serif"/>
          <w:b w:val="false"/>
          <w:color w:val="000000"/>
          <w:sz w:val="20"/>
        </w:rPr>
        <w:t xml:space="preserve">Other income (loss), net includes gains and losses associated with the sale of businesses and property and equipment.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Interest Income, Net. </w:t>
      </w:r>
      <w:r>
        <w:rPr>
          <w:rFonts w:ascii="Times New Roman;sans-serif" w:hAnsi="Times New Roman;sans-serif"/>
          <w:b w:val="false"/>
          <w:color w:val="000000"/>
          <w:sz w:val="20"/>
        </w:rPr>
        <w:t xml:space="preserve">Interest income, net includes interest earned on investment securities, amortization and accretion of the premium and discounts paid from the purchase of investment securities, and interest earned on cash deposited in our bank accounts. </w:t>
      </w:r>
    </w:p>
    <w:p>
      <w:pPr>
        <w:pStyle w:val="TextBody"/>
        <w:bidi w:val="0"/>
        <w:spacing w:lineRule="auto" w:line="288" w:before="60" w:after="120"/>
        <w:ind w:left="0" w:right="0" w:firstLine="720"/>
        <w:jc w:val="both"/>
        <w:rPr/>
      </w:pPr>
      <w:r>
        <w:rPr>
          <w:rFonts w:ascii="Times New Roman;sans-serif" w:hAnsi="Times New Roman;sans-serif"/>
          <w:b w:val="false"/>
          <w:i/>
          <w:color w:val="000000"/>
          <w:sz w:val="20"/>
        </w:rPr>
        <w:t xml:space="preserve">Provision for (Benefit from) Income Taxes. </w:t>
      </w:r>
      <w:r>
        <w:rPr>
          <w:rFonts w:ascii="Times New Roman;sans-serif" w:hAnsi="Times New Roman;sans-serif"/>
          <w:b w:val="false"/>
          <w:color w:val="000000"/>
          <w:sz w:val="20"/>
        </w:rPr>
        <w:t>Provision for income taxes consists of federal and state income taxes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before="60" w:after="283"/>
        <w:ind w:left="0" w:right="0" w:firstLine="720"/>
        <w:jc w:val="both"/>
        <w:rPr/>
      </w:pPr>
      <w:r>
        <w:rPr/>
      </w:r>
    </w:p>
    <w:p>
      <w:pPr>
        <w:pStyle w:val="TextBody"/>
        <w:bidi w:val="0"/>
        <w:spacing w:lineRule="auto" w:line="288" w:before="6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w:t>
      </w:r>
    </w:p>
    <w:tbl>
      <w:tblPr>
        <w:tblW w:w="11492" w:type="dxa"/>
        <w:jc w:val="center"/>
        <w:tblInd w:w="0" w:type="dxa"/>
        <w:tblLayout w:type="fixed"/>
        <w:tblCellMar>
          <w:top w:w="28" w:type="dxa"/>
          <w:left w:w="28" w:type="dxa"/>
          <w:bottom w:w="28" w:type="dxa"/>
          <w:right w:w="28" w:type="dxa"/>
        </w:tblCellMar>
      </w:tblPr>
      <w:tblGrid>
        <w:gridCol w:w="315"/>
        <w:gridCol w:w="277"/>
        <w:gridCol w:w="27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7"/>
        <w:gridCol w:w="189"/>
        <w:gridCol w:w="271"/>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87"/>
        <w:gridCol w:w="189"/>
        <w:gridCol w:w="316"/>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4"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revenue for the three and six months ended June 30, 2023, compared to the same periods in the prior year, was primarily attributable to an increase in the usage of our payment, tenant screening and risk mitigation services. During the three and six month period ended June 30, 2023, we also experienced growth of 13% in the number of property management units under management compared to the same periods in the prior year, which drove growth in users of our subscription and usage-based services.</w:t>
      </w:r>
    </w:p>
    <w:p>
      <w:pPr>
        <w:pStyle w:val="TextBody"/>
        <w:bidi w:val="0"/>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payment services, including the eCheck (ACH) transaction fee, which we will no longer waive beginning in the third quarter of 2023, to increase for the remainder of the year ended December 31, 2023.</w:t>
      </w:r>
    </w:p>
    <w:p>
      <w:pPr>
        <w:pStyle w:val="TextBody"/>
        <w:bidi w:val="0"/>
        <w:spacing w:before="6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Cost of Revenue (Exclusive of Depreciation and Amortization)</w:t>
      </w:r>
    </w:p>
    <w:tbl>
      <w:tblPr>
        <w:tblW w:w="12230" w:type="dxa"/>
        <w:jc w:val="center"/>
        <w:tblInd w:w="0" w:type="dxa"/>
        <w:tblLayout w:type="fixed"/>
        <w:tblCellMar>
          <w:top w:w="28" w:type="dxa"/>
          <w:left w:w="28" w:type="dxa"/>
          <w:bottom w:w="28" w:type="dxa"/>
          <w:right w:w="28" w:type="dxa"/>
        </w:tblCellMar>
      </w:tblPr>
      <w:tblGrid>
        <w:gridCol w:w="569"/>
        <w:gridCol w:w="368"/>
        <w:gridCol w:w="369"/>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271"/>
        <w:gridCol w:w="109"/>
        <w:gridCol w:w="109"/>
        <w:gridCol w:w="109"/>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316"/>
      </w:tblGrid>
      <w:tr>
        <w:trPr/>
        <w:tc>
          <w:tcPr>
            <w:tcW w:w="5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expenditures to third-party service providers related to the delivery of our Value Added Services increased $7.0 million and $15.2 million, respectively, compared to the same periods in the prior year. This increase was directly associated with the increased adoption and utilization of our Value Added Services. Personnel-related costs, including stock-based and performance-based compensation, necessary to support growth and key investments, increased $2.4 million and $6.1 million for the three and six months ended June 30, 2023, respectively, compared to the same periods in the prior year. Allocated shared and other costs increased by $1.0 million and $1.9 million for the three and six months ended June 30, 2023, respectively, compared to the same periods in the prior year, primarily related to platform infrastructure, software and other costs incurred in support of our overall growth.</w:t>
      </w:r>
    </w:p>
    <w:p>
      <w:pPr>
        <w:pStyle w:val="TextBody"/>
        <w:bidi w:val="0"/>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 cost of revenue (exclusive of depreciation and amortization) fluctuates primarily based on the mix of Value Added Services revenue in the period, given the varying percentage of revenue we pay to third-party service providers. We expect cost of revenue (exclusive of depreciation and amortization) for the year ending December 31, 2023, to decrease as a percentage of revenue compared to the year ended December 31, 2022, primarily due to increased revenue from our enhanced revenue mix.</w:t>
      </w:r>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11990" w:type="dxa"/>
        <w:jc w:val="center"/>
        <w:tblInd w:w="0" w:type="dxa"/>
        <w:tblLayout w:type="fixed"/>
        <w:tblCellMar>
          <w:top w:w="28" w:type="dxa"/>
          <w:left w:w="28" w:type="dxa"/>
          <w:bottom w:w="28" w:type="dxa"/>
          <w:right w:w="28" w:type="dxa"/>
        </w:tblCellMar>
      </w:tblPr>
      <w:tblGrid>
        <w:gridCol w:w="688"/>
        <w:gridCol w:w="315"/>
        <w:gridCol w:w="303"/>
        <w:gridCol w:w="109"/>
        <w:gridCol w:w="109"/>
        <w:gridCol w:w="109"/>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203"/>
        <w:gridCol w:w="203"/>
        <w:gridCol w:w="271"/>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8"/>
        <w:gridCol w:w="188"/>
        <w:gridCol w:w="316"/>
      </w:tblGrid>
      <w:tr>
        <w:trPr/>
        <w:tc>
          <w:tcPr>
            <w:tcW w:w="68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 for the three months ended June 30, 2023 stayed flat compared to the same period in the prior year. Sales and marketing expense for the six months ended June 30, 2023 increased primarily due to increases in personnel-related costs, including stock-based and performance-based compensation, necessary to support growth in the business of $3.4 million compared to the same period in the prior year. Advertising costs increased by $0.9 million for the six months ended June 30, 2023 compared to the same period in the prior year, due to increased promotional activities. </w:t>
      </w:r>
    </w:p>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stock-based compensation for the three and six months ended June 30, 2023 was primarily due to the reversal of expense for unvested equity awards as a result of changes in our leadership team.</w:t>
      </w:r>
    </w:p>
    <w:p>
      <w:pPr>
        <w:pStyle w:val="TextBody"/>
        <w:bidi w:val="0"/>
        <w:spacing w:lineRule="auto" w:line="288" w:before="1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sales and marketing expense for the year ending December 31, 2023 to decrease as a percentage of revenue compared to the year ended December 31, 2022, as we continue to leverage headcount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Research and Product Development</w:t>
      </w:r>
    </w:p>
    <w:tbl>
      <w:tblPr>
        <w:tblW w:w="12125" w:type="dxa"/>
        <w:jc w:val="center"/>
        <w:tblInd w:w="0" w:type="dxa"/>
        <w:tblLayout w:type="fixed"/>
        <w:tblCellMar>
          <w:top w:w="28" w:type="dxa"/>
          <w:left w:w="28" w:type="dxa"/>
          <w:bottom w:w="28" w:type="dxa"/>
          <w:right w:w="28" w:type="dxa"/>
        </w:tblCellMar>
      </w:tblPr>
      <w:tblGrid>
        <w:gridCol w:w="550"/>
        <w:gridCol w:w="377"/>
        <w:gridCol w:w="379"/>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316"/>
      </w:tblGrid>
      <w:tr>
        <w:trPr/>
        <w:tc>
          <w:tcPr>
            <w:tcW w:w="55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product development expense for the three and six months ended June 30, 2023 increased primarily due to an increase in personnel-related costs, including stock-based and performance-based compensation, net of capitalized software development costs, of $10.2 million and $23.0 million, respectively, compared to the same periods in the prior year. The increase in personnel-related costs was primarily due to headcount growth within our research and product development organization. </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research and product development expenses for the year ending December 31, 2023 to increase as a percentage of revenue compared to the year ended December 31, 2022, as we continue to invest in our research and product development organization to support our strategy to expand the use cases of our product capabilities to the larger customer segment.</w:t>
      </w:r>
    </w:p>
    <w:p>
      <w:pPr>
        <w:pStyle w:val="TextBody"/>
        <w:bidi w:val="0"/>
        <w:spacing w:lineRule="auto" w:line="288" w:before="24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12080" w:type="dxa"/>
        <w:jc w:val="left"/>
        <w:tblInd w:w="0" w:type="dxa"/>
        <w:tblLayout w:type="fixed"/>
        <w:tblCellMar>
          <w:top w:w="28" w:type="dxa"/>
          <w:left w:w="28" w:type="dxa"/>
          <w:bottom w:w="28" w:type="dxa"/>
          <w:right w:w="28" w:type="dxa"/>
        </w:tblCellMar>
      </w:tblPr>
      <w:tblGrid>
        <w:gridCol w:w="483"/>
        <w:gridCol w:w="411"/>
        <w:gridCol w:w="412"/>
        <w:gridCol w:w="109"/>
        <w:gridCol w:w="109"/>
        <w:gridCol w:w="109"/>
        <w:gridCol w:w="211"/>
        <w:gridCol w:w="721"/>
        <w:gridCol w:w="271"/>
        <w:gridCol w:w="109"/>
        <w:gridCol w:w="109"/>
        <w:gridCol w:w="109"/>
        <w:gridCol w:w="211"/>
        <w:gridCol w:w="721"/>
        <w:gridCol w:w="271"/>
        <w:gridCol w:w="109"/>
        <w:gridCol w:w="109"/>
        <w:gridCol w:w="109"/>
        <w:gridCol w:w="211"/>
        <w:gridCol w:w="736"/>
        <w:gridCol w:w="109"/>
        <w:gridCol w:w="109"/>
        <w:gridCol w:w="109"/>
        <w:gridCol w:w="109"/>
        <w:gridCol w:w="188"/>
        <w:gridCol w:w="188"/>
        <w:gridCol w:w="271"/>
        <w:gridCol w:w="109"/>
        <w:gridCol w:w="109"/>
        <w:gridCol w:w="109"/>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188"/>
        <w:gridCol w:w="188"/>
        <w:gridCol w:w="316"/>
      </w:tblGrid>
      <w:tr>
        <w:trPr/>
        <w:tc>
          <w:tcPr>
            <w:tcW w:w="48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 for the three and six months ended June 30, 2023 decreased compared to the same periods in the prior year primarily due to lease-related asset impairment charges of $19.4 million and $19.8 million recognized in the three and six months ended June 30, 2022, respectively, that did not recur in 2023. In addition, allocated shared and other costs decreased $1.9 million and $4.3 million for the three and six months ended June 30, 2023, compared to the same periods in the prior year, due to gains related to lease modifications. This was partially offset by an increase in personnel-related costs, including stock-based and performance-based compensation, in the three and six months ended June 30, 2023 of $1.9 million and $17.5 million, respectively, compared to the same periods in the prior year. The increase in personnel-related costs for the six months ended June 30, 2023 was driven primarily by the separation costs associated with our former Chief Executive Officer's Separation Agreement. For further information see Note 6, Accrued Employee Expenses, of the Notes to Condensed Consolidated Financial Statements included in Part I, Item 1 of this report. </w:t>
      </w:r>
    </w:p>
    <w:p>
      <w:pPr>
        <w:pStyle w:val="TextBody"/>
        <w:bidi w:val="0"/>
        <w:spacing w:lineRule="auto" w:line="288" w:before="20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2023, stock-based compensation increased due to additional grants to current and new employees.</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general and administrative expenses for the year ending December 31, 2023 to decrease as a percentage of revenue compared to the year ended December 31, 2022, as we continue to leverage headcount efficiencies.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tbl>
      <w:tblPr>
        <w:tblW w:w="11630" w:type="dxa"/>
        <w:jc w:val="center"/>
        <w:tblInd w:w="0" w:type="dxa"/>
        <w:tblLayout w:type="fixed"/>
        <w:tblCellMar>
          <w:top w:w="28" w:type="dxa"/>
          <w:left w:w="28" w:type="dxa"/>
          <w:bottom w:w="28" w:type="dxa"/>
          <w:right w:w="28" w:type="dxa"/>
        </w:tblCellMar>
      </w:tblPr>
      <w:tblGrid>
        <w:gridCol w:w="424"/>
        <w:gridCol w:w="373"/>
        <w:gridCol w:w="374"/>
        <w:gridCol w:w="109"/>
        <w:gridCol w:w="109"/>
        <w:gridCol w:w="109"/>
        <w:gridCol w:w="211"/>
        <w:gridCol w:w="616"/>
        <w:gridCol w:w="271"/>
        <w:gridCol w:w="109"/>
        <w:gridCol w:w="109"/>
        <w:gridCol w:w="109"/>
        <w:gridCol w:w="211"/>
        <w:gridCol w:w="616"/>
        <w:gridCol w:w="271"/>
        <w:gridCol w:w="109"/>
        <w:gridCol w:w="109"/>
        <w:gridCol w:w="109"/>
        <w:gridCol w:w="211"/>
        <w:gridCol w:w="631"/>
        <w:gridCol w:w="109"/>
        <w:gridCol w:w="109"/>
        <w:gridCol w:w="109"/>
        <w:gridCol w:w="109"/>
        <w:gridCol w:w="188"/>
        <w:gridCol w:w="188"/>
        <w:gridCol w:w="271"/>
        <w:gridCol w:w="109"/>
        <w:gridCol w:w="109"/>
        <w:gridCol w:w="109"/>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188"/>
        <w:gridCol w:w="188"/>
        <w:gridCol w:w="316"/>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for the three and six months ended June 30, 2023 decreased, compared to the same periods in the prior year, primarily due to decreased amortization expense associated with capitalized software development and intangible balances. </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depreciation and amortization expenses for the year ending December 31, 2023 to decrease as a percentage of revenue compared to the year ended December 31, 2022 due to a decrease in amortization of accumulated capitalized software development balances.</w:t>
      </w:r>
    </w:p>
    <w:p>
      <w:pPr>
        <w:pStyle w:val="TextBody"/>
        <w:bidi w:val="0"/>
        <w:spacing w:lineRule="auto" w:line="288" w:before="24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Interest Income, Net</w:t>
      </w:r>
    </w:p>
    <w:tbl>
      <w:tblPr>
        <w:tblW w:w="10928" w:type="dxa"/>
        <w:jc w:val="left"/>
        <w:tblInd w:w="0" w:type="dxa"/>
        <w:tblLayout w:type="fixed"/>
        <w:tblCellMar>
          <w:top w:w="28" w:type="dxa"/>
          <w:left w:w="28" w:type="dxa"/>
          <w:bottom w:w="28" w:type="dxa"/>
          <w:right w:w="28" w:type="dxa"/>
        </w:tblCellMar>
      </w:tblPr>
      <w:tblGrid>
        <w:gridCol w:w="517"/>
        <w:gridCol w:w="244"/>
        <w:gridCol w:w="245"/>
        <w:gridCol w:w="211"/>
        <w:gridCol w:w="616"/>
        <w:gridCol w:w="271"/>
        <w:gridCol w:w="109"/>
        <w:gridCol w:w="109"/>
        <w:gridCol w:w="109"/>
        <w:gridCol w:w="211"/>
        <w:gridCol w:w="466"/>
        <w:gridCol w:w="271"/>
        <w:gridCol w:w="109"/>
        <w:gridCol w:w="109"/>
        <w:gridCol w:w="109"/>
        <w:gridCol w:w="211"/>
        <w:gridCol w:w="616"/>
        <w:gridCol w:w="109"/>
        <w:gridCol w:w="109"/>
        <w:gridCol w:w="109"/>
        <w:gridCol w:w="109"/>
        <w:gridCol w:w="233"/>
        <w:gridCol w:w="233"/>
        <w:gridCol w:w="271"/>
        <w:gridCol w:w="109"/>
        <w:gridCol w:w="109"/>
        <w:gridCol w:w="109"/>
        <w:gridCol w:w="211"/>
        <w:gridCol w:w="616"/>
        <w:gridCol w:w="271"/>
        <w:gridCol w:w="109"/>
        <w:gridCol w:w="109"/>
        <w:gridCol w:w="109"/>
        <w:gridCol w:w="211"/>
        <w:gridCol w:w="466"/>
        <w:gridCol w:w="271"/>
        <w:gridCol w:w="109"/>
        <w:gridCol w:w="109"/>
        <w:gridCol w:w="109"/>
        <w:gridCol w:w="211"/>
        <w:gridCol w:w="616"/>
        <w:gridCol w:w="109"/>
        <w:gridCol w:w="109"/>
        <w:gridCol w:w="109"/>
        <w:gridCol w:w="109"/>
        <w:gridCol w:w="308"/>
        <w:gridCol w:w="308"/>
        <w:gridCol w:w="316"/>
      </w:tblGrid>
      <w:tr>
        <w:trPr/>
        <w:tc>
          <w:tcPr>
            <w:tcW w:w="5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2"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Interest income for the three and six months ended June 30, 2023 increased, compared to the same periods in the prior year, </w:t>
      </w:r>
      <w:r>
        <w:rPr>
          <w:rFonts w:ascii="Times New Roman;sans-serif" w:hAnsi="Times New Roman;sans-serif"/>
          <w:b w:val="false"/>
          <w:color w:val="000000"/>
          <w:sz w:val="20"/>
          <w:shd w:fill="FFFFFF" w:val="clear"/>
        </w:rPr>
        <w:t>primarily due to higher interest rates.</w:t>
      </w:r>
    </w:p>
    <w:p>
      <w:pPr>
        <w:pStyle w:val="TextBody"/>
        <w:bidi w:val="0"/>
        <w:spacing w:lineRule="auto" w:line="288" w:before="20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tbl>
      <w:tblPr>
        <w:tblW w:w="11358" w:type="dxa"/>
        <w:jc w:val="center"/>
        <w:tblInd w:w="0" w:type="dxa"/>
        <w:tblLayout w:type="fixed"/>
        <w:tblCellMar>
          <w:top w:w="28" w:type="dxa"/>
          <w:left w:w="28" w:type="dxa"/>
          <w:bottom w:w="28" w:type="dxa"/>
          <w:right w:w="28" w:type="dxa"/>
        </w:tblCellMar>
      </w:tblPr>
      <w:tblGrid>
        <w:gridCol w:w="326"/>
        <w:gridCol w:w="287"/>
        <w:gridCol w:w="288"/>
        <w:gridCol w:w="109"/>
        <w:gridCol w:w="109"/>
        <w:gridCol w:w="109"/>
        <w:gridCol w:w="211"/>
        <w:gridCol w:w="721"/>
        <w:gridCol w:w="271"/>
        <w:gridCol w:w="109"/>
        <w:gridCol w:w="109"/>
        <w:gridCol w:w="109"/>
        <w:gridCol w:w="211"/>
        <w:gridCol w:w="736"/>
        <w:gridCol w:w="271"/>
        <w:gridCol w:w="109"/>
        <w:gridCol w:w="109"/>
        <w:gridCol w:w="109"/>
        <w:gridCol w:w="211"/>
        <w:gridCol w:w="721"/>
        <w:gridCol w:w="109"/>
        <w:gridCol w:w="109"/>
        <w:gridCol w:w="109"/>
        <w:gridCol w:w="109"/>
        <w:gridCol w:w="160"/>
        <w:gridCol w:w="160"/>
        <w:gridCol w:w="161"/>
        <w:gridCol w:w="109"/>
        <w:gridCol w:w="109"/>
        <w:gridCol w:w="109"/>
        <w:gridCol w:w="211"/>
        <w:gridCol w:w="736"/>
        <w:gridCol w:w="271"/>
        <w:gridCol w:w="109"/>
        <w:gridCol w:w="109"/>
        <w:gridCol w:w="109"/>
        <w:gridCol w:w="211"/>
        <w:gridCol w:w="736"/>
        <w:gridCol w:w="271"/>
        <w:gridCol w:w="109"/>
        <w:gridCol w:w="109"/>
        <w:gridCol w:w="109"/>
        <w:gridCol w:w="211"/>
        <w:gridCol w:w="721"/>
        <w:gridCol w:w="109"/>
        <w:gridCol w:w="109"/>
        <w:gridCol w:w="109"/>
        <w:gridCol w:w="109"/>
        <w:gridCol w:w="123"/>
        <w:gridCol w:w="123"/>
        <w:gridCol w:w="175"/>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0"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*Percentage not meaningful</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rates for the three and six months ended June 30, 2023 differ from the U.S. federal statutory rate of 21% primarily due to the change in valuation allowance against deferred tax assets, non-deductible officers' compensation and state income taxes, partially offset by tax benefits from stock-based compensation and research and development tax credits. Our effective tax rates for the three and six months ended June 30, 2022 differ from the U.S. federal statutory rate of 21% primarily due to the change in valuation allowance against deferred tax assets and tax benefits from research and development credits. </w:t>
      </w:r>
    </w:p>
    <w:p>
      <w:pPr>
        <w:pStyle w:val="TextBody"/>
        <w:bidi w:val="0"/>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our effective tax rate for the three months ended June 30, 2023, as compared to the same period in 2022, is primarily due to the significant increase in our pre-tax income and increase in tax expense attributable to the change in valuation allowance against deferred tax assets, higher non-deductible officers’ compensation, state income taxes, and capitalized research and development expenses as required by a change in U.S. tax law effective January 1, 2022. The decrease in our effective tax rate for the six months ended June 30, 2023 as compared to the same period in 2022 is primarily attributable to the decrease in our pre-tax losses and increase in tax expense for similar reasons aforementioned.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6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continue to be cash, cash equivalents, and investment securities totaling $164.0 million, as well as cash flows generated from our operations.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twelve months.</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bidi w:val="0"/>
        <w:spacing w:lineRule="auto" w:line="288" w:before="12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 continued market acceptance of our software solutions, changes in the number of our customers, adoption and utilization of our Value Added Services by new and existing customers, the timing and extent of the introduction of new core functionality, products and Value Added Services, and the timing and extent of our investments across our organization. In addition, we have in the past entered into, and may in the future enter into, arrangements to acquire or invest in new technologies or markets adjacent to those we serve today. Furthermore, our Board of Directors has authorized the repurchase of up to $100.0 million of shares of our Class A common stock from time to time. To date, we have repurchased $4.2 million of our Class A common stock under the share repurchase program.</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indicated (in thousands):</w:t>
      </w:r>
    </w:p>
    <w:tbl>
      <w:tblPr>
        <w:tblW w:w="7670" w:type="dxa"/>
        <w:jc w:val="left"/>
        <w:tblInd w:w="0" w:type="dxa"/>
        <w:tblLayout w:type="fixed"/>
        <w:tblCellMar>
          <w:top w:w="28" w:type="dxa"/>
          <w:left w:w="28" w:type="dxa"/>
          <w:bottom w:w="28" w:type="dxa"/>
          <w:right w:w="28" w:type="dxa"/>
        </w:tblCellMar>
      </w:tblPr>
      <w:tblGrid>
        <w:gridCol w:w="1715"/>
        <w:gridCol w:w="1509"/>
        <w:gridCol w:w="1515"/>
        <w:gridCol w:w="109"/>
        <w:gridCol w:w="109"/>
        <w:gridCol w:w="109"/>
        <w:gridCol w:w="211"/>
        <w:gridCol w:w="796"/>
        <w:gridCol w:w="109"/>
        <w:gridCol w:w="109"/>
        <w:gridCol w:w="109"/>
        <w:gridCol w:w="109"/>
        <w:gridCol w:w="211"/>
        <w:gridCol w:w="79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 of operating cash inflows is cash collected from our customers in connection with their use of our core solutions and Value Added Services. Our primary uses of cash from operating activities are for personnel-related expenditures and third-party costs incurred to support the delivery of our software solutions.</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decrease in cash provided by operating activities for the six months ended June 30, 2023, compared to the same period in the prior year, was primarily due to the payment of separation costs in the second quarter of 2023 related to our former Chief Executive Officer's Separation Agreement, partially offset by changes in working capital levels. </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is generally composed of purchases of investment securities, maturities and sales of investment securities, purchases of property and equipment, and additions to capitalized software development.</w:t>
      </w:r>
    </w:p>
    <w:p>
      <w:pPr>
        <w:pStyle w:val="TextBody"/>
        <w:bidi w:val="0"/>
        <w:spacing w:lineRule="auto" w:line="288" w:before="20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increase in cash used in investing activities for the six months ended June 30, 2023, compared to the same period in the prior year, was primarily due to higher purchases of available-for-sale investment securities.</w:t>
      </w:r>
    </w:p>
    <w:p>
      <w:pPr>
        <w:pStyle w:val="TextBody"/>
        <w:bidi w:val="0"/>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6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is generally composed of net share settlements for employee tax withholdings associated with the vesting of equity awards offset by proceeds from the exercise of stock options.</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increase in cash used in financing activities for the six months ended June 30, 2023, compared to the same period in the prior year, was primarily due to an increase in net share settlements for employee tax withholdings associated with the vesting of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and the related notes are prepared in accordance with accounting principles generally accepted in the United States. The preparation of our Condensed Consolidated Financial Statements requires management to make estimates and assumptions that affect the reported amounts of assets and liabilities, the disclosure of contingent assets and liabilities at the dates of the financial statements, and the reported amounts of revenues and expenses during the reporting period.</w:t>
      </w:r>
    </w:p>
    <w:p>
      <w:pPr>
        <w:pStyle w:val="TextBody"/>
        <w:bidi w:val="0"/>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our critical accounting policies and estimates described in our Annual Report that have had a material impact on our Condensed Consolidated Financial Statements and related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Qualitative and Quantitative Disclosure about Market Risk</w:t>
      </w:r>
    </w:p>
    <w:p>
      <w:pPr>
        <w:pStyle w:val="TextBody"/>
        <w:bidi w:val="0"/>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Securities</w:t>
      </w:r>
    </w:p>
    <w:p>
      <w:pPr>
        <w:pStyle w:val="TextBody"/>
        <w:bidi w:val="0"/>
        <w:spacing w:lineRule="auto" w:line="288" w:before="120" w:after="120"/>
        <w:ind w:left="0" w:right="0" w:firstLine="720"/>
        <w:jc w:val="both"/>
        <w:rPr/>
      </w:pPr>
      <w:r>
        <w:rPr>
          <w:rFonts w:ascii="Times New Roman;sans-serif" w:hAnsi="Times New Roman;sans-serif"/>
          <w:b w:val="false"/>
          <w:color w:val="000000"/>
          <w:sz w:val="20"/>
        </w:rPr>
        <w:t>As of June 30, 2023, we had</w:t>
      </w:r>
      <w:r>
        <w:rPr>
          <w:color w:val="000000"/>
          <w:shd w:fill="FFFFFF" w:val="clear"/>
        </w:rPr>
        <w:t xml:space="preserve"> </w:t>
      </w:r>
      <w:r>
        <w:rPr>
          <w:rFonts w:ascii="Times New Roman;sans-serif" w:hAnsi="Times New Roman;sans-serif"/>
          <w:b w:val="false"/>
          <w:color w:val="000000"/>
          <w:sz w:val="20"/>
        </w:rPr>
        <w:t>$139.3 million</w:t>
      </w:r>
      <w:r>
        <w:rPr>
          <w:color w:val="000000"/>
          <w:shd w:fill="FFFFFF" w:val="clear"/>
        </w:rPr>
        <w:t xml:space="preserve"> </w:t>
      </w: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 xml:space="preserve">f investment securities consisting of United States government agency securities, corporate bonds,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 </w:t>
      </w:r>
    </w:p>
    <w:p>
      <w:pPr>
        <w:pStyle w:val="TextBody"/>
        <w:bidi w:val="0"/>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(loss) income unless an investment security is considered impaired in which case changes in fair value are reported in other expense. As of June 30, 2023, a hypothetical 100 basis point decrease in interest rates would have resulted in an increase in the fair value of our investment securities of approximately $0.6 million and a hypothetical 100 basis point increase in interest rates would have resulted in a decrease in the fair value of our investment securities of approximately $0.6 million. This estimate is based on a sensitivity model which measures an instant change in interest rates by 100 basis points at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4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12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supervision and participation of our principal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other procedures designed to provide reasonable assurance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management's evaluation, our principal executive officer and principal financial officer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200" w:after="12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2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various investigative inquiries, legal proceedings and other disputes arising from or related to matters incident to the ordinary course of our business activities, including actions with respect to intellectual property, employment, labor, regulatory and contractual matters. Although the results of such investigative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matters raised or the ultimate outcome, investigative inquiries, legal proceedings and other disputes may generally have an adverse impact on us as a result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Class A common stock involves risks. Before making an investment decision, you should carefully consider all of the information in this Quarterly Report, including in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which was filed with the SEC on February 9, 2023, as well as in our other public filings with the SEC. If any of the identified risks are realized, our business, financial condition, operating results and prospects could be materially and adversely affected. In that case, the trading price of our Class A common stock may decline, and you could lose all or part of your investment. In addition, other risks of which we are currently unaware, or which we do not currently view as material, could have a material adverse effect on our business, financial condition, operating results and prospects. As of the date of this report, there have been no material changes to the risk factors previously disclosed in the Annual Report. We may, however, disclose changes to such factors or disclose additional factors from time to time in our future filings with the SEC.</w:t>
      </w:r>
    </w:p>
    <w:p>
      <w:pPr>
        <w:pStyle w:val="TextBody"/>
        <w:bidi w:val="0"/>
        <w:spacing w:before="12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bookmarkStart w:id="0" w:name="i386ac81cef274470b1aa3323928ccc38_4655"/>
      <w:bookmarkEnd w:id="0"/>
      <w:r>
        <w:rPr>
          <w:rFonts w:ascii="Times New Roman;sans-serif" w:hAnsi="Times New Roman;sans-serif"/>
          <w:b/>
          <w:color w:val="000000"/>
          <w:sz w:val="20"/>
        </w:rPr>
        <w:t>Item 5. Other Information</w:t>
      </w:r>
    </w:p>
    <w:p>
      <w:pPr>
        <w:pStyle w:val="TextBody"/>
        <w:bidi w:val="0"/>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5, 2023, Janet Kerr, a member of our Board of Directors, entered into a prearranged stock selling plan for the sale of up to 1,000 shares of the Company's Class A common stock between August 4, 2023 and December 31, 2023 (the "Sale Period"). Ms. Kerr's trading plan was entered into during an open insider trading window and is intended to satisfy the affirmative defense of Rule 10b5-1(c) under the Exchange Act of 1934, as amended, and the Company's policies regarding insider transactions.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39"/>
        <w:gridCol w:w="239"/>
        <w:gridCol w:w="240"/>
        <w:gridCol w:w="109"/>
        <w:gridCol w:w="109"/>
        <w:gridCol w:w="109"/>
        <w:gridCol w:w="2837"/>
        <w:gridCol w:w="2465"/>
        <w:gridCol w:w="35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35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a63023exhibit311.htm">
              <w:r>
                <w:rPr>
                  <w:rStyle w:val="InternetLink"/>
                  <w:rFonts w:ascii="Times New Roman;sans-serif" w:hAnsi="Times New Roman;sans-serif"/>
                  <w:b w:val="false"/>
                  <w:color w:val="0000FF"/>
                  <w:sz w:val="20"/>
                  <w:u w:val="single"/>
                </w:rPr>
                <w:t>Certification of Chief Executive Officer pursuant to Rule 13a-14(a) or Rule 15d-14(a) promulgated under the Securities Exchange Act of 1934, as amended.</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63023exhibit312.htm">
              <w:r>
                <w:rPr>
                  <w:rStyle w:val="InternetLink"/>
                  <w:rFonts w:ascii="Times New Roman;sans-serif" w:hAnsi="Times New Roman;sans-serif"/>
                  <w:b w:val="false"/>
                  <w:color w:val="0000FF"/>
                  <w:sz w:val="20"/>
                  <w:u w:val="single"/>
                </w:rPr>
                <w:t>Certification of Principal Financial Officer pursuant to Rule 13a-14(a) or Rule 15d-14(a) promulgated under the Securities Exchange Act of 1934, as amended.</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18"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63023exhibit321.htm">
              <w:r>
                <w:rPr>
                  <w:rStyle w:val="InternetLink"/>
                  <w:rFonts w:ascii="Times New Roman;sans-serif" w:hAnsi="Times New Roman;sans-serif"/>
                  <w:b w:val="false"/>
                  <w:color w:val="0000FF"/>
                  <w:sz w:val="20"/>
                  <w:u w:val="single"/>
                </w:rPr>
                <w:t>Certifications of Chief Executive Officer and Principal Financial Officer, pursuant to 18 U.S.C. Section 1350, as adopted pursuant to Section 906 of the Sarbanes-Oxley Act of 2002.</w:t>
              </w:r>
            </w:hyperlink>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60" w:after="283"/>
        <w:jc w:val="left"/>
        <w:rPr/>
      </w:pPr>
      <w:hyperlink w:anchor="ifc6aa9277c8a4991aa69a58da73d33cd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100" w:after="100"/>
        <w:jc w:val="left"/>
        <w:rPr/>
      </w:pPr>
      <w:r>
        <w:rPr/>
      </w:r>
    </w:p>
    <w:p>
      <w:pPr>
        <w:pStyle w:val="TextBody"/>
        <w:bidi w:val="0"/>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thereunto duly authorized. </w:t>
      </w:r>
    </w:p>
    <w:tbl>
      <w:tblPr>
        <w:tblW w:w="6497"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212"/>
        <w:gridCol w:w="212"/>
        <w:gridCol w:w="212"/>
        <w:gridCol w:w="1238"/>
        <w:gridCol w:w="1238"/>
        <w:gridCol w:w="1243"/>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AppFolio,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27, 2023</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27, 2023</w:t>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Shane Trigg, certify that:</w:t>
      </w:r>
    </w:p>
    <w:tbl>
      <w:tblPr>
        <w:tblW w:w="6177" w:type="dxa"/>
        <w:jc w:val="center"/>
        <w:tblInd w:w="0" w:type="dxa"/>
        <w:tblLayout w:type="fixed"/>
        <w:tblCellMar>
          <w:top w:w="28" w:type="dxa"/>
          <w:left w:w="28" w:type="dxa"/>
          <w:bottom w:w="28" w:type="dxa"/>
          <w:right w:w="28" w:type="dxa"/>
        </w:tblCellMar>
      </w:tblPr>
      <w:tblGrid>
        <w:gridCol w:w="124"/>
        <w:gridCol w:w="109"/>
        <w:gridCol w:w="109"/>
        <w:gridCol w:w="1704"/>
        <w:gridCol w:w="1704"/>
        <w:gridCol w:w="2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AppFolio, Inc.;</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4211" w:type="dxa"/>
        <w:jc w:val="left"/>
        <w:tblInd w:w="0" w:type="dxa"/>
        <w:tblLayout w:type="fixed"/>
        <w:tblCellMar>
          <w:top w:w="28" w:type="dxa"/>
          <w:left w:w="28" w:type="dxa"/>
          <w:bottom w:w="28" w:type="dxa"/>
          <w:right w:w="28" w:type="dxa"/>
        </w:tblCellMar>
      </w:tblPr>
      <w:tblGrid>
        <w:gridCol w:w="216"/>
        <w:gridCol w:w="191"/>
        <w:gridCol w:w="192"/>
        <w:gridCol w:w="404"/>
        <w:gridCol w:w="404"/>
        <w:gridCol w:w="407"/>
        <w:gridCol w:w="109"/>
        <w:gridCol w:w="109"/>
        <w:gridCol w:w="109"/>
        <w:gridCol w:w="606"/>
        <w:gridCol w:w="606"/>
        <w:gridCol w:w="85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27,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Fay Sien Goon, certify that:</w:t>
      </w:r>
    </w:p>
    <w:tbl>
      <w:tblPr>
        <w:tblW w:w="6177" w:type="dxa"/>
        <w:jc w:val="left"/>
        <w:tblInd w:w="0" w:type="dxa"/>
        <w:tblLayout w:type="fixed"/>
        <w:tblCellMar>
          <w:top w:w="28" w:type="dxa"/>
          <w:left w:w="28" w:type="dxa"/>
          <w:bottom w:w="28" w:type="dxa"/>
          <w:right w:w="28" w:type="dxa"/>
        </w:tblCellMar>
      </w:tblPr>
      <w:tblGrid>
        <w:gridCol w:w="124"/>
        <w:gridCol w:w="109"/>
        <w:gridCol w:w="109"/>
        <w:gridCol w:w="1704"/>
        <w:gridCol w:w="1704"/>
        <w:gridCol w:w="2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AppFolio,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4107"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09"/>
        <w:gridCol w:w="109"/>
        <w:gridCol w:w="109"/>
        <w:gridCol w:w="588"/>
        <w:gridCol w:w="588"/>
        <w:gridCol w:w="8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OF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certifications are hereby made in connection with the Quarterly Report on Form 10-Q of AppFolio, Inc. (the “Company”) for the period ended June 30, 2023, as filed with the Securities and Exchange Commission on the date hereof (the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Shane Trigg,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5429"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49"/>
        <w:gridCol w:w="149"/>
        <w:gridCol w:w="151"/>
        <w:gridCol w:w="940"/>
        <w:gridCol w:w="940"/>
        <w:gridCol w:w="13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July 27, 2023</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Fay Sien Goon,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4229"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49"/>
        <w:gridCol w:w="149"/>
        <w:gridCol w:w="151"/>
        <w:gridCol w:w="588"/>
        <w:gridCol w:w="588"/>
        <w:gridCol w:w="8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July 27, 2023</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12924</Words>
  <Characters>71403</Characters>
  <CharactersWithSpaces>83213</CharactersWithSpaces>
  <Paragraphs>2422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