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left"/>
        <w:rPr/>
      </w:pPr>
      <w:r>
        <w:rPr/>
      </w:r>
    </w:p>
    <w:p>
      <w:pPr>
        <w:pStyle w:val="TextBody"/>
        <w:bidi w:val="0"/>
        <w:spacing w:lineRule="auto" w:line="288" w:before="0" w:after="40"/>
        <w:jc w:val="center"/>
        <w:rPr/>
      </w:pPr>
      <w:r>
        <w:rPr>
          <w:color w:val="000000"/>
        </w:rPr>
        <w:t> </w:t>
      </w: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(Mark one)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September 30, 2026.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 to ________.</w:t>
      </w:r>
    </w:p>
    <w:p>
      <w:pPr>
        <w:pStyle w:val="TextBody"/>
        <w:bidi w:val="0"/>
        <w:spacing w:before="100" w:after="100"/>
        <w:jc w:val="left"/>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001-37468 </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AppFolio, Inc. </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(Exact name of registrant as specified in its charter)</w:t>
      </w:r>
    </w:p>
    <w:tbl>
      <w:tblPr>
        <w:tblW w:w="6821" w:type="dxa"/>
        <w:jc w:val="center"/>
        <w:tblInd w:w="0" w:type="dxa"/>
        <w:tblLayout w:type="fixed"/>
        <w:tblCellMar>
          <w:top w:w="28" w:type="dxa"/>
          <w:left w:w="28" w:type="dxa"/>
          <w:bottom w:w="28" w:type="dxa"/>
          <w:right w:w="28" w:type="dxa"/>
        </w:tblCellMar>
      </w:tblPr>
      <w:tblGrid>
        <w:gridCol w:w="421"/>
        <w:gridCol w:w="371"/>
        <w:gridCol w:w="371"/>
        <w:gridCol w:w="371"/>
        <w:gridCol w:w="371"/>
        <w:gridCol w:w="371"/>
        <w:gridCol w:w="371"/>
        <w:gridCol w:w="371"/>
        <w:gridCol w:w="387"/>
        <w:gridCol w:w="109"/>
        <w:gridCol w:w="109"/>
        <w:gridCol w:w="109"/>
        <w:gridCol w:w="902"/>
        <w:gridCol w:w="902"/>
        <w:gridCol w:w="1285"/>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26-0359894</w:t>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(State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(I.R.S. Employer Identification No.)</w:t>
            </w:r>
          </w:p>
        </w:tc>
      </w:tr>
      <w:tr>
        <w:trPr/>
        <w:tc>
          <w:tcPr>
            <w:tcW w:w="682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70 Castilian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93117</w:t>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Santa Barbara,</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(Zip Code)</w:t>
            </w:r>
          </w:p>
        </w:tc>
      </w:tr>
    </w:tbl>
    <w:p>
      <w:pPr>
        <w:pStyle w:val="TextBody"/>
        <w:bidi w:val="0"/>
        <w:spacing w:lineRule="auto" w:line="288" w:before="80" w:after="180"/>
        <w:jc w:val="center"/>
        <w:rPr/>
      </w:pPr>
      <w:r>
        <w:rPr>
          <w:color w:val="000000"/>
        </w:rPr>
        <w:t> </w:t>
      </w:r>
      <w:r>
        <w:rPr>
          <w:rFonts w:ascii="Times New Roman;serif" w:hAnsi="Times New Roman;serif"/>
          <w:b/>
          <w:color w:val="000000"/>
          <w:sz w:val="18"/>
        </w:rPr>
        <w:t xml:space="preserve">(805) 364-6093 </w:t>
      </w:r>
    </w:p>
    <w:p>
      <w:pPr>
        <w:pStyle w:val="TextBody"/>
        <w:bidi w:val="0"/>
        <w:spacing w:lineRule="auto" w:line="417" w:before="180" w:after="180"/>
        <w:jc w:val="center"/>
        <w:rPr>
          <w:rFonts w:ascii="Times New Roman;serif" w:hAnsi="Times New Roman;serif"/>
          <w:b/>
          <w:i/>
          <w:color w:val="000000"/>
          <w:sz w:val="18"/>
        </w:rPr>
      </w:pPr>
      <w:r>
        <w:rPr>
          <w:rFonts w:ascii="Times New Roman;serif" w:hAnsi="Times New Roman;serif"/>
          <w:b/>
          <w:i/>
          <w:color w:val="000000"/>
          <w:sz w:val="18"/>
        </w:rPr>
        <w:t>(Registrant’s telephone number, including area code)</w:t>
      </w:r>
    </w:p>
    <w:p>
      <w:pPr>
        <w:pStyle w:val="TextBody"/>
        <w:bidi w:val="0"/>
        <w:spacing w:lineRule="auto" w:line="288" w:before="180" w:after="18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180" w:after="180"/>
        <w:jc w:val="center"/>
        <w:rPr>
          <w:rFonts w:ascii="Times New Roman;serif" w:hAnsi="Times New Roman;serif"/>
          <w:b/>
          <w:i/>
          <w:color w:val="000000"/>
          <w:sz w:val="18"/>
        </w:rPr>
      </w:pPr>
      <w:r>
        <w:rPr>
          <w:rFonts w:ascii="Times New Roman;serif" w:hAnsi="Times New Roman;serif"/>
          <w:b/>
          <w:i/>
          <w:color w:val="000000"/>
          <w:sz w:val="18"/>
        </w:rPr>
        <w:t>(Former name, former address and former fiscal year, if changed since last report)</w:t>
      </w:r>
    </w:p>
    <w:p>
      <w:pPr>
        <w:pStyle w:val="TextBody"/>
        <w:bidi w:val="0"/>
        <w:spacing w:lineRule="auto" w:line="288" w:before="18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977" w:type="dxa"/>
        <w:jc w:val="center"/>
        <w:tblInd w:w="0" w:type="dxa"/>
        <w:tblLayout w:type="fixed"/>
        <w:tblCellMar>
          <w:top w:w="28" w:type="dxa"/>
          <w:left w:w="28" w:type="dxa"/>
          <w:bottom w:w="28" w:type="dxa"/>
          <w:right w:w="28" w:type="dxa"/>
        </w:tblCellMar>
      </w:tblPr>
      <w:tblGrid>
        <w:gridCol w:w="1133"/>
        <w:gridCol w:w="997"/>
        <w:gridCol w:w="1004"/>
        <w:gridCol w:w="454"/>
        <w:gridCol w:w="454"/>
        <w:gridCol w:w="456"/>
        <w:gridCol w:w="1019"/>
        <w:gridCol w:w="1019"/>
        <w:gridCol w:w="1441"/>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$0.0001 par value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APPF</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lineRule="auto" w:line="288" w:before="0" w:after="10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00" w:after="10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 xml:space="preserve">☐ </w:t>
      </w:r>
    </w:p>
    <w:p>
      <w:pPr>
        <w:pStyle w:val="TextBody"/>
        <w:bidi w:val="0"/>
        <w:spacing w:lineRule="auto" w:line="288" w:before="100" w:after="20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45"/>
        <w:gridCol w:w="145"/>
        <w:gridCol w:w="146"/>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October 15, 2026, the number of shares of the registrant’s Class A common stock outstanding was 24,126,151 and the number of shares of the registrant’s Class B common stock outstanding was 11,329,625.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75"/>
        <w:gridCol w:w="2877"/>
        <w:gridCol w:w="2890"/>
        <w:gridCol w:w="109"/>
        <w:gridCol w:w="109"/>
        <w:gridCol w:w="109"/>
        <w:gridCol w:w="244"/>
        <w:gridCol w:w="244"/>
        <w:gridCol w:w="348"/>
      </w:tblGrid>
      <w:tr>
        <w:trPr/>
        <w:tc>
          <w:tcPr>
            <w:tcW w:w="3275"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10">
              <w:r>
                <w:rPr>
                  <w:rStyle w:val="InternetLink"/>
                  <w:rFonts w:ascii="Times New Roman;serif" w:hAnsi="Times New Roman;serif"/>
                  <w:b w:val="false"/>
                  <w:color w:val="0000FF"/>
                  <w:sz w:val="20"/>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54677ac894aa458e91153484dc69f026_10">
              <w:r>
                <w:rPr>
                  <w:rStyle w:val="InternetLink"/>
                  <w:rFonts w:ascii="Times New Roman;serif" w:hAnsi="Times New Roman;serif"/>
                  <w:b w:val="false"/>
                  <w:color w:val="0000FF"/>
                  <w:sz w:val="20"/>
                  <w:u w:val="single"/>
                </w:rPr>
                <w:t>1</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13">
              <w:r>
                <w:rPr>
                  <w:rStyle w:val="InternetLink"/>
                  <w:rFonts w:ascii="Times New Roman;serif" w:hAnsi="Times New Roman;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13">
              <w:r>
                <w:rPr>
                  <w:rStyle w:val="InternetLink"/>
                  <w:rFonts w:ascii="Times New Roman;serif" w:hAnsi="Times New Roman;serif"/>
                  <w:b w:val="false"/>
                  <w:color w:val="0000FF"/>
                  <w:sz w:val="20"/>
                  <w:u w:val="single"/>
                </w:rPr>
                <w:t>2</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13">
              <w:r>
                <w:rPr>
                  <w:rStyle w:val="InternetLink"/>
                  <w:rFonts w:ascii="Times New Roman;serif" w:hAnsi="Times New Roman;serif"/>
                  <w:b w:val="false"/>
                  <w:color w:val="0000FF"/>
                  <w:sz w:val="20"/>
                  <w:u w:val="single"/>
                </w:rPr>
                <w:t>Item 1.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13">
              <w:r>
                <w:rPr>
                  <w:rStyle w:val="InternetLink"/>
                  <w:rFonts w:ascii="Times New Roman;serif" w:hAnsi="Times New Roman;serif"/>
                  <w:b w:val="false"/>
                  <w:color w:val="0000FF"/>
                  <w:sz w:val="20"/>
                  <w:u w:val="single"/>
                </w:rPr>
                <w:t>2</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16">
              <w:r>
                <w:rPr>
                  <w:rStyle w:val="InternetLink"/>
                  <w:rFonts w:ascii="Times New Roman;serif" w:hAnsi="Times New Roman;serif"/>
                  <w:b w:val="false"/>
                  <w:color w:val="000080"/>
                  <w:sz w:val="20"/>
                  <w:u w:val="single"/>
                </w:rPr>
                <w:t xml:space="preserve">Condensed Consolidated Balance Sheets as of </w:t>
              </w:r>
            </w:hyperlink>
            <w:hyperlink w:anchor="i54677ac894aa458e91153484dc69f026_16">
              <w:r>
                <w:rPr>
                  <w:rStyle w:val="InternetLink"/>
                  <w:rFonts w:ascii="Times New Roman;serif" w:hAnsi="Times New Roman;serif"/>
                  <w:b w:val="false"/>
                  <w:color w:val="000080"/>
                  <w:sz w:val="20"/>
                  <w:u w:val="single"/>
                </w:rPr>
                <w:t>Septe</w:t>
              </w:r>
            </w:hyperlink>
            <w:hyperlink w:anchor="i54677ac894aa458e91153484dc69f026_16">
              <w:r>
                <w:rPr>
                  <w:rStyle w:val="InternetLink"/>
                  <w:rFonts w:ascii="Times New Roman;serif" w:hAnsi="Times New Roman;serif"/>
                  <w:b w:val="false"/>
                  <w:color w:val="000080"/>
                  <w:sz w:val="20"/>
                  <w:u w:val="single"/>
                </w:rPr>
                <w:t>mber</w:t>
              </w:r>
            </w:hyperlink>
            <w:hyperlink w:anchor="i54677ac894aa458e91153484dc69f026_16">
              <w:r>
                <w:rPr>
                  <w:rStyle w:val="InternetLink"/>
                  <w:rFonts w:ascii="Times New Roman;serif" w:hAnsi="Times New Roman;serif"/>
                  <w:b w:val="false"/>
                  <w:color w:val="000080"/>
                  <w:sz w:val="20"/>
                  <w:u w:val="single"/>
                </w:rPr>
                <w:t xml:space="preserve"> 30, 2026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16">
              <w:r>
                <w:rPr>
                  <w:rStyle w:val="InternetLink"/>
                  <w:rFonts w:ascii="Times New Roman;serif" w:hAnsi="Times New Roman;serif"/>
                  <w:b w:val="false"/>
                  <w:color w:val="0000FF"/>
                  <w:sz w:val="20"/>
                  <w:u w:val="single"/>
                </w:rPr>
                <w:t>2</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19">
              <w:r>
                <w:rPr>
                  <w:rStyle w:val="InternetLink"/>
                  <w:rFonts w:ascii="Times New Roman;serif" w:hAnsi="Times New Roman;serif"/>
                  <w:b w:val="false"/>
                  <w:color w:val="000080"/>
                  <w:sz w:val="20"/>
                  <w:u w:val="single"/>
                </w:rPr>
                <w:t xml:space="preserve">Condensed Consolidated Statements of Operations for the Three and </w:t>
              </w:r>
            </w:hyperlink>
            <w:hyperlink w:anchor="i54677ac894aa458e91153484dc69f026_19">
              <w:r>
                <w:rPr>
                  <w:rStyle w:val="InternetLink"/>
                  <w:rFonts w:ascii="Times New Roman;serif" w:hAnsi="Times New Roman;serif"/>
                  <w:b w:val="false"/>
                  <w:color w:val="000080"/>
                  <w:sz w:val="20"/>
                  <w:u w:val="single"/>
                </w:rPr>
                <w:t>Nine</w:t>
              </w:r>
            </w:hyperlink>
            <w:hyperlink w:anchor="i54677ac894aa458e91153484dc69f026_19">
              <w:r>
                <w:rPr>
                  <w:rStyle w:val="InternetLink"/>
                  <w:rFonts w:ascii="Times New Roman;serif" w:hAnsi="Times New Roman;serif"/>
                  <w:b w:val="false"/>
                  <w:color w:val="000080"/>
                  <w:sz w:val="20"/>
                  <w:u w:val="single"/>
                </w:rPr>
                <w:t xml:space="preserve"> Months Ended </w:t>
              </w:r>
            </w:hyperlink>
            <w:hyperlink w:anchor="i54677ac894aa458e91153484dc69f026_19">
              <w:r>
                <w:rPr>
                  <w:rStyle w:val="InternetLink"/>
                  <w:rFonts w:ascii="Times New Roman;serif" w:hAnsi="Times New Roman;serif"/>
                  <w:b w:val="false"/>
                  <w:color w:val="000080"/>
                  <w:sz w:val="20"/>
                  <w:u w:val="single"/>
                </w:rPr>
                <w:t>September</w:t>
              </w:r>
            </w:hyperlink>
            <w:hyperlink w:anchor="i54677ac894aa458e91153484dc69f026_19">
              <w:r>
                <w:rPr>
                  <w:rStyle w:val="InternetLink"/>
                  <w:rFonts w:ascii="Times New Roman;serif" w:hAnsi="Times New Roman;serif"/>
                  <w:b w:val="false"/>
                  <w:color w:val="000080"/>
                  <w:sz w:val="20"/>
                  <w:u w:val="single"/>
                </w:rPr>
                <w:t xml:space="preserv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19">
              <w:r>
                <w:rPr>
                  <w:rStyle w:val="InternetLink"/>
                  <w:rFonts w:ascii="Times New Roman;serif" w:hAnsi="Times New Roman;serif"/>
                  <w:b w:val="false"/>
                  <w:color w:val="0000FF"/>
                  <w:sz w:val="20"/>
                  <w:u w:val="single"/>
                </w:rPr>
                <w:t>3</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22">
              <w:r>
                <w:rPr>
                  <w:rStyle w:val="InternetLink"/>
                  <w:rFonts w:ascii="Times New Roman;serif" w:hAnsi="Times New Roman;serif"/>
                  <w:b w:val="false"/>
                  <w:color w:val="000080"/>
                  <w:sz w:val="20"/>
                  <w:u w:val="single"/>
                </w:rPr>
                <w:t xml:space="preserve">Condensed Consolidated Statements of Comprehensive Income for the </w:t>
              </w:r>
            </w:hyperlink>
            <w:hyperlink w:anchor="i54677ac894aa458e91153484dc69f026_19">
              <w:r>
                <w:rPr>
                  <w:rStyle w:val="InternetLink"/>
                  <w:rFonts w:ascii="Times New Roman;serif" w:hAnsi="Times New Roman;serif"/>
                  <w:b w:val="false"/>
                  <w:color w:val="000080"/>
                  <w:sz w:val="20"/>
                  <w:u w:val="single"/>
                </w:rPr>
                <w:t xml:space="preserve">Three and </w:t>
              </w:r>
            </w:hyperlink>
            <w:hyperlink w:anchor="i54677ac894aa458e91153484dc69f026_19">
              <w:r>
                <w:rPr>
                  <w:rStyle w:val="InternetLink"/>
                  <w:rFonts w:ascii="Times New Roman;serif" w:hAnsi="Times New Roman;serif"/>
                  <w:b w:val="false"/>
                  <w:color w:val="000080"/>
                  <w:sz w:val="20"/>
                  <w:u w:val="single"/>
                </w:rPr>
                <w:t>Nine</w:t>
              </w:r>
            </w:hyperlink>
            <w:hyperlink w:anchor="i54677ac894aa458e91153484dc69f026_19">
              <w:r>
                <w:rPr>
                  <w:rStyle w:val="InternetLink"/>
                  <w:rFonts w:ascii="Times New Roman;serif" w:hAnsi="Times New Roman;serif"/>
                  <w:b w:val="false"/>
                  <w:color w:val="000080"/>
                  <w:sz w:val="20"/>
                  <w:u w:val="single"/>
                </w:rPr>
                <w:t xml:space="preserve"> Months Ended </w:t>
              </w:r>
            </w:hyperlink>
            <w:hyperlink w:anchor="i54677ac894aa458e91153484dc69f026_19">
              <w:r>
                <w:rPr>
                  <w:rStyle w:val="InternetLink"/>
                  <w:rFonts w:ascii="Times New Roman;serif" w:hAnsi="Times New Roman;serif"/>
                  <w:b w:val="false"/>
                  <w:color w:val="000080"/>
                  <w:sz w:val="20"/>
                  <w:u w:val="single"/>
                </w:rPr>
                <w:t>September</w:t>
              </w:r>
            </w:hyperlink>
            <w:hyperlink w:anchor="i54677ac894aa458e91153484dc69f026_19">
              <w:r>
                <w:rPr>
                  <w:rStyle w:val="InternetLink"/>
                  <w:rFonts w:ascii="Times New Roman;serif" w:hAnsi="Times New Roman;serif"/>
                  <w:b w:val="false"/>
                  <w:color w:val="000080"/>
                  <w:sz w:val="20"/>
                  <w:u w:val="single"/>
                </w:rPr>
                <w:t xml:space="preserv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22">
              <w:r>
                <w:rPr>
                  <w:rStyle w:val="InternetLink"/>
                  <w:rFonts w:ascii="Times New Roman;serif" w:hAnsi="Times New Roman;serif"/>
                  <w:b w:val="false"/>
                  <w:color w:val="0000FF"/>
                  <w:sz w:val="20"/>
                  <w:u w:val="single"/>
                </w:rPr>
                <w:t>4</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25">
              <w:r>
                <w:rPr>
                  <w:rStyle w:val="InternetLink"/>
                  <w:rFonts w:ascii="Times New Roman;serif" w:hAnsi="Times New Roman;serif"/>
                  <w:b w:val="false"/>
                  <w:color w:val="000080"/>
                  <w:sz w:val="20"/>
                  <w:u w:val="single"/>
                </w:rPr>
                <w:t xml:space="preserve">Condensed Consolidated Statements of Stockholders' Equity for the Three and </w:t>
              </w:r>
            </w:hyperlink>
            <w:hyperlink w:anchor="i54677ac894aa458e91153484dc69f026_25">
              <w:r>
                <w:rPr>
                  <w:rStyle w:val="InternetLink"/>
                  <w:rFonts w:ascii="Times New Roman;serif" w:hAnsi="Times New Roman;serif"/>
                  <w:b w:val="false"/>
                  <w:color w:val="000080"/>
                  <w:sz w:val="20"/>
                  <w:u w:val="single"/>
                </w:rPr>
                <w:t>Nine</w:t>
              </w:r>
            </w:hyperlink>
            <w:hyperlink w:anchor="i54677ac894aa458e91153484dc69f026_25">
              <w:r>
                <w:rPr>
                  <w:rStyle w:val="InternetLink"/>
                  <w:rFonts w:ascii="Times New Roman;serif" w:hAnsi="Times New Roman;serif"/>
                  <w:b w:val="false"/>
                  <w:color w:val="000080"/>
                  <w:sz w:val="20"/>
                  <w:u w:val="single"/>
                </w:rPr>
                <w:t xml:space="preserve"> Months Ended </w:t>
              </w:r>
            </w:hyperlink>
            <w:hyperlink w:anchor="i54677ac894aa458e91153484dc69f026_25">
              <w:r>
                <w:rPr>
                  <w:rStyle w:val="InternetLink"/>
                  <w:rFonts w:ascii="Times New Roman;serif" w:hAnsi="Times New Roman;serif"/>
                  <w:b w:val="false"/>
                  <w:color w:val="000080"/>
                  <w:sz w:val="20"/>
                  <w:u w:val="single"/>
                </w:rPr>
                <w:t>September</w:t>
              </w:r>
            </w:hyperlink>
            <w:hyperlink w:anchor="i54677ac894aa458e91153484dc69f026_25">
              <w:r>
                <w:rPr>
                  <w:rStyle w:val="InternetLink"/>
                  <w:rFonts w:ascii="Times New Roman;serif" w:hAnsi="Times New Roman;serif"/>
                  <w:b w:val="false"/>
                  <w:color w:val="000080"/>
                  <w:sz w:val="20"/>
                  <w:u w:val="single"/>
                </w:rPr>
                <w:t xml:space="preserv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25">
              <w:r>
                <w:rPr>
                  <w:rStyle w:val="InternetLink"/>
                  <w:rFonts w:ascii="Times New Roman;serif" w:hAnsi="Times New Roman;serif"/>
                  <w:b w:val="false"/>
                  <w:color w:val="0000FF"/>
                  <w:sz w:val="20"/>
                  <w:u w:val="single"/>
                </w:rPr>
                <w:t>5</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28">
              <w:r>
                <w:rPr>
                  <w:rStyle w:val="InternetLink"/>
                  <w:rFonts w:ascii="Times New Roman;serif" w:hAnsi="Times New Roman;serif"/>
                  <w:b w:val="false"/>
                  <w:color w:val="000080"/>
                  <w:sz w:val="20"/>
                  <w:u w:val="single"/>
                </w:rPr>
                <w:t xml:space="preserve">Condensed Consolidated Statements of Cash Flows for the </w:t>
              </w:r>
            </w:hyperlink>
            <w:hyperlink w:anchor="i54677ac894aa458e91153484dc69f026_28">
              <w:r>
                <w:rPr>
                  <w:rStyle w:val="InternetLink"/>
                  <w:rFonts w:ascii="Times New Roman;serif" w:hAnsi="Times New Roman;serif"/>
                  <w:b w:val="false"/>
                  <w:color w:val="000080"/>
                  <w:sz w:val="20"/>
                  <w:u w:val="single"/>
                </w:rPr>
                <w:t>Nine</w:t>
              </w:r>
            </w:hyperlink>
            <w:hyperlink w:anchor="i54677ac894aa458e91153484dc69f026_28">
              <w:r>
                <w:rPr>
                  <w:rStyle w:val="InternetLink"/>
                  <w:rFonts w:ascii="Times New Roman;serif" w:hAnsi="Times New Roman;serif"/>
                  <w:b w:val="false"/>
                  <w:color w:val="000080"/>
                  <w:sz w:val="20"/>
                  <w:u w:val="single"/>
                </w:rPr>
                <w:t xml:space="preserve"> Months Ended </w:t>
              </w:r>
            </w:hyperlink>
            <w:hyperlink w:anchor="i54677ac894aa458e91153484dc69f026_28">
              <w:r>
                <w:rPr>
                  <w:rStyle w:val="InternetLink"/>
                  <w:rFonts w:ascii="Times New Roman;serif" w:hAnsi="Times New Roman;serif"/>
                  <w:b w:val="false"/>
                  <w:color w:val="000080"/>
                  <w:sz w:val="20"/>
                  <w:u w:val="single"/>
                </w:rPr>
                <w:t>September</w:t>
              </w:r>
            </w:hyperlink>
            <w:hyperlink w:anchor="i54677ac894aa458e91153484dc69f026_28">
              <w:r>
                <w:rPr>
                  <w:rStyle w:val="InternetLink"/>
                  <w:rFonts w:ascii="Times New Roman;serif" w:hAnsi="Times New Roman;serif"/>
                  <w:b w:val="false"/>
                  <w:color w:val="000080"/>
                  <w:sz w:val="20"/>
                  <w:u w:val="single"/>
                </w:rPr>
                <w:t xml:space="preserv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28">
              <w:r>
                <w:rPr>
                  <w:rStyle w:val="InternetLink"/>
                  <w:rFonts w:ascii="Times New Roman;serif" w:hAnsi="Times New Roman;serif"/>
                  <w:b w:val="false"/>
                  <w:color w:val="0000FF"/>
                  <w:sz w:val="20"/>
                  <w:u w:val="single"/>
                </w:rPr>
                <w:t>7</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31">
              <w:r>
                <w:rPr>
                  <w:rStyle w:val="InternetLink"/>
                  <w:rFonts w:ascii="Times New Roman;serif" w:hAnsi="Times New Roman;serif"/>
                  <w:b w:val="false"/>
                  <w:color w:val="0000FF"/>
                  <w:sz w:val="20"/>
                  <w:u w:val="single"/>
                </w:rPr>
                <w:t>Notes to Condensed Consolidated Unaudited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31">
              <w:r>
                <w:rPr>
                  <w:rStyle w:val="InternetLink"/>
                  <w:rFonts w:ascii="Times New Roman;serif" w:hAnsi="Times New Roman;serif"/>
                  <w:b w:val="false"/>
                  <w:color w:val="0000FF"/>
                  <w:sz w:val="20"/>
                  <w:u w:val="single"/>
                </w:rPr>
                <w:t>8</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7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70">
              <w:r>
                <w:rPr>
                  <w:rStyle w:val="InternetLink"/>
                  <w:rFonts w:ascii="Times New Roman;serif" w:hAnsi="Times New Roman;serif"/>
                  <w:b w:val="false"/>
                  <w:color w:val="0000FF"/>
                  <w:sz w:val="20"/>
                  <w:u w:val="single"/>
                </w:rPr>
                <w:t>18</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91">
              <w:r>
                <w:rPr>
                  <w:rStyle w:val="InternetLink"/>
                  <w:rFonts w:ascii="Times New Roman;serif" w:hAnsi="Times New Roman;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91">
              <w:r>
                <w:rPr>
                  <w:rStyle w:val="InternetLink"/>
                  <w:rFonts w:ascii="Times New Roman;serif" w:hAnsi="Times New Roman;serif"/>
                  <w:b w:val="false"/>
                  <w:color w:val="0000FF"/>
                  <w:sz w:val="20"/>
                  <w:u w:val="single"/>
                </w:rPr>
                <w:t>25</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94">
              <w:r>
                <w:rPr>
                  <w:rStyle w:val="InternetLink"/>
                  <w:rFonts w:ascii="Times New Roman;serif" w:hAnsi="Times New Roman;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94">
              <w:r>
                <w:rPr>
                  <w:rStyle w:val="InternetLink"/>
                  <w:rFonts w:ascii="Times New Roman;serif" w:hAnsi="Times New Roman;serif"/>
                  <w:b w:val="false"/>
                  <w:color w:val="0000FF"/>
                  <w:sz w:val="20"/>
                  <w:u w:val="single"/>
                </w:rPr>
                <w:t>26</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97">
              <w:r>
                <w:rPr>
                  <w:rStyle w:val="InternetLink"/>
                  <w:rFonts w:ascii="Times New Roman;serif" w:hAnsi="Times New Roman;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97">
              <w:r>
                <w:rPr>
                  <w:rStyle w:val="InternetLink"/>
                  <w:rFonts w:ascii="Times New Roman;serif" w:hAnsi="Times New Roman;serif"/>
                  <w:b w:val="false"/>
                  <w:color w:val="0000FF"/>
                  <w:sz w:val="20"/>
                  <w:u w:val="single"/>
                </w:rPr>
                <w:t>26</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100">
              <w:r>
                <w:rPr>
                  <w:rStyle w:val="InternetLink"/>
                  <w:rFonts w:ascii="Times New Roman;serif" w:hAnsi="Times New Roman;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100">
              <w:r>
                <w:rPr>
                  <w:rStyle w:val="InternetLink"/>
                  <w:rFonts w:ascii="Times New Roman;serif" w:hAnsi="Times New Roman;serif"/>
                  <w:b w:val="false"/>
                  <w:color w:val="0000FF"/>
                  <w:sz w:val="20"/>
                  <w:u w:val="single"/>
                </w:rPr>
                <w:t>26</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103">
              <w:r>
                <w:rPr>
                  <w:rStyle w:val="InternetLink"/>
                  <w:rFonts w:ascii="Times New Roman;serif" w:hAnsi="Times New Roman;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103">
              <w:r>
                <w:rPr>
                  <w:rStyle w:val="InternetLink"/>
                  <w:rFonts w:ascii="Times New Roman;serif" w:hAnsi="Times New Roman;serif"/>
                  <w:b w:val="false"/>
                  <w:color w:val="0000FF"/>
                  <w:sz w:val="20"/>
                  <w:u w:val="single"/>
                </w:rPr>
                <w:t>26</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240" w:after="120"/>
              <w:jc w:val="left"/>
              <w:rPr/>
            </w:pPr>
            <w:hyperlink w:anchor="i54677ac894aa458e91153484dc69f026_106">
              <w:r>
                <w:rPr>
                  <w:rStyle w:val="InternetLink"/>
                  <w:rFonts w:ascii="Times New Roman;serif" w:hAnsi="Times New Roman;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106">
              <w:r>
                <w:rPr>
                  <w:rStyle w:val="InternetLink"/>
                  <w:rFonts w:ascii="Times New Roman;serif" w:hAnsi="Times New Roman;serif"/>
                  <w:b w:val="false"/>
                  <w:color w:val="0000FF"/>
                  <w:sz w:val="20"/>
                  <w:u w:val="single"/>
                </w:rPr>
                <w:t>26</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e4dba5fd6146aa90f1d66287d8f69c_259">
              <w:r>
                <w:rPr>
                  <w:rStyle w:val="InternetLink"/>
                  <w:rFonts w:ascii="Times New Roman;serif" w:hAnsi="Times New Roman;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109">
              <w:r>
                <w:rPr>
                  <w:rStyle w:val="InternetLink"/>
                  <w:rFonts w:ascii="Times New Roman;serif" w:hAnsi="Times New Roman;serif"/>
                  <w:b w:val="false"/>
                  <w:color w:val="0000FF"/>
                  <w:sz w:val="20"/>
                  <w:u w:val="single"/>
                </w:rPr>
                <w:t>27</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115">
              <w:r>
                <w:rPr>
                  <w:rStyle w:val="InternetLink"/>
                  <w:rFonts w:ascii="Times New Roman;serif" w:hAnsi="Times New Roman;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77ac894aa458e91153484dc69f026_115">
              <w:r>
                <w:rPr>
                  <w:rStyle w:val="InternetLink"/>
                  <w:rFonts w:ascii="Times New Roman;serif" w:hAnsi="Times New Roman;serif"/>
                  <w:b w:val="false"/>
                  <w:color w:val="0000FF"/>
                  <w:sz w:val="20"/>
                  <w:u w:val="single"/>
                </w:rPr>
                <w:t>28</w:t>
              </w:r>
            </w:hyperlink>
          </w:p>
        </w:tc>
      </w:tr>
      <w:tr>
        <w:trPr/>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677ac894aa458e91153484dc69f026_118">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fiscal quarter ended September 30, 2026 (this "Quarterly Report"), contains forward-looking statements within the meaning of the federal securities laws, including the Private Securities Litigation Reform Act of 1995 (the “PSLRA”), which statements involve substantial risks and uncertainties. The forward-looking statements made in this Quarterly Report are intended to qualify for the protection of the safe harbor provided by the PSLRA and are based primarily on our current expectations and projections about future events and trends that we believe may affect our business, financial condition, operating results, cash flows and/or prospects. Forward-looking statements include all statements that are not statements of historical fact. Forward-looking statements can also be identified by words such as “may,” “will,” “should,” “might,” “expects,” “plans,” “anticipates,” “could,” “intends,” “target,” “projects,” “contemplates,” “believes,” “estimates,” “predicts,” “potential,” “future,” or “continue,” or the negative of these words or other similar terms or expressions. Examples of forward-looking statements include, among others, statements regarding changes in the competitive environment, responding to customer needs, research and product development plans, including with respect to artificial intelligence, future products and services, growth in the size of our business and number of customers, strategic plans and objectives, the benefits or performance of our strategic investments,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We cannot assure you that the results, events, and circumstances reflected in the forward-looking statements will be achieved or occur, and actual results, events, or circumstances could differ materially from those described in the forward-looking statements. The outcome of the events described in these forward-looking statements is subject to risks, uncertainties, and other factors, including those risks, uncertainties and other factors described in the section entitled "Management's Discussion and Analysis of Financial Condition and Results of Operations" in this Quarterly Report and "Risk Factors" in our Annual Report on Form 10-K for the fiscal year ended December 31, 2025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pStyle w:val="TextBody"/>
        <w:bidi w:val="0"/>
        <w:spacing w:before="60" w:after="12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w:t>
      </w:r>
    </w:p>
    <w:tbl>
      <w:tblPr>
        <w:tblW w:w="6609" w:type="dxa"/>
        <w:jc w:val="center"/>
        <w:tblInd w:w="0" w:type="dxa"/>
        <w:tblLayout w:type="fixed"/>
        <w:tblCellMar>
          <w:top w:w="28" w:type="dxa"/>
          <w:left w:w="28" w:type="dxa"/>
          <w:bottom w:w="28" w:type="dxa"/>
          <w:right w:w="28" w:type="dxa"/>
        </w:tblCellMar>
      </w:tblPr>
      <w:tblGrid>
        <w:gridCol w:w="1293"/>
        <w:gridCol w:w="1132"/>
        <w:gridCol w:w="1145"/>
        <w:gridCol w:w="109"/>
        <w:gridCol w:w="109"/>
        <w:gridCol w:w="109"/>
        <w:gridCol w:w="226"/>
        <w:gridCol w:w="849"/>
        <w:gridCol w:w="125"/>
        <w:gridCol w:w="109"/>
        <w:gridCol w:w="109"/>
        <w:gridCol w:w="109"/>
        <w:gridCol w:w="214"/>
        <w:gridCol w:w="803"/>
        <w:gridCol w:w="168"/>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407,372 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715,671 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688,967 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106,847 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133,157 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146,388 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(302,453)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(172,480)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560,917 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582,514 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542,579 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715,671 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688,967 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before="60" w:after="283"/>
        <w:jc w:val="center"/>
        <w:rPr/>
      </w:pPr>
      <w:r>
        <w:rPr/>
      </w:r>
    </w:p>
    <w:p>
      <w:pPr>
        <w:pStyle w:val="TextBody"/>
        <w:bidi w:val="0"/>
        <w:spacing w:lineRule="auto" w:line="288" w:before="60" w:after="283"/>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00"/>
        <w:gridCol w:w="1442"/>
        <w:gridCol w:w="145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0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 (exclusive of depreciation and amortization)</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product development</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36,368 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1822"/>
        <w:gridCol w:w="1592"/>
        <w:gridCol w:w="159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2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costs and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60" w:after="283"/>
        <w:jc w:val="left"/>
        <w:rPr/>
      </w:pPr>
      <w:r>
        <w:rPr/>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45"/>
        <w:gridCol w:w="1522"/>
        <w:gridCol w:w="153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4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Changes in unrealized losses on investment securities,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60" w:after="283"/>
        <w:jc w:val="left"/>
        <w:rPr/>
      </w:pPr>
      <w:r>
        <w:rPr/>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w:t>
      </w:r>
    </w:p>
    <w:tbl>
      <w:tblPr>
        <w:tblW w:w="12308" w:type="dxa"/>
        <w:jc w:val="left"/>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365"/>
        <w:gridCol w:w="645"/>
        <w:gridCol w:w="206"/>
        <w:gridCol w:w="109"/>
        <w:gridCol w:w="109"/>
        <w:gridCol w:w="109"/>
        <w:gridCol w:w="196"/>
        <w:gridCol w:w="751"/>
        <w:gridCol w:w="109"/>
        <w:gridCol w:w="109"/>
        <w:gridCol w:w="109"/>
        <w:gridCol w:w="109"/>
        <w:gridCol w:w="196"/>
        <w:gridCol w:w="736"/>
        <w:gridCol w:w="109"/>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issuance of common stock under the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issuance of common stock under the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2026</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60" w:after="283"/>
        <w:jc w:val="left"/>
        <w:rPr/>
      </w:pPr>
      <w:r>
        <w:rPr/>
      </w:r>
    </w:p>
    <w:tbl>
      <w:tblPr>
        <w:tblW w:w="12853" w:type="dxa"/>
        <w:jc w:val="center"/>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327"/>
        <w:gridCol w:w="704"/>
        <w:gridCol w:w="185"/>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issuance of common stock under the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common stock to Class A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2230"/>
        <w:gridCol w:w="1814"/>
        <w:gridCol w:w="1828"/>
        <w:gridCol w:w="345"/>
        <w:gridCol w:w="1299"/>
        <w:gridCol w:w="192"/>
        <w:gridCol w:w="192"/>
        <w:gridCol w:w="192"/>
        <w:gridCol w:w="192"/>
        <w:gridCol w:w="345"/>
        <w:gridCol w:w="1299"/>
        <w:gridCol w:w="277"/>
      </w:tblGrid>
      <w:tr>
        <w:trPr/>
        <w:tc>
          <w:tcPr>
            <w:tcW w:w="223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APPFOLIO,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from operating activities</w:t>
            </w:r>
          </w:p>
        </w:tc>
        <w:tc>
          <w:tcPr>
            <w:tcW w:w="1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129,946 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101,009 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right-of-use assets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costs capitalized to obtain revenue contracts</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termination and modification</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including as amortized</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(15,677)</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218,668 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177,115 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from investing activities</w:t>
            </w:r>
          </w:p>
        </w:tc>
        <w:tc>
          <w:tcPr>
            <w:tcW w:w="1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available-for-sale investments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(92,135)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(166,575)</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available-for-sale investments</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202,662 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available-for-sale investments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76,620 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software development costs</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long-term investments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in business acquisition, net of cash acquired</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81,715 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from financing activities</w:t>
            </w:r>
          </w:p>
        </w:tc>
        <w:tc>
          <w:tcPr>
            <w:tcW w:w="18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stock option exercises and the issuance of common stock under the Employee Stock Purchase Plan</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for net share settlement</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common stock</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(145,723)</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(148,814)</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(176,072)</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1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151,569 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33,589 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42,754 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258,786 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76,343 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258,536 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76,093 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expenses and other current assets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shown in the consolidated statements of cash flows</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258,786 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76,343 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2"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921" w:type="dxa"/>
            <w:gridSpan w:val="3"/>
            <w:tcBorders/>
            <w:vAlign w:val="center"/>
          </w:tcPr>
          <w:p>
            <w:pPr>
              <w:pStyle w:val="TableContents"/>
              <w:bidi w:val="0"/>
              <w:spacing w:before="0" w:after="283"/>
              <w:jc w:val="left"/>
              <w:rPr>
                <w:sz w:val="4"/>
                <w:szCs w:val="4"/>
              </w:rPr>
            </w:pPr>
            <w:r>
              <w:rPr>
                <w:sz w:val="4"/>
                <w:szCs w:val="4"/>
              </w:rPr>
            </w:r>
          </w:p>
        </w:tc>
      </w:tr>
      <w:tr>
        <w:trPr/>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 included in operating cash flows</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UNAUDITED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1. Nature of Business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AppFolio, Inc. ("we," "us" or "our") is a technology leader powering the future of the real estate industry. We provide a cloud-based platform on which our customers operate their businesses. Our services enable our customers to connect communities, increase operational efficiency, deliver exceptional customer experiences, and improve financial and operational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2. Summary of Significant Accounting Policies</w:t>
      </w:r>
    </w:p>
    <w:p>
      <w:pPr>
        <w:pStyle w:val="TextBody"/>
        <w:bidi w:val="0"/>
        <w:spacing w:lineRule="auto" w:line="288" w:before="12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Basis of Presentation and Significant Accounting Policies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5, 2026.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nine months ended September 30, 2026 are not necessarily indicative of the results expected for the full year ending December 31, 2026.</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the fair value of privately-held strategic investments, useful lives of property and equipment and intangible assets, capitalized software development costs, incremental borrowing rate applied in lease accounting, the period of benefit associated with deferred costs, stock-based compensation, income taxes, and contingencies. Actual results could differ from those estimates and any such differences may have a material impact on our Consolidated Financial Statements.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Segment Information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the Chief Executive Officer, allocates resources and assesses financial performance based upon discrete financial information at the consolidated level. There are no segment managers who are held accountable by our CODM, or anyone else, for operations, operating results and planning for levels or components below the consolidated unit level. Accordingly, we have determined that we operate as a single operating and reportable segment.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CODM uses consolidated net income (loss) as the sole measure of segment profit or loss. Significant segment expenses include cost of revenue (excluding depreciation and amortization), sales and marketing, research and product development, general and administrative expenses, and depreciation and amortization. For expenses incurred during the three and nine months ended September 30, 2026 and 2025, refer to our Condensed Consolidated Statements of Operations. Stock-based compensation expense is also recognized as a significant segment expense. Details regarding this expense for the nine months ended September 30, 2026 and 2025 are included in the parenthetical note to the respective Condensed Consolidated Statements of Operations.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Recent Accounting Pronouncements Adopted</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 July 2025, the Financial Accounting Standards Board ("FASB") issued ASU 2025-05, </w:t>
      </w:r>
      <w:r>
        <w:rPr>
          <w:rFonts w:ascii="Times New Roman;serif" w:hAnsi="Times New Roman;serif"/>
          <w:b w:val="false"/>
          <w:i/>
          <w:color w:val="000000"/>
          <w:sz w:val="20"/>
        </w:rPr>
        <w:t>Measurement of Credit Losses for Accounts Receivable and Contract Assets</w:t>
      </w:r>
      <w:r>
        <w:rPr>
          <w:rFonts w:ascii="Times New Roman;serif" w:hAnsi="Times New Roman;serif"/>
          <w:b w:val="false"/>
          <w:color w:val="000000"/>
          <w:sz w:val="20"/>
        </w:rPr>
        <w:t>, which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guidance will be applied on a prospective basis and is effective for calendar year-end public business entities in the 2026 annual period and its interim periods, with early adoption permitted. We adopted the standard from January 1, 2026 prospectively. The adoption of the standard did not have a material impact on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Disaggregation of Income Statement Expense. </w:t>
      </w:r>
      <w:r>
        <w:rPr>
          <w:rFonts w:ascii="Times New Roman;serif" w:hAnsi="Times New Roman;serif"/>
          <w:b w:val="false"/>
          <w:color w:val="000000"/>
          <w:sz w:val="20"/>
        </w:rPr>
        <w:t>The new standard requires additional disclosures about specific types of expenses included in the expense captions presented on the face of income statements as well as disclosures about selling expenses. The guidance applies prospectively with the option to apply the standard retrospectively and is effective for calendar year-end public business entities in the 2027 annual period and in 2028 for interim periods with early adoption permitted. We are currently evaluating the impact of ASU 2024-03 on our Consolidated Financial Statements.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rFonts w:ascii="Times New Roman;serif" w:hAnsi="Times New Roman;serif"/>
          <w:b w:val="false"/>
          <w:color w:val="000000"/>
          <w:sz w:val="20"/>
        </w:rPr>
        <w:t>, to modernize the accounting guidance for the costs to develop software for internal use. The new guidance amends the existing standard that refers to various stages of a software development project to align better with current software development methods, such as agile programming. The new guidance will be effective for calendar year-end public business entities in the 2028 annual period. The guidance can be applied on a fully prospective basis, a modified basis for in-process projects, or a full retrospective basis. We are currently evaluating the impact of this ASU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3. Revenue and Deferred Costs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following table presents our revenue categories for the three and nine months ended September 30, 2026 and 2025 (in thousands):</w:t>
      </w:r>
      <w:r>
        <w:rPr>
          <w:color w:val="000000"/>
        </w:rPr>
        <w:t> </w:t>
      </w:r>
    </w:p>
    <w:tbl>
      <w:tblPr>
        <w:tblW w:w="7842" w:type="dxa"/>
        <w:jc w:val="left"/>
        <w:tblInd w:w="0" w:type="dxa"/>
        <w:tblLayout w:type="fixed"/>
        <w:tblCellMar>
          <w:top w:w="28" w:type="dxa"/>
          <w:left w:w="28" w:type="dxa"/>
          <w:bottom w:w="28" w:type="dxa"/>
          <w:right w:w="28" w:type="dxa"/>
        </w:tblCellMar>
      </w:tblPr>
      <w:tblGrid>
        <w:gridCol w:w="690"/>
        <w:gridCol w:w="607"/>
        <w:gridCol w:w="60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is generated primarily from customers in the United States.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Deferred Costs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costs were $24.3 million and $22.8 million as of September 30, 2026 and December 31, 2025, respectively, of which $12.6 million and $11.2 million, respectively, are included in Prepaid expenses and other current assets and $11.7 million and $11.6 million, respectively, are included in Other long-term assets in the accompanying Condensed Consolidated Balance Sheets. Amortization expense for deferred costs was $3.4 million, and $2.8 million for the three months ended September 30, 2026 and 2025, respectively, and $9.9 million and $8.2 million for the nine months ended September 30, 2026 and 2025, respectively. For the nine months ended September 30, 2026 and 2025, no impairments were identified in relation to the costs capitalized for the periods presented.</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price allocated to remaining performance obligations (“RPO”) represents contracted revenue that has not been recognized, which includes deferred revenue and non-cancelable amounts that will be invoiced and recognized as revenue in future periods. RPO does not include revenue related to performance obligations that are part of a contract with an original expected duration of one year or less or related to usage-based Value Added Services that are billed in arrears.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total non-cancelable RPO under our contracts with customers was $161.4 million, and we expect to recognize revenue on approximately 41.4% of these RPO over the following 12 months, with the balance to be recognized thereafter. During the nine months ended September 30, 2026, we recognized revenue of $26.7 million, that was included in the RPO at the beginning of the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4. Investment Securities and Fair Value Measurements</w:t>
      </w:r>
    </w:p>
    <w:p>
      <w:pPr>
        <w:pStyle w:val="TextBody"/>
        <w:bidi w:val="0"/>
        <w:spacing w:lineRule="auto" w:line="288" w:before="6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Investment securities classified as available-for-sale consisted of the following as of September 30, 2026 and December 31, 2025 (in thousands):</w:t>
      </w:r>
    </w:p>
    <w:tbl>
      <w:tblPr>
        <w:tblW w:w="10205" w:type="dxa"/>
        <w:jc w:val="center"/>
        <w:tblInd w:w="0" w:type="dxa"/>
        <w:tblLayout w:type="fixed"/>
        <w:tblCellMar>
          <w:top w:w="28" w:type="dxa"/>
          <w:left w:w="28" w:type="dxa"/>
          <w:bottom w:w="28" w:type="dxa"/>
          <w:right w:w="28" w:type="dxa"/>
        </w:tblCellMar>
      </w:tblPr>
      <w:tblGrid>
        <w:gridCol w:w="1241"/>
        <w:gridCol w:w="1003"/>
        <w:gridCol w:w="1005"/>
        <w:gridCol w:w="242"/>
        <w:gridCol w:w="829"/>
        <w:gridCol w:w="125"/>
        <w:gridCol w:w="109"/>
        <w:gridCol w:w="109"/>
        <w:gridCol w:w="109"/>
        <w:gridCol w:w="463"/>
        <w:gridCol w:w="894"/>
        <w:gridCol w:w="241"/>
        <w:gridCol w:w="109"/>
        <w:gridCol w:w="109"/>
        <w:gridCol w:w="109"/>
        <w:gridCol w:w="491"/>
        <w:gridCol w:w="875"/>
        <w:gridCol w:w="256"/>
        <w:gridCol w:w="109"/>
        <w:gridCol w:w="109"/>
        <w:gridCol w:w="109"/>
        <w:gridCol w:w="301"/>
        <w:gridCol w:w="1031"/>
        <w:gridCol w:w="227"/>
      </w:tblGrid>
      <w:tr>
        <w:trPr/>
        <w:tc>
          <w:tcPr>
            <w:tcW w:w="12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 securities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48,740 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35"/>
        <w:gridCol w:w="993"/>
        <w:gridCol w:w="996"/>
        <w:gridCol w:w="224"/>
        <w:gridCol w:w="880"/>
        <w:gridCol w:w="115"/>
        <w:gridCol w:w="109"/>
        <w:gridCol w:w="109"/>
        <w:gridCol w:w="109"/>
        <w:gridCol w:w="491"/>
        <w:gridCol w:w="842"/>
        <w:gridCol w:w="256"/>
        <w:gridCol w:w="109"/>
        <w:gridCol w:w="109"/>
        <w:gridCol w:w="109"/>
        <w:gridCol w:w="467"/>
        <w:gridCol w:w="901"/>
        <w:gridCol w:w="243"/>
        <w:gridCol w:w="109"/>
        <w:gridCol w:w="109"/>
        <w:gridCol w:w="109"/>
        <w:gridCol w:w="278"/>
        <w:gridCol w:w="1091"/>
        <w:gridCol w:w="212"/>
      </w:tblGrid>
      <w:tr>
        <w:trPr/>
        <w:tc>
          <w:tcPr>
            <w:tcW w:w="123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for available-for-sale debt securities in an unrealized loss position, the Company evaluated whether any portion of the decline in fair value below amortized cost was due to credit losses. Based on this evaluation, and considering that it is more likely than not that the Company will hold the securities until maturity or recovery of the cost basis, no allowance for credit losses was recorded for available-for-sale investment securities as of September 30, 2026 or December 31, 2025. </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available-for-sale investment securities, by remaining contractual maturity, are as follows (in thousands):</w:t>
      </w:r>
    </w:p>
    <w:tbl>
      <w:tblPr>
        <w:tblW w:w="10205" w:type="dxa"/>
        <w:jc w:val="center"/>
        <w:tblInd w:w="0" w:type="dxa"/>
        <w:tblLayout w:type="fixed"/>
        <w:tblCellMar>
          <w:top w:w="28" w:type="dxa"/>
          <w:left w:w="28" w:type="dxa"/>
          <w:bottom w:w="28" w:type="dxa"/>
          <w:right w:w="28" w:type="dxa"/>
        </w:tblCellMar>
      </w:tblPr>
      <w:tblGrid>
        <w:gridCol w:w="1290"/>
        <w:gridCol w:w="1136"/>
        <w:gridCol w:w="1109"/>
        <w:gridCol w:w="247"/>
        <w:gridCol w:w="847"/>
        <w:gridCol w:w="127"/>
        <w:gridCol w:w="109"/>
        <w:gridCol w:w="109"/>
        <w:gridCol w:w="109"/>
        <w:gridCol w:w="321"/>
        <w:gridCol w:w="1099"/>
        <w:gridCol w:w="165"/>
        <w:gridCol w:w="109"/>
        <w:gridCol w:w="109"/>
        <w:gridCol w:w="109"/>
        <w:gridCol w:w="227"/>
        <w:gridCol w:w="890"/>
        <w:gridCol w:w="117"/>
        <w:gridCol w:w="109"/>
        <w:gridCol w:w="109"/>
        <w:gridCol w:w="109"/>
        <w:gridCol w:w="290"/>
        <w:gridCol w:w="1140"/>
        <w:gridCol w:w="219"/>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 securities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and 2025, we had sales and maturities of investment securities, as follows (in thousands):</w:t>
      </w:r>
    </w:p>
    <w:tbl>
      <w:tblPr>
        <w:tblW w:w="10205" w:type="dxa"/>
        <w:jc w:val="left"/>
        <w:tblInd w:w="0" w:type="dxa"/>
        <w:tblLayout w:type="fixed"/>
        <w:tblCellMar>
          <w:top w:w="28" w:type="dxa"/>
          <w:left w:w="28" w:type="dxa"/>
          <w:bottom w:w="28" w:type="dxa"/>
          <w:right w:w="28" w:type="dxa"/>
        </w:tblCellMar>
      </w:tblPr>
      <w:tblGrid>
        <w:gridCol w:w="946"/>
        <w:gridCol w:w="831"/>
        <w:gridCol w:w="833"/>
        <w:gridCol w:w="399"/>
        <w:gridCol w:w="769"/>
        <w:gridCol w:w="205"/>
        <w:gridCol w:w="109"/>
        <w:gridCol w:w="109"/>
        <w:gridCol w:w="109"/>
        <w:gridCol w:w="392"/>
        <w:gridCol w:w="799"/>
        <w:gridCol w:w="202"/>
        <w:gridCol w:w="109"/>
        <w:gridCol w:w="109"/>
        <w:gridCol w:w="109"/>
        <w:gridCol w:w="330"/>
        <w:gridCol w:w="1293"/>
        <w:gridCol w:w="170"/>
        <w:gridCol w:w="109"/>
        <w:gridCol w:w="109"/>
        <w:gridCol w:w="109"/>
        <w:gridCol w:w="398"/>
        <w:gridCol w:w="1361"/>
        <w:gridCol w:w="296"/>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Proceeds from Sales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Proceeds from Maturities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140,154 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47,400 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0"/>
        <w:gridCol w:w="834"/>
        <w:gridCol w:w="837"/>
        <w:gridCol w:w="426"/>
        <w:gridCol w:w="730"/>
        <w:gridCol w:w="221"/>
        <w:gridCol w:w="109"/>
        <w:gridCol w:w="109"/>
        <w:gridCol w:w="109"/>
        <w:gridCol w:w="393"/>
        <w:gridCol w:w="802"/>
        <w:gridCol w:w="203"/>
        <w:gridCol w:w="109"/>
        <w:gridCol w:w="109"/>
        <w:gridCol w:w="109"/>
        <w:gridCol w:w="325"/>
        <w:gridCol w:w="1274"/>
        <w:gridCol w:w="167"/>
        <w:gridCol w:w="109"/>
        <w:gridCol w:w="109"/>
        <w:gridCol w:w="109"/>
        <w:gridCol w:w="399"/>
        <w:gridCol w:w="1366"/>
        <w:gridCol w:w="297"/>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Proceeds from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Proceeds from Maturities</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202,662 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76,620 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The tables above do not include our strategic investments of non-marketable equity investments in privately-held companies, which are recorded in </w:t>
      </w:r>
      <w:r>
        <w:rPr>
          <w:rFonts w:ascii="Times New Roman;serif" w:hAnsi="Times New Roman;serif"/>
          <w:b w:val="false"/>
          <w:i/>
          <w:color w:val="000000"/>
          <w:sz w:val="20"/>
        </w:rPr>
        <w:t>long-term investments</w:t>
      </w:r>
      <w:r>
        <w:rPr>
          <w:color w:val="000000"/>
        </w:rPr>
        <w:t xml:space="preserve"> </w:t>
      </w:r>
      <w:r>
        <w:rPr>
          <w:rFonts w:ascii="Times New Roman;serif" w:hAnsi="Times New Roman;serif"/>
          <w:b w:val="false"/>
          <w:color w:val="000000"/>
          <w:sz w:val="20"/>
        </w:rPr>
        <w:t>in our Condensed Consolidated Balance Sheets. These strategic investments consist of the following as of September 30, 2026 and December 31,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60" w:after="283"/>
        <w:jc w:val="left"/>
        <w:rPr/>
      </w:pPr>
      <w:r>
        <w:rPr/>
      </w:r>
    </w:p>
    <w:tbl>
      <w:tblPr>
        <w:tblW w:w="5588" w:type="dxa"/>
        <w:jc w:val="left"/>
        <w:tblInd w:w="0" w:type="dxa"/>
        <w:tblLayout w:type="fixed"/>
        <w:tblCellMar>
          <w:top w:w="28" w:type="dxa"/>
          <w:left w:w="28" w:type="dxa"/>
          <w:bottom w:w="28" w:type="dxa"/>
          <w:right w:w="28" w:type="dxa"/>
        </w:tblCellMar>
      </w:tblPr>
      <w:tblGrid>
        <w:gridCol w:w="961"/>
        <w:gridCol w:w="843"/>
        <w:gridCol w:w="851"/>
        <w:gridCol w:w="109"/>
        <w:gridCol w:w="109"/>
        <w:gridCol w:w="109"/>
        <w:gridCol w:w="231"/>
        <w:gridCol w:w="790"/>
        <w:gridCol w:w="119"/>
        <w:gridCol w:w="109"/>
        <w:gridCol w:w="109"/>
        <w:gridCol w:w="109"/>
        <w:gridCol w:w="221"/>
        <w:gridCol w:w="757"/>
        <w:gridCol w:w="161"/>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Nature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we purchased a minority, non-controlling equity interest in a private company, for $10.0 million, paid with cash on hand.</w:t>
      </w:r>
    </w:p>
    <w:p>
      <w:pPr>
        <w:pStyle w:val="TextBody"/>
        <w:bidi w:val="0"/>
        <w:spacing w:lineRule="auto" w:line="288" w:before="2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cumulative amount of upward adjustments recognized on our strategic investments of non-marketable equity investments was $0.6 million as of September 30, 2026. The entire amount was recognized during the first quarter of 2026 as a result of an observable price change for one privately held technology company. There were no cumulative downward adjustments as of September 30, 2026.</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realized or unrealized gains or losses from remeasurement of investments in equity securities under the measurement alternative for the nine months ended September 30, 2025.</w:t>
      </w:r>
    </w:p>
    <w:p>
      <w:pPr>
        <w:pStyle w:val="TextBody"/>
        <w:bidi w:val="0"/>
        <w:spacing w:lineRule="auto" w:line="288" w:before="2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6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Recurring Fair Value Measurements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financial assets and liabilities measured at fair value on a recurring basis as of September 30, 2026 and December 31, 2025 by level within the fair value hierarchy (in thousands):</w:t>
      </w:r>
    </w:p>
    <w:tbl>
      <w:tblPr>
        <w:tblW w:w="7684" w:type="dxa"/>
        <w:jc w:val="left"/>
        <w:tblInd w:w="0" w:type="dxa"/>
        <w:tblLayout w:type="fixed"/>
        <w:tblCellMar>
          <w:top w:w="28" w:type="dxa"/>
          <w:left w:w="28" w:type="dxa"/>
          <w:bottom w:w="28" w:type="dxa"/>
          <w:right w:w="28" w:type="dxa"/>
        </w:tblCellMar>
      </w:tblPr>
      <w:tblGrid>
        <w:gridCol w:w="1243"/>
        <w:gridCol w:w="1092"/>
        <w:gridCol w:w="1099"/>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1300" w:type="dxa"/>
            <w:gridSpan w:val="4"/>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investment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 government and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0" w:type="dxa"/>
        <w:jc w:val="left"/>
        <w:tblInd w:w="0" w:type="dxa"/>
        <w:tblLayout w:type="fixed"/>
        <w:tblCellMar>
          <w:top w:w="28" w:type="dxa"/>
          <w:left w:w="28" w:type="dxa"/>
          <w:bottom w:w="28" w:type="dxa"/>
          <w:right w:w="28" w:type="dxa"/>
        </w:tblCellMar>
      </w:tblPr>
      <w:tblGrid>
        <w:gridCol w:w="1227"/>
        <w:gridCol w:w="1078"/>
        <w:gridCol w:w="1085"/>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300" w:type="dxa"/>
            <w:gridSpan w:val="4"/>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investment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restricted cash, accounts receivable, accounts payable and accrued liabilities approximate their fair value because of the short maturity of these items.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Strategic Investments Measured and Recorded at Fair Value on a Non-Recurring Basis</w:t>
      </w:r>
    </w:p>
    <w:p>
      <w:pPr>
        <w:pStyle w:val="TextBody"/>
        <w:bidi w:val="0"/>
        <w:spacing w:lineRule="auto" w:line="288" w:before="60" w:after="120"/>
        <w:ind w:left="0" w:right="0" w:firstLine="720"/>
        <w:jc w:val="both"/>
        <w:rPr/>
      </w:pPr>
      <w:r>
        <w:rPr>
          <w:rFonts w:ascii="Times New Roman;serif" w:hAnsi="Times New Roman;serif"/>
          <w:b w:val="false"/>
          <w:color w:val="000000"/>
          <w:sz w:val="20"/>
        </w:rPr>
        <w:t xml:space="preserve">Strategic investments primarily include equity investments in privately-held companies, which do not have a readily determinable fair value. Strategic investments are classified as Level 3 in the fair value hierarchy, as their nonrecurring fair value measurements may include observable and unobservable inputs. As of September 30, 2026 and December 31, 2025, the balance of strategic investments was $87.7 million and $77.0 million, respectively. We recognized a net unrealized gain of $0.6 million in connection with our investment in a privately held technology company in </w:t>
      </w:r>
      <w:r>
        <w:rPr>
          <w:rFonts w:ascii="Times New Roman;serif" w:hAnsi="Times New Roman;serif"/>
          <w:b w:val="false"/>
          <w:i/>
          <w:color w:val="000000"/>
          <w:sz w:val="20"/>
        </w:rPr>
        <w:t>Other (loss) income, net</w:t>
      </w:r>
      <w:r>
        <w:rPr>
          <w:color w:val="000000"/>
        </w:rPr>
        <w:t xml:space="preserve"> </w:t>
      </w:r>
      <w:r>
        <w:rPr>
          <w:rFonts w:ascii="Times New Roman;serif" w:hAnsi="Times New Roman;serif"/>
          <w:b w:val="false"/>
          <w:color w:val="000000"/>
          <w:sz w:val="20"/>
        </w:rPr>
        <w:t>in our Condensed Consolidated Statements of Operations for the nine months ended September 30, 2026. We did not recognize any net unrealized gain or loss for our strategic investments for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erif" w:hAnsi="Times New Roman;serif"/>
          <w:b/>
          <w:color w:val="000000"/>
          <w:sz w:val="20"/>
        </w:rPr>
        <w:t>5. Leases</w:t>
      </w:r>
    </w:p>
    <w:p>
      <w:pPr>
        <w:pStyle w:val="TextBody"/>
        <w:bidi w:val="0"/>
        <w:spacing w:lineRule="auto" w:line="288" w:before="2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leases for our corporate offices have remaining lease terms ranging from ten months to 6.3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w:t>
      </w:r>
    </w:p>
    <w:p>
      <w:pPr>
        <w:pStyle w:val="TextBody"/>
        <w:bidi w:val="0"/>
        <w:spacing w:lineRule="auto" w:line="288" w:before="2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recognized in the Condensed Consolidated Statements of Operations were as follows (in thousands):</w:t>
      </w:r>
    </w:p>
    <w:tbl>
      <w:tblPr>
        <w:tblW w:w="6525" w:type="dxa"/>
        <w:jc w:val="left"/>
        <w:tblInd w:w="0" w:type="dxa"/>
        <w:tblLayout w:type="fixed"/>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720"/>
        <w:jc w:val="both"/>
        <w:rPr/>
      </w:pPr>
      <w:r>
        <w:rPr/>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Lease-related assets and liabilities were as follows (in thousands):</w:t>
      </w:r>
    </w:p>
    <w:tbl>
      <w:tblPr>
        <w:tblW w:w="5486" w:type="dxa"/>
        <w:jc w:val="center"/>
        <w:tblInd w:w="0" w:type="dxa"/>
        <w:tblLayout w:type="fixed"/>
        <w:tblCellMar>
          <w:top w:w="28" w:type="dxa"/>
          <w:left w:w="28" w:type="dxa"/>
          <w:bottom w:w="28" w:type="dxa"/>
          <w:right w:w="28" w:type="dxa"/>
        </w:tblCellMar>
      </w:tblPr>
      <w:tblGrid>
        <w:gridCol w:w="1040"/>
        <w:gridCol w:w="916"/>
        <w:gridCol w:w="924"/>
        <w:gridCol w:w="231"/>
        <w:gridCol w:w="790"/>
        <w:gridCol w:w="119"/>
        <w:gridCol w:w="109"/>
        <w:gridCol w:w="109"/>
        <w:gridCol w:w="109"/>
        <w:gridCol w:w="221"/>
        <w:gridCol w:w="757"/>
        <w:gridCol w:w="161"/>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 July 2026, we entered into a lease termination agreement to terminate one of our office spaces in Santa Barbara (the "Santa Barbara 50 Termination"). In connection with the Santa Barbara 50 Termination, we paid a termination fee of $3.9 million. As a result, we derecognized the related operating lease right-of-use asset and lease liability. We recognized a gain on lease termination of $1.5 million, which is recorded within </w:t>
      </w:r>
      <w:r>
        <w:rPr>
          <w:rFonts w:ascii="Times New Roman;serif" w:hAnsi="Times New Roman;serif"/>
          <w:b w:val="false"/>
          <w:i/>
          <w:color w:val="000000"/>
          <w:sz w:val="20"/>
        </w:rPr>
        <w:t xml:space="preserve">general and administrative expenses </w:t>
      </w:r>
      <w:r>
        <w:rPr>
          <w:rFonts w:ascii="Times New Roman;serif" w:hAnsi="Times New Roman;serif"/>
          <w:b w:val="false"/>
          <w:color w:val="000000"/>
          <w:sz w:val="20"/>
        </w:rPr>
        <w:t>in the Condensed Consolidated Statements of Operations for the three and nine months ended September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as of September 30, 2026 were as follows (in thousands):</w:t>
      </w:r>
    </w:p>
    <w:tbl>
      <w:tblPr>
        <w:tblW w:w="4266" w:type="dxa"/>
        <w:jc w:val="center"/>
        <w:tblInd w:w="0" w:type="dxa"/>
        <w:tblLayout w:type="fixed"/>
        <w:tblCellMar>
          <w:top w:w="28" w:type="dxa"/>
          <w:left w:w="28" w:type="dxa"/>
          <w:bottom w:w="28" w:type="dxa"/>
          <w:right w:w="28" w:type="dxa"/>
        </w:tblCellMar>
      </w:tblPr>
      <w:tblGrid>
        <w:gridCol w:w="1151"/>
        <w:gridCol w:w="1011"/>
        <w:gridCol w:w="1018"/>
        <w:gridCol w:w="211"/>
        <w:gridCol w:w="72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Years ending December 31,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6. Other Balance Sheet Components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983" w:type="dxa"/>
        <w:jc w:val="left"/>
        <w:tblInd w:w="0" w:type="dxa"/>
        <w:tblLayout w:type="fixed"/>
        <w:tblCellMar>
          <w:top w:w="28" w:type="dxa"/>
          <w:left w:w="28" w:type="dxa"/>
          <w:bottom w:w="28" w:type="dxa"/>
          <w:right w:w="28" w:type="dxa"/>
        </w:tblCellMar>
      </w:tblPr>
      <w:tblGrid>
        <w:gridCol w:w="1466"/>
        <w:gridCol w:w="1288"/>
        <w:gridCol w:w="1296"/>
        <w:gridCol w:w="109"/>
        <w:gridCol w:w="109"/>
        <w:gridCol w:w="109"/>
        <w:gridCol w:w="231"/>
        <w:gridCol w:w="790"/>
        <w:gridCol w:w="119"/>
        <w:gridCol w:w="109"/>
        <w:gridCol w:w="109"/>
        <w:gridCol w:w="109"/>
        <w:gridCol w:w="221"/>
        <w:gridCol w:w="757"/>
        <w:gridCol w:w="161"/>
      </w:tblGrid>
      <w:tr>
        <w:trPr/>
        <w:tc>
          <w:tcPr>
            <w:tcW w:w="14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receivable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commissions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Deposits for insurance services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For additional information on income tax, refer to Note 10, </w:t>
      </w:r>
      <w:r>
        <w:rPr>
          <w:rFonts w:ascii="Times New Roman;serif" w:hAnsi="Times New Roman;serif"/>
          <w:b w:val="false"/>
          <w:i/>
          <w:color w:val="000000"/>
          <w:sz w:val="20"/>
        </w:rPr>
        <w:t>Income Taxes.</w:t>
      </w:r>
    </w:p>
    <w:p>
      <w:pPr>
        <w:pStyle w:val="TextBody"/>
        <w:bidi w:val="0"/>
        <w:spacing w:lineRule="auto" w:line="288" w:before="120" w:after="120"/>
        <w:ind w:left="0" w:right="0" w:firstLine="72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For additional information on deferred commissions, refer to Deferred Costs in Note 3, </w:t>
      </w:r>
      <w:r>
        <w:rPr>
          <w:rFonts w:ascii="Times New Roman;serif" w:hAnsi="Times New Roman;serif"/>
          <w:b w:val="false"/>
          <w:i/>
          <w:color w:val="000000"/>
          <w:sz w:val="20"/>
        </w:rPr>
        <w:t>Revenue and Deferred Costs.</w:t>
      </w:r>
    </w:p>
    <w:p>
      <w:pPr>
        <w:pStyle w:val="TextBody"/>
        <w:bidi w:val="0"/>
        <w:spacing w:lineRule="auto" w:line="288" w:before="120" w:after="120"/>
        <w:ind w:left="0" w:right="0" w:firstLine="720"/>
        <w:jc w:val="both"/>
        <w:rPr/>
      </w:pPr>
      <w:r>
        <w:rPr>
          <w:rFonts w:ascii="Times New Roman;serif" w:hAnsi="Times New Roman;serif"/>
          <w:b w:val="false"/>
          <w:color w:val="000000"/>
          <w:sz w:val="13"/>
        </w:rPr>
        <w:t>(3)</w:t>
      </w:r>
      <w:r>
        <w:rPr>
          <w:rFonts w:ascii="Times New Roman;serif" w:hAnsi="Times New Roman;serif"/>
          <w:b w:val="false"/>
          <w:color w:val="000000"/>
          <w:sz w:val="20"/>
        </w:rPr>
        <w:t>For additional information on deposits held with a third party related to requirements to maintain collateral for insurance services, refer to "Legal Liability to Landlord Insurance" in Note 7,</w:t>
      </w:r>
      <w:r>
        <w:rPr>
          <w:color w:val="000000"/>
        </w:rPr>
        <w:t xml:space="preserve"> </w:t>
      </w:r>
      <w:r>
        <w:rPr>
          <w:rFonts w:ascii="Times New Roman;serif" w:hAnsi="Times New Roman;serif"/>
          <w:b w:val="false"/>
          <w:i/>
          <w:color w:val="000000"/>
          <w:sz w:val="20"/>
        </w:rPr>
        <w:t>Commitments and Contingencies.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Accrued Employee Expenses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employee expenses consisted of the following (in thousands):</w:t>
      </w:r>
    </w:p>
    <w:tbl>
      <w:tblPr>
        <w:tblW w:w="6022" w:type="dxa"/>
        <w:jc w:val="left"/>
        <w:tblInd w:w="0" w:type="dxa"/>
        <w:tblLayout w:type="fixed"/>
        <w:tblCellMar>
          <w:top w:w="28" w:type="dxa"/>
          <w:left w:w="28" w:type="dxa"/>
          <w:bottom w:w="28" w:type="dxa"/>
          <w:right w:w="28" w:type="dxa"/>
        </w:tblCellMar>
      </w:tblPr>
      <w:tblGrid>
        <w:gridCol w:w="1119"/>
        <w:gridCol w:w="983"/>
        <w:gridCol w:w="987"/>
        <w:gridCol w:w="109"/>
        <w:gridCol w:w="109"/>
        <w:gridCol w:w="109"/>
        <w:gridCol w:w="231"/>
        <w:gridCol w:w="790"/>
        <w:gridCol w:w="119"/>
        <w:gridCol w:w="109"/>
        <w:gridCol w:w="109"/>
        <w:gridCol w:w="109"/>
        <w:gridCol w:w="221"/>
        <w:gridCol w:w="757"/>
        <w:gridCol w:w="161"/>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bonuses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13"/>
        </w:rPr>
        <w:t>(1)</w:t>
      </w:r>
      <w:r>
        <w:rPr>
          <w:rFonts w:ascii="Times New Roman;serif" w:hAnsi="Times New Roman;serif"/>
          <w:b w:val="false"/>
          <w:color w:val="000000"/>
          <w:sz w:val="20"/>
        </w:rPr>
        <w:t>Accrued bonuses decreased significantly as of September 30, 2026, due to the payment of 2025 annual bonuses in the first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Other Current Liabilities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current liabilities consisted of the following (in thousands): </w:t>
      </w:r>
    </w:p>
    <w:tbl>
      <w:tblPr>
        <w:tblW w:w="5767" w:type="dxa"/>
        <w:jc w:val="left"/>
        <w:tblInd w:w="0" w:type="dxa"/>
        <w:tblLayout w:type="fixed"/>
        <w:tblCellMar>
          <w:top w:w="28" w:type="dxa"/>
          <w:left w:w="28" w:type="dxa"/>
          <w:bottom w:w="28" w:type="dxa"/>
          <w:right w:w="28" w:type="dxa"/>
        </w:tblCellMar>
      </w:tblPr>
      <w:tblGrid>
        <w:gridCol w:w="1025"/>
        <w:gridCol w:w="902"/>
        <w:gridCol w:w="907"/>
        <w:gridCol w:w="109"/>
        <w:gridCol w:w="109"/>
        <w:gridCol w:w="109"/>
        <w:gridCol w:w="231"/>
        <w:gridCol w:w="790"/>
        <w:gridCol w:w="119"/>
        <w:gridCol w:w="109"/>
        <w:gridCol w:w="109"/>
        <w:gridCol w:w="109"/>
        <w:gridCol w:w="221"/>
        <w:gridCol w:w="757"/>
        <w:gridCol w:w="161"/>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Unearned premium liabilities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Insurance reserves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13"/>
        </w:rPr>
        <w:t>(1)</w:t>
      </w:r>
      <w:r>
        <w:rPr>
          <w:rFonts w:ascii="Times New Roman;serif" w:hAnsi="Times New Roman;serif"/>
          <w:b w:val="false"/>
          <w:color w:val="000000"/>
          <w:sz w:val="20"/>
        </w:rPr>
        <w:t>Unearned premium liabilities are the refundable portion of commissions received in connection with the sale of renters insurance policies to residents through AppFolio Insurance Services, Inc., our wholly owned subsidiary. In the event a resident cancels their renters insurance policy prior to the end of such policy, we may be required to refund a pro rata portion of the commission paid on such policy.</w:t>
      </w:r>
    </w:p>
    <w:p>
      <w:pPr>
        <w:pStyle w:val="TextBody"/>
        <w:bidi w:val="0"/>
        <w:spacing w:lineRule="auto" w:line="288" w:before="120" w:after="120"/>
        <w:ind w:left="0" w:right="0" w:firstLine="72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For additional information on insurance reserves, refer to "Legal Liability to Landlord Insurance" in Note 7, </w:t>
      </w:r>
      <w:r>
        <w:rPr>
          <w:rFonts w:ascii="Times New Roman;serif" w:hAnsi="Times New Roman;serif"/>
          <w:b w:val="false"/>
          <w:i/>
          <w:color w:val="000000"/>
          <w:sz w:val="20"/>
        </w:rPr>
        <w:t>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7. Commitments and Contingencies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Legal Liability to Landlord Insurance</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We have a wholly owned subsidiary, Terra Mar Insurance Company, Inc., which was established in connection with reinsuring liability to landlord insurance policies offered to our customers by our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September 30, 2026 and December 31, 2025 was $8.3 million and $6.6 million, respectively, and is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on our Condensed Consolidated Balance Sheets.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Included in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as of September 30, 2026 and December 31, 2025 are $4.7 million and $7.8 million, respectively, of deposits held with a third party related to requirements to maintain collateral for this insurance service.</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2026, we entered into an agreement with vendors for certain cloud computing services. We are committed to spend a minimum of at least $219.3 million through 2031, of which $36.2 million is short-term. We may pay more than the minimum purchase commitment to our cloud-computing vendors based on usage.</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30, 2025, we entered into a credit agreement by and among AppFolio, Inc., certain of our subsidiaries as guarantors, the lender(s) party thereto, and PNC Bank, National Association, in its capacity as Administrative Agent, Swingline Loan Lender and Issuing Lender (the “Credit Facility”).</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Facility provides for a $150.0 million senior secured revolving credit facility, including sublimits of $25.0 million for letters of credit and $25.0 million for swingline loans, and is scheduled to mature on September 30, 2030. We may, subject to customary conditions and consent of the applicable lenders, increase the revolving commitment or incur term loans thereunder (capped at amounts specified in the Credit Facility) or extend the maturity date of the Credit Facility.</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Facility bear interest at variable rates based, at our option, on Term Secured Overnight Financing Rate Data ("SOFR"), Daily Simple SOFR, or a Base Rate, plus an applicable margin (ranging from 125.0 to 200.0 basis points in the case of Term SOFR and Daily Simple SOFR and 25.0 to 100.0 basis points in the case of the Base Rate) determined by our Consolidated Net Leverage Ratio, all as defined in the Credit Facility. We also pay a quarterly commitment fee (ranging from 15.0 to 30.0 basis points depending on our Consolidated Net Leverage Ratio) on unused amounts, as well as customary letter of credit and agency fees.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obligations under the Credit Facility are guaranteed by certain of our subsidiaries and secured by a first-priority security interest in substantially all of our and our guarantors' personal property, subject to customary exclusions and exceptions. The Credit Facility includes customary representations, warranties, and affirmative and negative covenants, including a financial covenant requiring maintenance of a Consolidated Net Leverage Ratio. The negative covenants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among other things, restrictions on our and our subsidiaries' ability to incur indebtedness and liens, make investments, pay dividends or distributions or repurchase equity interests, merge, consolidate or otherwise dispose of assets, enter into transactions with affiliates, and prepay, redeem, purchase or otherwise retire junior indebtedness, all subject to certain exceptions.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there were no outstanding borrowings under the Credit Facility, and we were in compliance with the covenants under the Credit Facility.</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pending investigative inquiries, legal proceedings and other disputes, if determined adversely to us, would, individually or taken together, have a material adverse effect on our business, operating results, financial condition or cash flows.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8. Share Repurchase Program</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20, 2019, our Board of Directors (our "Board") authorized a $100.0 million share repurchase program (the "2019 Stock Repurchase Program") relating to our outstanding shares of Class A common stock. Under the 2019 Stock Repurchase Program, we were authorized to repurchase shares of our Class A common stock from time to time in open market purchases or privately negotiated transactions. The 2019 Stock Repurchase Program did not obligate us to repurchase any minimum dollar amount or number of shares, did not have an expiration date, and it could have been modified, suspended or terminated at any time and for any reason.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we repurchased 445,311 shares of our Class A common stock through open market repurchases under the 2019 Stock Repurchase Program at an average purchase price of $215.05 per share, inclusive of broker commissions, for an aggregate repurchase price of $95.8 million which was recorded as a reduction to stockholders' equity. As a result of such repurchases, we substantially exhausted the remaining shares available for purchase under the 2019 Stock Repurchase Program, and it terminated.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23, 2025, our Board authorized a $300.0 million share repurchase program (the "2025 Stock Repurchase Program") relating to our outstanding shares of Class A common stock. Under the 2025 Stock Repurchase Program, we are authorized to repurchase shares of our Class A common stock from time to time in open market purchases or privately negotiated transactions. The 2025 Stock Repurchase Program does not obligate us to repurchase any minimum dollar amount or number of shares, has no expiration date, and can be modified, suspended or terminated at any time and for any reason. The timing and actual number of shares repurchased will depend on a variety of factors, including price, corporate and legal requirements, market conditions and other factors. During the second quarter of 2025, we repurchased 243,987 shares of our Class A common stock through open market repurchases under the 2025 Stock Repurchase Program at an average purchase price of $204.77 per share, inclusive of broker commissions, for an aggregate repurchase price of $50.0 million which was recorded as a reduction to stockholders' equity. We did not repurchase any shares of our Class A common stock during the third or fourth quarter of 2025.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repurchased 702,502 shares of our Class A common stock through open market repurchases under the 2025 Stock Repurchase Program at an average purchase price of $177.95 per share, inclusive of broker commissions, for an aggregate repurchase price of $125.0 million, which was recorded as a reduction to stockholders' equity. We did not repurchase any shares of our Class A common stock under the 2025 Stock Repurchase Program during the second quarter of 2026.</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2026, we repurchased 23,945 shares of our Class A common stock through open market repurchases under the 2025 Stock Repurchase Program at an average purchase price of $174.58 per share, inclusive of broker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commissions, for an aggregate repurchase price of $4.2 million, which was recorded as a reduction to stockholders' equity. As of September 30, 2026, the amount remaining available for repurchases under the 2025 Stock Repurchase Program was $120.8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9. Stock-Based Compensation</w:t>
      </w:r>
    </w:p>
    <w:p>
      <w:pPr>
        <w:pStyle w:val="TextBody"/>
        <w:bidi w:val="0"/>
        <w:spacing w:lineRule="auto" w:line="288" w:before="2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activity in connection with our restricted stock units ("RSUs") for the nine months ended September 30, 2026, is as follows (number of shares in thousands):</w:t>
      </w:r>
    </w:p>
    <w:tbl>
      <w:tblPr>
        <w:tblW w:w="8992" w:type="dxa"/>
        <w:jc w:val="left"/>
        <w:tblInd w:w="0" w:type="dxa"/>
        <w:tblLayout w:type="fixed"/>
        <w:tblCellMar>
          <w:top w:w="28" w:type="dxa"/>
          <w:left w:w="28" w:type="dxa"/>
          <w:bottom w:w="28" w:type="dxa"/>
          <w:right w:w="28" w:type="dxa"/>
        </w:tblCellMar>
      </w:tblPr>
      <w:tblGrid>
        <w:gridCol w:w="1075"/>
        <w:gridCol w:w="944"/>
        <w:gridCol w:w="950"/>
        <w:gridCol w:w="109"/>
        <w:gridCol w:w="109"/>
        <w:gridCol w:w="109"/>
        <w:gridCol w:w="469"/>
        <w:gridCol w:w="469"/>
        <w:gridCol w:w="471"/>
        <w:gridCol w:w="109"/>
        <w:gridCol w:w="109"/>
        <w:gridCol w:w="109"/>
        <w:gridCol w:w="768"/>
        <w:gridCol w:w="2629"/>
        <w:gridCol w:w="563"/>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200.81 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190.87 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204.62 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199.53 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Unvested RSUs as of September 30, 2026 were composed of 0.7 million RSUs with only service conditions and 0.1 million performance share units ("PSUs") with both service conditions and performance conditions. RSUs granted with only service conditions generally vest over a four-year period, assuming continued employment through the applicable vesting date. The number of PSUs granted, as included in the above table, assumes achievement of the performance metrics at 100% of the performance target. The unvested PSUs as of September 30, 2026, are subject to vesting based on the achievement of pre-established performance metrics for the year ending December 31, 2026 and will vest over a three-year period, assuming continued employment through each applicable vesting date. The actual number of shares to be granted at the end of the performance period will range from 0% to 150% of the target number of shares depending on achievement relative to the performance metrics over the applicable period; however, performance-based compensation expense is included in calculating achievement of the performance metrics, resulting in an effective maximum payout of approximately 135% of target.</w:t>
      </w:r>
    </w:p>
    <w:p>
      <w:pPr>
        <w:pStyle w:val="TextBody"/>
        <w:bidi w:val="0"/>
        <w:spacing w:lineRule="auto" w:line="288" w:before="1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recognized stock-based compensation expense for the RSUs and PSUs of $20.2 million and $20.5 million for the three months ended September 30, 2026 and 2025, respectively and $57.9 million and $54.4 million for the nine months ended September 30, 2026 and 2025, respectively. As of September 30, 2026, the total estimated remaining stock-based compensation expense for the aforementioned RSUs and PSUs was $132.4 million, which is expected to be recognized over a weighted average period of 2.4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10. Income Taxes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our provision for income taxes on a quarterly basis by applying an estimated annual effective tax rate to income (loss) from operations and by calculating the tax effect of discrete items recognized during the quarter.</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we recorded income tax expense of $13.6 million and $37.2 million, representing an effective tax rate of 22.9% and 22.2%, respectively. Our effective tax rate differs from the U.S. federal statutory rate of 21% primarily due to excess tax benefits from stock-based compensation and research and development tax credits, partially offset by state income taxes and non-deductible officers' compensation. For the three and nine months ended September 30, 2025, our effective tax rate differs from the U.S. federal statutory rate of 21% primarily due to excess tax benefits from stock-based compensation and research and development tax credits, partially offset by state income taxes and non-deductible officers' compensation.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assess our ability to realize our deferred tax assets on a quarterly basis and we establish a valuation allowance if it is more-likely-than-not that some portion of deferred tax assets will not be realized. We weigh all available positive and negative evidence, including our earnings history and results of recent operations, scheduled reversals of deferred tax liabilities, projected future taxable income and tax planning strategies. During the three months ended September 30, 2026, we assessed all available evidence and determined that there was sufficient positive evidence to overcome the negative evidence, including our past and current financial results, growth demonstrated in our top-line performance, as well as projected profitability. Accordingly, we determined it is more likely than not that the deferred tax assets will be realized and no valuation allowance was recorded at September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our unrecognized tax benefits during the three and nine months ended September 30, 2026, and we do not expect to have any significant changes to unrecognized tax benefits through the remainder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both"/>
        <w:rPr>
          <w:rFonts w:ascii="Times New Roman;serif" w:hAnsi="Times New Roman;serif"/>
          <w:b/>
          <w:i/>
          <w:color w:val="000000"/>
          <w:sz w:val="20"/>
        </w:rPr>
      </w:pPr>
      <w:r>
        <w:rPr>
          <w:rFonts w:ascii="Times New Roman;serif" w:hAnsi="Times New Roman;serif"/>
          <w:b/>
          <w:i/>
          <w:color w:val="000000"/>
          <w:sz w:val="20"/>
        </w:rPr>
        <w:t>11. Net Income Per Share</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per common share was the same for shares of our Class A and Class B common stock because they are entitled to the same liquidation and dividend rights and are therefore combined in the table below. The following table sets forth the computation of basic and diluted net income per common share (in thousands):</w:t>
      </w:r>
    </w:p>
    <w:tbl>
      <w:tblPr>
        <w:tblW w:w="10205" w:type="dxa"/>
        <w:jc w:val="center"/>
        <w:tblInd w:w="0" w:type="dxa"/>
        <w:tblLayout w:type="fixed"/>
        <w:tblCellMar>
          <w:top w:w="28" w:type="dxa"/>
          <w:left w:w="28" w:type="dxa"/>
          <w:bottom w:w="28" w:type="dxa"/>
          <w:right w:w="28" w:type="dxa"/>
        </w:tblCellMar>
      </w:tblPr>
      <w:tblGrid>
        <w:gridCol w:w="1789"/>
        <w:gridCol w:w="1500"/>
        <w:gridCol w:w="151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78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Basic net income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common shares outstanding; basic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per common share;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Diluted net income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Weighted average dilutive options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Weighted average dilutive restricted stock units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per common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Potentially dilutive securities that are not included in the calculation of diluted net income per share because doing so would be antidilutive are as follows (in thousands):</w:t>
      </w:r>
    </w:p>
    <w:tbl>
      <w:tblPr>
        <w:tblW w:w="6803" w:type="dxa"/>
        <w:jc w:val="left"/>
        <w:tblInd w:w="0" w:type="dxa"/>
        <w:tblLayout w:type="fixed"/>
        <w:tblCellMar>
          <w:top w:w="28" w:type="dxa"/>
          <w:left w:w="28" w:type="dxa"/>
          <w:bottom w:w="28" w:type="dxa"/>
          <w:right w:w="28" w:type="dxa"/>
        </w:tblCellMar>
      </w:tblPr>
      <w:tblGrid>
        <w:gridCol w:w="1112"/>
        <w:gridCol w:w="978"/>
        <w:gridCol w:w="984"/>
        <w:gridCol w:w="233"/>
        <w:gridCol w:w="233"/>
        <w:gridCol w:w="178"/>
        <w:gridCol w:w="178"/>
        <w:gridCol w:w="178"/>
        <w:gridCol w:w="178"/>
        <w:gridCol w:w="178"/>
        <w:gridCol w:w="178"/>
        <w:gridCol w:w="178"/>
        <w:gridCol w:w="109"/>
        <w:gridCol w:w="109"/>
        <w:gridCol w:w="109"/>
        <w:gridCol w:w="233"/>
        <w:gridCol w:w="233"/>
        <w:gridCol w:w="165"/>
        <w:gridCol w:w="165"/>
        <w:gridCol w:w="165"/>
        <w:gridCol w:w="165"/>
        <w:gridCol w:w="165"/>
        <w:gridCol w:w="165"/>
        <w:gridCol w:w="23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potentially dilutive securities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results of operations and liquidity should be read together with our Condensed Consolidated Financial Statements and the related notes included elsewhere in this Quarterly Report and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technology leader powering the future of the real estate industry. We provide a cloud-based platform on which our customers operate their businesses. We help our customers navigate an increasingly interconnected and growing network of stakeholders in their business ecosystems, including property managers, property investors, potential residents, residents, and vendors. We also provide key functionality related to critical transactions across the real estate lifecycle, including screening potential residents, sending and receiving payments, and providing insurance-related risk mitigation services. Our services enable our customers to connect communities, increase operational efficiency, deliver exceptional customer experiences, and improve financial and operational performance.</w:t>
      </w:r>
    </w:p>
    <w:p>
      <w:pPr>
        <w:pStyle w:val="TextBody"/>
        <w:bidi w:val="0"/>
        <w:spacing w:lineRule="auto" w:line="276"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Financial Highlights for the Third Quarter of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Revenue grew 19% year-over-year to $296 million.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Total units under management grew 8% year-over-year to 9.8 million.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GAAP operating income grew 64% to $57 million, or 19.4% of revenue, compared to $35 million, or 14.1% of revenue in Q3 2025.</w:t>
      </w:r>
    </w:p>
    <w:p>
      <w:pPr>
        <w:pStyle w:val="TextBody"/>
        <w:bidi w:val="0"/>
        <w:spacing w:lineRule="auto" w:line="336" w:before="0" w:after="0"/>
        <w:ind w:left="0" w:right="0" w:hanging="360"/>
        <w:jc w:val="both"/>
        <w:rPr/>
      </w:pPr>
      <w:r>
        <w:rPr>
          <w:color w:val="000000"/>
        </w:rPr>
        <w:t>•</w:t>
      </w:r>
      <w:r>
        <w:rPr>
          <w:rFonts w:ascii="Times New Roman;serif" w:hAnsi="Times New Roman;serif"/>
          <w:b w:val="false"/>
          <w:color w:val="000000"/>
          <w:sz w:val="20"/>
        </w:rPr>
        <w:t>Non-GAAP operating income grew 38% to $81 million, or 27.3% of revenue, compared to $59 million, or 23.5% of revenue in Q3 2025.</w:t>
      </w:r>
    </w:p>
    <w:p>
      <w:pPr>
        <w:pStyle w:val="TextBody"/>
        <w:bidi w:val="0"/>
        <w:spacing w:lineRule="auto" w:line="336" w:before="0" w:after="0"/>
        <w:ind w:left="0" w:right="0" w:hanging="360"/>
        <w:jc w:val="both"/>
        <w:rPr/>
      </w:pPr>
      <w:r>
        <w:rPr>
          <w:color w:val="000000"/>
        </w:rPr>
        <w:t>•</w:t>
      </w:r>
      <w:r>
        <w:rPr>
          <w:rFonts w:ascii="Times New Roman;serif" w:hAnsi="Times New Roman;serif"/>
          <w:b w:val="false"/>
          <w:color w:val="000000"/>
          <w:sz w:val="20"/>
        </w:rPr>
        <w:t xml:space="preserve">Net cash provided by operating activities was $97 million, or </w:t>
      </w:r>
      <w:r>
        <w:rPr>
          <w:rFonts w:ascii="Times New Roman;serif" w:hAnsi="Times New Roman;serif"/>
          <w:b w:val="false"/>
          <w:color w:val="000000"/>
          <w:sz w:val="22"/>
        </w:rPr>
        <w:t>32.7%</w:t>
      </w:r>
      <w:r>
        <w:rPr>
          <w:color w:val="000000"/>
        </w:rPr>
        <w:t xml:space="preserve"> </w:t>
      </w:r>
      <w:r>
        <w:rPr>
          <w:rFonts w:ascii="Times New Roman;serif" w:hAnsi="Times New Roman;serif"/>
          <w:b w:val="false"/>
          <w:color w:val="000000"/>
          <w:sz w:val="20"/>
        </w:rPr>
        <w:t xml:space="preserve">of revenue, compared to $86 million, or </w:t>
      </w:r>
      <w:r>
        <w:rPr>
          <w:rFonts w:ascii="Times New Roman;serif" w:hAnsi="Times New Roman;serif"/>
          <w:b w:val="false"/>
          <w:color w:val="000000"/>
          <w:sz w:val="22"/>
        </w:rPr>
        <w:t>34.5%</w:t>
      </w:r>
      <w:r>
        <w:rPr>
          <w:color w:val="000000"/>
        </w:rPr>
        <w:t xml:space="preserve"> </w:t>
      </w:r>
      <w:r>
        <w:rPr>
          <w:rFonts w:ascii="Times New Roman;serif" w:hAnsi="Times New Roman;serif"/>
          <w:b w:val="false"/>
          <w:color w:val="000000"/>
          <w:sz w:val="20"/>
        </w:rPr>
        <w:t>of revenue in Q3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Key Business Metric</w:t>
      </w:r>
    </w:p>
    <w:p>
      <w:pPr>
        <w:pStyle w:val="TextBody"/>
        <w:bidi w:val="0"/>
        <w:spacing w:lineRule="auto" w:line="288" w:before="120" w:after="120"/>
        <w:ind w:left="0" w:right="0" w:firstLine="720"/>
        <w:jc w:val="both"/>
        <w:rPr/>
      </w:pPr>
      <w:r>
        <w:rPr>
          <w:rFonts w:ascii="Times New Roman;serif" w:hAnsi="Times New Roman;serif"/>
          <w:b/>
          <w:i/>
          <w:color w:val="000000"/>
          <w:sz w:val="20"/>
        </w:rPr>
        <w:t>Property management units under management</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believe that our ability to increase our number of property management units under management is an indicator of our market penetration, growth, and potential future business opportunities. We define property management units under management as active or committed units under management at the period end date. We had 9.8 million and 9.1 million property management units under management as of September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Components of Results of Operations</w:t>
      </w:r>
    </w:p>
    <w:p>
      <w:pPr>
        <w:pStyle w:val="TextBody"/>
        <w:bidi w:val="0"/>
        <w:spacing w:lineRule="auto" w:line="288" w:before="6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Subscription Services and certain of our Value Added Services are offered on a subscription basis. The subscription fees for our services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a subscription period.</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offer certain Value Added Services, which are not covered by our subscription fees, on a per-use basis. Usage-based fees are charged either as a percentage of the transaction amount (e.g., for certain of our electronic payment services) or on a flat fee per transaction basis generally with no minimum usage commitments (e.g., for our tenant screening and risk mitigation services). We recognize revenue for usage-based services in the period the service is rendered. Our payments services fees are recorded gross of any interchange and payment processing related fees. We generally invoice our usage-based services on a monthly basis or collect the fee at the time of service. A significant majority of our Value Added Services revenue comes from the use of our electronic payment services, tenant screening services, and risk mitigation services.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revenue includes fees from one-time services related to the implementation of our software solutions and other recurring or one-time fees related to our customers who are not otherwise using our Subscription Services. This includes legacy customers of businesses we have acquired where the customers haven't migrated to our Subscription Services. The fees for implementation and data migration services are billed upon signing our core subscription contract and are recognized as revenue in the period the service is rendered. Other services are billed when the services rendered are completed and delivered to the customer or billed in advance and deferred over the subscription period.</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2026 and 2025, we had 23,121 and 21,759 property management customers,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Costs and Operating Expenses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i/>
          <w:color w:val="000000"/>
          <w:sz w:val="20"/>
        </w:rPr>
        <w:t xml:space="preserve">(Exclusive of Depreciation and Amortization). </w:t>
      </w:r>
      <w:r>
        <w:rPr>
          <w:rFonts w:ascii="Times New Roman;serif" w:hAnsi="Times New Roman;serif"/>
          <w:b w:val="false"/>
          <w:color w:val="000000"/>
          <w:sz w:val="20"/>
        </w:rPr>
        <w:t>Many of our Value Added Services are facilitated by third-party service providers. Cost of revenue paid to these third-party service providers includes, without limitation,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percentage of revenue for each Value Added Service offering. Cost of revenue also includes personnel-related costs for our employees focused on customer service and the support of our operations (including salaries, cash bonuses,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Sales and marketing expense consists of personnel-related costs for our employees focused on sales and marketing (including salaries, sales commissions, cash bonuses,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Research and Product Development. </w:t>
      </w:r>
      <w:r>
        <w:rPr>
          <w:rFonts w:ascii="Times New Roman;serif" w:hAnsi="Times New Roman;serif"/>
          <w:b w:val="false"/>
          <w:color w:val="000000"/>
          <w:sz w:val="20"/>
        </w:rPr>
        <w:t>Research and product development expense consists of personnel-related costs for our employees focused on research and product development (including salaries, cash bonuses,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General and administrative expense consists of personnel-related costs for employees in our executive, finance, information technology, human resources, legal, compliance, and administrative organizations (including salaries, cash bonuses, benefits, and stock-based compensation). In addition, general and administrative expense includes fees for third-party professional services (including audit, legal, compliance, and tax services), regulatory fees, other corporate expenses, impairment of long-lived assets, gains on lease termination and modification and allocated shared and other costs.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Interest Income, Net. </w:t>
      </w:r>
      <w:r>
        <w:rPr>
          <w:rFonts w:ascii="Times New Roman;serif" w:hAnsi="Times New Roman;serif"/>
          <w:b w:val="false"/>
          <w:color w:val="000000"/>
          <w:sz w:val="20"/>
        </w:rPr>
        <w:t>Interest income, net includes interest earned on investment securities, amortization and accretion of the premium and discounts paid from the purchase of investment securities, and interest earned on cash deposited in our bank accounts.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Provision for income taxes. </w:t>
      </w:r>
      <w:r>
        <w:rPr>
          <w:rFonts w:ascii="Times New Roman;serif" w:hAnsi="Times New Roman;serif"/>
          <w:b w:val="false"/>
          <w:color w:val="000000"/>
          <w:sz w:val="20"/>
        </w:rPr>
        <w:t>Provision for income taxes consists of federal and state income taxes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tbl>
      <w:tblPr>
        <w:tblW w:w="11882" w:type="dxa"/>
        <w:jc w:val="center"/>
        <w:tblInd w:w="0" w:type="dxa"/>
        <w:tblLayout w:type="fixed"/>
        <w:tblCellMar>
          <w:top w:w="28" w:type="dxa"/>
          <w:left w:w="28" w:type="dxa"/>
          <w:bottom w:w="28" w:type="dxa"/>
          <w:right w:w="28" w:type="dxa"/>
        </w:tblCellMar>
      </w:tblPr>
      <w:tblGrid>
        <w:gridCol w:w="419"/>
        <w:gridCol w:w="368"/>
        <w:gridCol w:w="36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7"/>
        <w:gridCol w:w="189"/>
        <w:gridCol w:w="27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7"/>
        <w:gridCol w:w="189"/>
        <w:gridCol w:w="316"/>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revenue for the three and nine months ended September 30, 2026, compared to the same periods in 2025, was primarily attributable to an increase in the usage of our payments, tenant screening, risk mitigation services and resident services. During the three and nine months ended September 30, 2026, we also experienced growth of 8% in the number of property management units under management compared to the same periods in the prior year, which drove growth in users of our Subscription Services and Value Added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60" w:after="283"/>
        <w:jc w:val="left"/>
        <w:rPr/>
      </w:pPr>
      <w:r>
        <w:rPr/>
      </w:r>
    </w:p>
    <w:p>
      <w:pPr>
        <w:pStyle w:val="TextBody"/>
        <w:bidi w:val="0"/>
        <w:spacing w:before="60" w:after="120"/>
        <w:ind w:left="0" w:right="0" w:firstLine="720"/>
        <w:jc w:val="both"/>
        <w:rPr/>
      </w:pPr>
      <w:r>
        <w:rPr/>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total revenue for the year ending December 31, 2026 to increase compared to the year ended December 31, 2025 as we continue to add new customers and property management units under management, along with increased adoption and usage of our Value Added Services.</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Cost of Revenue (Exclusive of Depreciation and Amortization)</w:t>
      </w:r>
    </w:p>
    <w:tbl>
      <w:tblPr>
        <w:tblW w:w="12440" w:type="dxa"/>
        <w:jc w:val="center"/>
        <w:tblInd w:w="0" w:type="dxa"/>
        <w:tblLayout w:type="fixed"/>
        <w:tblCellMar>
          <w:top w:w="28" w:type="dxa"/>
          <w:left w:w="28" w:type="dxa"/>
          <w:bottom w:w="28" w:type="dxa"/>
          <w:right w:w="28" w:type="dxa"/>
        </w:tblCellMar>
      </w:tblPr>
      <w:tblGrid>
        <w:gridCol w:w="569"/>
        <w:gridCol w:w="368"/>
        <w:gridCol w:w="369"/>
        <w:gridCol w:w="109"/>
        <w:gridCol w:w="109"/>
        <w:gridCol w:w="109"/>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5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increased for the three and nine months ended September 30, 2026, compared to the same periods in 2025. For both periods, the increase was primarily driven by higher third-party service provider costs of $13.4 million and $43.6 million, respectively, due to increased adoption and usage of our Value Added Services. For the nine-month period, the increase was further driven by a $2.3 million increase in personnel-related costs, including stock-based and performance-based compensation, to support growth in the business.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cost of revenue (exclusive of depreciation and amortization) for the year ending December 31, 2026, to stay relatively flat as a percentage of revenue compared to the year ended December 31, 2025.</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12335" w:type="dxa"/>
        <w:jc w:val="center"/>
        <w:tblInd w:w="0" w:type="dxa"/>
        <w:tblLayout w:type="fixed"/>
        <w:tblCellMar>
          <w:top w:w="28" w:type="dxa"/>
          <w:left w:w="28" w:type="dxa"/>
          <w:bottom w:w="28" w:type="dxa"/>
          <w:right w:w="28" w:type="dxa"/>
        </w:tblCellMar>
      </w:tblPr>
      <w:tblGrid>
        <w:gridCol w:w="688"/>
        <w:gridCol w:w="315"/>
        <w:gridCol w:w="303"/>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68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increased for the three and nine months ended September 30, 2026, compared to the same periods in 2025. The increase was primarily due to a $7.6 million and $9.7 million increase in events, advertising and promotion expense due to increased targeted go-to-market investments, combined with a $2.5 million and $12.2 million increase in personnel-related costs, including stock-based and performance-based compensation, to support growth in the business, for the respective three and nine-month periods.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sales and marketing expense for the year ending December 31, 2026 to stay relatively flat as a percentage of revenue compared to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Research and Product Development</w:t>
      </w:r>
    </w:p>
    <w:tbl>
      <w:tblPr>
        <w:tblW w:w="11795" w:type="dxa"/>
        <w:jc w:val="center"/>
        <w:tblInd w:w="0" w:type="dxa"/>
        <w:tblLayout w:type="fixed"/>
        <w:tblCellMar>
          <w:top w:w="28" w:type="dxa"/>
          <w:left w:w="28" w:type="dxa"/>
          <w:bottom w:w="28" w:type="dxa"/>
          <w:right w:w="28" w:type="dxa"/>
        </w:tblCellMar>
      </w:tblPr>
      <w:tblGrid>
        <w:gridCol w:w="550"/>
        <w:gridCol w:w="377"/>
        <w:gridCol w:w="379"/>
        <w:gridCol w:w="109"/>
        <w:gridCol w:w="109"/>
        <w:gridCol w:w="109"/>
        <w:gridCol w:w="211"/>
        <w:gridCol w:w="721"/>
        <w:gridCol w:w="271"/>
        <w:gridCol w:w="109"/>
        <w:gridCol w:w="109"/>
        <w:gridCol w:w="109"/>
        <w:gridCol w:w="211"/>
        <w:gridCol w:w="721"/>
        <w:gridCol w:w="271"/>
        <w:gridCol w:w="109"/>
        <w:gridCol w:w="109"/>
        <w:gridCol w:w="109"/>
        <w:gridCol w:w="211"/>
        <w:gridCol w:w="481"/>
        <w:gridCol w:w="109"/>
        <w:gridCol w:w="109"/>
        <w:gridCol w:w="109"/>
        <w:gridCol w:w="109"/>
        <w:gridCol w:w="135"/>
        <w:gridCol w:w="136"/>
        <w:gridCol w:w="271"/>
        <w:gridCol w:w="109"/>
        <w:gridCol w:w="109"/>
        <w:gridCol w:w="109"/>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128"/>
        <w:gridCol w:w="128"/>
        <w:gridCol w:w="316"/>
      </w:tblGrid>
      <w:tr>
        <w:trPr/>
        <w:tc>
          <w:tcPr>
            <w:tcW w:w="55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product development expense remained relatively flat for the three months ended September 30, 2026, and increased for the nine months ended September 30, 2026, compared to the same periods in 2025.</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three-month period, research and product development expense was relatively consistent, as a $3.9 million decrease in personnel-related costs, including stock-based and performance-based compensation, net of capitalized software development costs driven by lower headcount, was partially offset by increases of $1.8 million in software costs and $1.1 million in purchased services.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nine-month period, the increase was primarily driven by a $4.4 million increase in personnel-related costs, including stock-based and performance-based compensation, net of capitalized software development costs to support headcount growth. The nine-month increase was further driven by higher software costs of $3.1 million and purchased services of $2.3 million.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research and product development expenses for the year ending December 31, 2026 to decrease as a percentage of revenue compared to the year ended December 31, 2025, as we continue to improve our efficiency by using AI tools and systems.</w:t>
      </w:r>
    </w:p>
    <w:p>
      <w:pPr>
        <w:pStyle w:val="TextBody"/>
        <w:bidi w:val="0"/>
        <w:spacing w:lineRule="auto" w:line="288" w:before="24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11735" w:type="dxa"/>
        <w:jc w:val="left"/>
        <w:tblInd w:w="0" w:type="dxa"/>
        <w:tblLayout w:type="fixed"/>
        <w:tblCellMar>
          <w:top w:w="28" w:type="dxa"/>
          <w:left w:w="28" w:type="dxa"/>
          <w:bottom w:w="28" w:type="dxa"/>
          <w:right w:w="28" w:type="dxa"/>
        </w:tblCellMar>
      </w:tblPr>
      <w:tblGrid>
        <w:gridCol w:w="483"/>
        <w:gridCol w:w="411"/>
        <w:gridCol w:w="412"/>
        <w:gridCol w:w="109"/>
        <w:gridCol w:w="109"/>
        <w:gridCol w:w="10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35"/>
        <w:gridCol w:w="136"/>
        <w:gridCol w:w="271"/>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28"/>
        <w:gridCol w:w="128"/>
        <w:gridCol w:w="316"/>
      </w:tblGrid>
      <w:tr>
        <w:trPr/>
        <w:tc>
          <w:tcPr>
            <w:tcW w:w="4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decreased for the three months ended September 30, 2026, and increased for the nine months ended September 30, 2026, compared to the same periods in 2025.</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three-month period, the general and administrative expense decreased primarily due to a $2.9 million decrease in personnel-related costs, including stock-based and performance-based compensation and a $1.5 million gain recognized on lease termination, largely offset by a $2.6 million increase in professional fees.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nine-month period, the increase was primarily driven by an $8.2 million increase in software and professional fees, partially offset by a $1.9 million decrease in personnel-related costs, including stock-based and performance-based compensation and a $1.5 million gain recognized on lease termination.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for the year ending December 31, 2026 to stay relatively flat as a percentage of revenue compared to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11375" w:type="dxa"/>
        <w:jc w:val="center"/>
        <w:tblInd w:w="0" w:type="dxa"/>
        <w:tblLayout w:type="fixed"/>
        <w:tblCellMar>
          <w:top w:w="28" w:type="dxa"/>
          <w:left w:w="28" w:type="dxa"/>
          <w:bottom w:w="28" w:type="dxa"/>
          <w:right w:w="28" w:type="dxa"/>
        </w:tblCellMar>
      </w:tblPr>
      <w:tblGrid>
        <w:gridCol w:w="424"/>
        <w:gridCol w:w="373"/>
        <w:gridCol w:w="374"/>
        <w:gridCol w:w="109"/>
        <w:gridCol w:w="109"/>
        <w:gridCol w:w="109"/>
        <w:gridCol w:w="211"/>
        <w:gridCol w:w="616"/>
        <w:gridCol w:w="271"/>
        <w:gridCol w:w="109"/>
        <w:gridCol w:w="109"/>
        <w:gridCol w:w="109"/>
        <w:gridCol w:w="211"/>
        <w:gridCol w:w="616"/>
        <w:gridCol w:w="271"/>
        <w:gridCol w:w="109"/>
        <w:gridCol w:w="109"/>
        <w:gridCol w:w="109"/>
        <w:gridCol w:w="211"/>
        <w:gridCol w:w="481"/>
        <w:gridCol w:w="109"/>
        <w:gridCol w:w="109"/>
        <w:gridCol w:w="109"/>
        <w:gridCol w:w="109"/>
        <w:gridCol w:w="135"/>
        <w:gridCol w:w="136"/>
        <w:gridCol w:w="271"/>
        <w:gridCol w:w="109"/>
        <w:gridCol w:w="109"/>
        <w:gridCol w:w="10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88"/>
        <w:gridCol w:w="188"/>
        <w:gridCol w:w="316"/>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the three and nine months ended September 30, 2026 decreased, compared to the same periods in 2025 as various assets have reached the end of their useful life.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depreciation and amortization expenses for the year ending December 31, 2026 to decrease as a percentage of revenue compared to the year ended December 31, 2025, as various assets have reached the end of their useful life.</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 Net</w:t>
      </w:r>
    </w:p>
    <w:tbl>
      <w:tblPr>
        <w:tblW w:w="10598" w:type="dxa"/>
        <w:jc w:val="left"/>
        <w:tblInd w:w="0" w:type="dxa"/>
        <w:tblLayout w:type="fixed"/>
        <w:tblCellMar>
          <w:top w:w="28" w:type="dxa"/>
          <w:left w:w="28" w:type="dxa"/>
          <w:bottom w:w="28" w:type="dxa"/>
          <w:right w:w="28" w:type="dxa"/>
        </w:tblCellMar>
      </w:tblPr>
      <w:tblGrid>
        <w:gridCol w:w="517"/>
        <w:gridCol w:w="244"/>
        <w:gridCol w:w="245"/>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180"/>
        <w:gridCol w:w="181"/>
        <w:gridCol w:w="271"/>
        <w:gridCol w:w="109"/>
        <w:gridCol w:w="109"/>
        <w:gridCol w:w="109"/>
        <w:gridCol w:w="211"/>
        <w:gridCol w:w="616"/>
        <w:gridCol w:w="271"/>
        <w:gridCol w:w="109"/>
        <w:gridCol w:w="109"/>
        <w:gridCol w:w="109"/>
        <w:gridCol w:w="211"/>
        <w:gridCol w:w="616"/>
        <w:gridCol w:w="271"/>
        <w:gridCol w:w="109"/>
        <w:gridCol w:w="109"/>
        <w:gridCol w:w="109"/>
        <w:gridCol w:w="211"/>
        <w:gridCol w:w="481"/>
        <w:gridCol w:w="109"/>
        <w:gridCol w:w="109"/>
        <w:gridCol w:w="109"/>
        <w:gridCol w:w="109"/>
        <w:gridCol w:w="188"/>
        <w:gridCol w:w="188"/>
        <w:gridCol w:w="316"/>
      </w:tblGrid>
      <w:tr>
        <w:trPr/>
        <w:tc>
          <w:tcPr>
            <w:tcW w:w="5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for the three and nine months ended September 30, 2026 remained relatively flat, compared to the same periods in 2025.</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11824" w:type="dxa"/>
        <w:jc w:val="center"/>
        <w:tblInd w:w="0" w:type="dxa"/>
        <w:tblLayout w:type="fixed"/>
        <w:tblCellMar>
          <w:top w:w="28" w:type="dxa"/>
          <w:left w:w="28" w:type="dxa"/>
          <w:bottom w:w="28" w:type="dxa"/>
          <w:right w:w="28" w:type="dxa"/>
        </w:tblCellMar>
      </w:tblPr>
      <w:tblGrid>
        <w:gridCol w:w="326"/>
        <w:gridCol w:w="287"/>
        <w:gridCol w:w="288"/>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32"/>
        <w:gridCol w:w="234"/>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54"/>
        <w:gridCol w:w="154"/>
        <w:gridCol w:w="158"/>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we recorded income tax expense of $13.6 million and $37.2 million, representing an effective tax rate of 22.9% and 22.2%, respectively. Our effective tax rate differs from the U.S. federal statutory rate of 21% primarily due to excess tax benefits from stock-based compensation and research and development tax credits, partially offset by state income taxes and non-deductible officers' compensation. For the three and nine months ended September 30, 2025, our effective tax rate differs from the U.S. federal statutory rate of 21% primarily due to excess tax benefits from stock-based compensation and research and development tax credits, partially offset by state income taxes and non-deductible officers' compensation.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our effective tax rate for the three and nine months ended September 30, 2026, as compared to the same periods in 2025, was primarily driven by an increase in non-deductible officers' compensation and a decrease in excess tax benefits from stock-based compensation and research and development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continue to be cash, cash equivalents, and investment securities, as well as cash flows generated from our operations. As of September 30, 2026, we had $307.3 million in cash, cash equivalents, and investment securities. We have financed our operations primarily through cash generated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 addition, to optimize our capital structure, on September 30, 2025, we entered into the Credit Facility which provides for a $150.0 million senior secured revolving credit facility, including sublimits of $25.0 million for letters of credit and $25.0 million for swingline loans, and is scheduled to mature on September 30, 2030. We did not draw on the Credit Facility during the nine months ended September 30, 2026, and as of September 30, 2026, we had no outstanding borrowings under the Credit Facility and were in compliance with the covenants under the Credit Facility. For more information regarding the Credit Facility, refer to "Credit Facility" in Note 7,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of our Condensed Consolidated Financial Statements.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investment securities, and cash generated from operating activities will be sufficient to meet our working capital and capital expenditure requirements for at least the next twelve months. The available borrowing capacity under the Credit Facility provides us additional liquidity and financial flexibility.</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Capital Requirements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depend on many factors, including continued market acceptance of our software solutions; changes in the number of our customers and adoption and utilization of our Value Added Services by new and existing customers; the timing and extent of the introduction of new core functionality, products and Value Added Services; and the timing and extent of our investments across our organization, including acquisitions of businesses and technologies.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 the past entered into, and may in the future enter into, arrangements to acquire or invest in new technologies or markets. We may, as a result of those arrangements or the general expansion of our business, be required to seek additional equity or debt financing, which may not be available on terms favorable to us or at all, impacting our ability to compete successfully, which would harm our business, results of operations, and financial condition.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repurchased 702,502 shares of our Class A common stock under the 2025 Stock Repurchase Program at an average purchase price of $177.95 per share, inclusive of broker commissions, for an aggregate repurchase price of $125.0 million, which was recorded as a reduction to stockholders' equity. We did not repurchase any shares of Class A common stock under the 2025 Stock Repurchase Program during the second quarter of 2026.</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2026, we repurchased 23,945 shares of our Class A common stock through open market repurchases under the 2025 Stock Repurchase Program at an average purchase price of $174.58 per share, inclusive of broker commissions, for an aggregate repurchase price of $4.2 million, which was recorded as a reduction to stockholders' equity. As of September 30, 2026, the amount remaining available for repurchases under the 2025 Stock Repurchase Program was $120.8 million. For more information regarding our share repurchases, refer to Note 8, Share Repurchase Program, of our Condensed Consolidated Financial Statements of this Quarterly Report.</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 (in thousands):</w:t>
      </w:r>
    </w:p>
    <w:tbl>
      <w:tblPr>
        <w:tblW w:w="7700" w:type="dxa"/>
        <w:jc w:val="left"/>
        <w:tblInd w:w="0" w:type="dxa"/>
        <w:tblLayout w:type="fixed"/>
        <w:tblCellMar>
          <w:top w:w="28" w:type="dxa"/>
          <w:left w:w="28" w:type="dxa"/>
          <w:bottom w:w="28" w:type="dxa"/>
          <w:right w:w="28" w:type="dxa"/>
        </w:tblCellMar>
      </w:tblPr>
      <w:tblGrid>
        <w:gridCol w:w="1704"/>
        <w:gridCol w:w="1500"/>
        <w:gridCol w:w="1505"/>
        <w:gridCol w:w="109"/>
        <w:gridCol w:w="109"/>
        <w:gridCol w:w="109"/>
        <w:gridCol w:w="211"/>
        <w:gridCol w:w="826"/>
        <w:gridCol w:w="109"/>
        <w:gridCol w:w="109"/>
        <w:gridCol w:w="109"/>
        <w:gridCol w:w="109"/>
        <w:gridCol w:w="211"/>
        <w:gridCol w:w="826"/>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source of operating cash inflows is cash collected from our customers in connection with their use of our Subscription Services and Value Added Services. Our primary uses of cash from operating activities are for personnel-related expenditures and third-party costs incurred to support the delivery of our software solutions.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increase in cash provided by operating activities for the nine months ended September 30, 2026, compared to the same period in the prior year, was primarily due to higher cash collections from customers relative to the increase in operating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is generally composed of the cash paid in purchases of investment securities, maturities and sales of investment securities, purchases of property and equipment, purchases of long-term investments, business acquisition, net of cash acquired, and additions to capitalized software development.</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The net increase in cash provided by investing activities for the nine months ended September 30, 2026, compared to the same period in the prior year, was primarily due to lower purchases of long-term investments in 2026. For additional information, see Note 4. </w:t>
      </w:r>
      <w:r>
        <w:rPr>
          <w:rFonts w:ascii="Times New Roman;serif" w:hAnsi="Times New Roman;serif"/>
          <w:b w:val="false"/>
          <w:i/>
          <w:color w:val="000000"/>
          <w:sz w:val="20"/>
        </w:rPr>
        <w:t>Investment Securities and Fair Value Measurements</w:t>
      </w:r>
      <w:r>
        <w:rPr>
          <w:rFonts w:ascii="Times New Roman;serif" w:hAnsi="Times New Roman;serif"/>
          <w:b w:val="false"/>
          <w:color w:val="000000"/>
          <w:sz w:val="20"/>
        </w:rPr>
        <w:t>, of our Condensed Consolidated Financial Statements.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is generally composed of net share settlements for employee tax withholdings associated with the vesting of equity awards and repurchases of our Class A common stock offset by proceeds from the exercise of stock options and issuance of common stock under the Employee Stock Purchase Plan.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decrease in cash used in financing activities for the nine months ended September 30, 2026, compared to the same period in the prior year, was primarily due to lower repurchases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which are prepared and presented in accordance with GAAP, this Quarterly Report contains information regarding our Non-GAAP Operating Income and Non-GAAP Operating Margin, each of which constitutes a non-GAAP financial measure. We use these non-GAAP financial measures in addition to, and not as a substitute for, or superior to, financial measures calculated in accordance with GAAP.</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 xml:space="preserve">Non-GAAP Operating Income </w:t>
      </w:r>
      <w:r>
        <w:rPr>
          <w:rFonts w:ascii="Times New Roman;serif" w:hAnsi="Times New Roman;serif"/>
          <w:b w:val="false"/>
          <w:color w:val="000000"/>
          <w:sz w:val="20"/>
        </w:rPr>
        <w:t>excludes certain non-cash or non-recurring items, including stock-based compensation expense, amortization of stock-based compensation capitalized in software development costs, and amortization of purchased intangibles, as described below. Non-GAAP Operating Margin is calculated as Non-GAAP Operating Income as a percentage of revenue.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each of these non-GAAP financial measures internally to assess and compare operating results across reporting periods, for internal budgeting and forecasting purposes, and to evaluate our financial performance. We believe these non-GAAP financial measures also provide useful supplemental information to investors and facilitate the analysis of our operating results and comparison of operating results across reporting periods.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particular, we believe these non-GAAP financial measures are useful to investors and others in assessing our operating performance due to the following factors:</w:t>
      </w:r>
    </w:p>
    <w:p>
      <w:pPr>
        <w:pStyle w:val="TextBody"/>
        <w:bidi w:val="0"/>
        <w:spacing w:lineRule="auto" w:line="288" w:before="120" w:after="120"/>
        <w:ind w:left="0" w:right="0" w:hanging="360"/>
        <w:jc w:val="both"/>
        <w:rPr/>
      </w:pPr>
      <w:r>
        <w:rPr>
          <w:color w:val="000000"/>
          <w:shd w:fill="FFFFFF" w:val="clear"/>
        </w:rPr>
        <w:t>•</w:t>
      </w:r>
      <w:r>
        <w:rPr>
          <w:rFonts w:ascii="Times New Roman;serif" w:hAnsi="Times New Roman;serif"/>
          <w:b w:val="false"/>
          <w:i/>
          <w:color w:val="000000"/>
          <w:sz w:val="20"/>
        </w:rPr>
        <w:t>Stock-based compensation expense and amortization of stock-based compensation capitalized in software development costs.</w:t>
      </w:r>
      <w:r>
        <w:rPr>
          <w:color w:val="000000"/>
        </w:rPr>
        <w:t xml:space="preserve"> </w:t>
      </w:r>
      <w:r>
        <w:rPr>
          <w:rFonts w:ascii="Times New Roman;serif" w:hAnsi="Times New Roman;serif"/>
          <w:b w:val="false"/>
          <w:color w:val="000000"/>
          <w:sz w:val="20"/>
        </w:rPr>
        <w:t>We utilize stock-based compensation to attract and retain employees. It is principally aimed at aligning their interests with those of our stockholders while ensuring long-term retention, rather than to address operational performance for any particular period. As a result, stock-based compensation expenses vary for reasons that are generally unrelated to financial and operational performance in any particular period.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Amortization of purchased intangibles.</w:t>
      </w:r>
      <w:r>
        <w:rPr>
          <w:color w:val="000000"/>
        </w:rPr>
        <w:t xml:space="preserve"> </w:t>
      </w:r>
      <w:r>
        <w:rPr>
          <w:rFonts w:ascii="Times New Roman;serif" w:hAnsi="Times New Roman;serif"/>
          <w:b w:val="false"/>
          <w:color w:val="000000"/>
          <w:sz w:val="20"/>
        </w:rPr>
        <w:t>We view amortization of purchased intangible assets as items arising from pre-acquisition activities determined at the time of an acquisition. While these intangible assets are evaluated for impairment regularly, amortization of the cost of purchased intangibles is an expense that is not typically affected by operations during any particular period.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non-GAAP financial measures may not provide information that is directly comparable to that provided by other companies in our industry, as other companies may calculate non-GAAP financial results differently. In addition, there are limitations in using non-GAAP financial measures because non-GAAP financial measures are not prepared in accordance with GAAP and can exclude expenses that may have a material impact on our reported financial results. As such, non-GAAP financial measures should not be considered in isolation from, or as a substitute for, financial information prepared in accordance with GAAP. A reconciliation of income from operations, the most comparable GAAP measure, to Non-GAAP Operating Income and operating margin, the most comparable GAAP measure, to Non-GAAP Operating Margin, is provided in the table below. We encourage investors to review the reconciliation of these historical non-GAAP financial measures to their most directly comparable GAAP financial measures.</w:t>
      </w:r>
    </w:p>
    <w:p>
      <w:pPr>
        <w:pStyle w:val="TextBody"/>
        <w:bidi w:val="0"/>
        <w:spacing w:before="120" w:after="12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center"/>
        <w:rPr>
          <w:rFonts w:ascii="Times New Roman;serif" w:hAnsi="Times New Roman;serif"/>
          <w:b/>
          <w:color w:val="000000"/>
          <w:sz w:val="20"/>
        </w:rPr>
      </w:pPr>
      <w:r>
        <w:rPr>
          <w:rFonts w:ascii="Times New Roman;serif" w:hAnsi="Times New Roman;serif"/>
          <w:b/>
          <w:color w:val="000000"/>
          <w:sz w:val="20"/>
        </w:rPr>
        <w:t>Reconciliation from GAAP to Non-GAAP Results</w:t>
      </w:r>
    </w:p>
    <w:p>
      <w:pPr>
        <w:pStyle w:val="TextBody"/>
        <w:bidi w:val="0"/>
        <w:spacing w:lineRule="auto" w:line="288" w:before="12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tbl>
      <w:tblPr>
        <w:tblW w:w="10205" w:type="dxa"/>
        <w:jc w:val="left"/>
        <w:tblInd w:w="0" w:type="dxa"/>
        <w:tblLayout w:type="fixed"/>
        <w:tblCellMar>
          <w:top w:w="28" w:type="dxa"/>
          <w:left w:w="28" w:type="dxa"/>
          <w:bottom w:w="28" w:type="dxa"/>
          <w:right w:w="28" w:type="dxa"/>
        </w:tblCellMar>
      </w:tblPr>
      <w:tblGrid>
        <w:gridCol w:w="167"/>
        <w:gridCol w:w="146"/>
        <w:gridCol w:w="146"/>
        <w:gridCol w:w="277"/>
        <w:gridCol w:w="253"/>
        <w:gridCol w:w="203"/>
        <w:gridCol w:w="1156"/>
        <w:gridCol w:w="1156"/>
        <w:gridCol w:w="1097"/>
        <w:gridCol w:w="196"/>
        <w:gridCol w:w="646"/>
        <w:gridCol w:w="256"/>
        <w:gridCol w:w="109"/>
        <w:gridCol w:w="109"/>
        <w:gridCol w:w="109"/>
        <w:gridCol w:w="196"/>
        <w:gridCol w:w="646"/>
        <w:gridCol w:w="256"/>
        <w:gridCol w:w="109"/>
        <w:gridCol w:w="109"/>
        <w:gridCol w:w="109"/>
        <w:gridCol w:w="196"/>
        <w:gridCol w:w="736"/>
        <w:gridCol w:w="256"/>
        <w:gridCol w:w="109"/>
        <w:gridCol w:w="109"/>
        <w:gridCol w:w="109"/>
        <w:gridCol w:w="196"/>
        <w:gridCol w:w="736"/>
        <w:gridCol w:w="307"/>
      </w:tblGrid>
      <w:tr>
        <w:trPr/>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income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109,341 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compensation capitalized in software development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80,722 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228,503 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173,200 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Operating margin: </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as a percentage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compensation capitalized in software development costs as a percentage of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as a percentage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w:t>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described in our Annual Report that have had a material impact on our Condensed Consolidated Financial Statements and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Securities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had $48.7 million of investment securities consisting of United States government and agency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income unless an investment security is considered impaired in which case changes in fair value are reported in other expense. Due to the relatively short-term nature of our investment portfolio, a hypothetical 100 basis point change in interest rates would not have a material effect on the fair value of our portfolio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supervision and participation of our principal executive officer and principal financial officer, evaluated the effectiveness of our disclosure controls and procedures (as defined in Rules 13a-15(e) and 15d-15(e) under the Exchange Act) as of the end of the period covered by this Quarterly Report. Based on this evaluation, our principal executive officer and principal financial officer concluded that, as of the end of the period covered by this Quarterly Report, our disclosure controls and procedures were designed at the reasonable assurance level and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For information regarding legal proceedings, refer to Note 7, </w:t>
      </w:r>
      <w:r>
        <w:rPr>
          <w:rFonts w:ascii="Times New Roman;serif" w:hAnsi="Times New Roman;serif"/>
          <w:b w:val="false"/>
          <w:i/>
          <w:color w:val="000000"/>
          <w:sz w:val="20"/>
        </w:rPr>
        <w:t>Commitments and Contingencies</w:t>
      </w:r>
      <w:r>
        <w:rPr>
          <w:color w:val="000000"/>
        </w:rPr>
        <w:t> </w:t>
      </w:r>
      <w:r>
        <w:rPr>
          <w:rFonts w:ascii="Times New Roman;serif" w:hAnsi="Times New Roman;serif"/>
          <w:b w:val="false"/>
          <w:color w:val="000000"/>
          <w:sz w:val="20"/>
        </w:rPr>
        <w:t>of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5, 2026. If any of the identified risks are realized, our business, financial condition, operating results, cash flows and prospects could be materially and adversely affected. In that case, the trading price of our Class A common stock may decline. In addition, other risks of which we are currently unaware, or which we do not currently view as material, could have a material adverse effect on our business, financial condition, operating results, cash flows and prospects. As of the date of this Quarterly Report, there have been no material changes to the risk factors previously disclosed under the section entitled "Risk Factors" in Part I, Item 1A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The table below summarizes our repurchases of our Class A common stock during the three months ended September 30, 2026.</w:t>
      </w:r>
    </w:p>
    <w:tbl>
      <w:tblPr>
        <w:tblW w:w="10205" w:type="dxa"/>
        <w:jc w:val="left"/>
        <w:tblInd w:w="0" w:type="dxa"/>
        <w:tblLayout w:type="fixed"/>
        <w:tblCellMar>
          <w:top w:w="28" w:type="dxa"/>
          <w:left w:w="28" w:type="dxa"/>
          <w:bottom w:w="28" w:type="dxa"/>
          <w:right w:w="28" w:type="dxa"/>
        </w:tblCellMar>
      </w:tblPr>
      <w:tblGrid>
        <w:gridCol w:w="694"/>
        <w:gridCol w:w="414"/>
        <w:gridCol w:w="415"/>
        <w:gridCol w:w="109"/>
        <w:gridCol w:w="109"/>
        <w:gridCol w:w="109"/>
        <w:gridCol w:w="572"/>
        <w:gridCol w:w="572"/>
        <w:gridCol w:w="574"/>
        <w:gridCol w:w="109"/>
        <w:gridCol w:w="109"/>
        <w:gridCol w:w="109"/>
        <w:gridCol w:w="288"/>
        <w:gridCol w:w="985"/>
        <w:gridCol w:w="148"/>
        <w:gridCol w:w="109"/>
        <w:gridCol w:w="109"/>
        <w:gridCol w:w="109"/>
        <w:gridCol w:w="673"/>
        <w:gridCol w:w="673"/>
        <w:gridCol w:w="675"/>
        <w:gridCol w:w="109"/>
        <w:gridCol w:w="109"/>
        <w:gridCol w:w="109"/>
        <w:gridCol w:w="474"/>
        <w:gridCol w:w="1386"/>
        <w:gridCol w:w="354"/>
      </w:tblGrid>
      <w:tr>
        <w:trPr/>
        <w:tc>
          <w:tcPr>
            <w:tcW w:w="69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Repurchased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 Price Paid Per Share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w:t>
              <w:br/>
              <w:t>Purchased as Part of the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w:t>
              <w:br/>
              <w:t>Shares that May Yet Be Purchased Under the Plans or Programs</w:t>
            </w:r>
          </w:p>
        </w:tc>
      </w:tr>
      <w:tr>
        <w:trPr/>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to 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to August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 to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On April 23, 2025, our Board authorized the repurchase of up to $300.0 million of shares of our Class A common stock pursuant to the 2025 Stock Repurchase Program. The 2025 Stock Repurchase Program has no expiration date and can be modified, suspended, or terminated at any time and for any reason. For more information regarding the 2025 Stock Repurchase Program, refer to Note 8, Share Repurchase Program, of our Condensed Consolidated Financial Statements and Part I, Item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 Liquidity and Capital Resources" of this Quarterly Report.</w:t>
      </w:r>
    </w:p>
    <w:p>
      <w:pPr>
        <w:pStyle w:val="TextBody"/>
        <w:bidi w:val="0"/>
        <w:spacing w:lineRule="auto" w:line="288" w:before="120" w:after="12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Average price paid per share inclusive of broker commissions.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bookmarkStart w:id="0" w:name="i33e4dba5fd6146aa90f1d66287d8f69c_259"/>
      <w:bookmarkEnd w:id="0"/>
      <w:r>
        <w:rPr>
          <w:rFonts w:ascii="Times New Roman;serif" w:hAnsi="Times New Roman;serif"/>
          <w:b/>
          <w:color w:val="000000"/>
          <w:sz w:val="20"/>
        </w:rPr>
        <w:t>Item 5. Other Information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On October 21, 2026, our Board adopted the AppFolio Corporate Bonus Plan (the “Bonus Plan”), an annual, performance-based cash incentive compensation plan, which will govern the terms of the annual cash performance bonus element of our executive compensation program beginning in 2027. All of our regular, salaried and hourly employees who do not participate in a sales commission plan, including our executive officers, are eligible to participate in the Bonus Plan. With respect to our executive officers, under the Bonus Plan, our Board (or the Compensation Committee of the Board) will establish, for each fiscal year, the target bonus amount for each executive officer, the performance metrics and targets required to be achieved for payment of a bonus and any other material terms and conditions. The bonus that each executive officer will receive (if any) will be based upon whether and to what extent the performance metrics have been achieved as determined by the Board (or the Compensation Committee). Any payment will be made in cash no later than the last day of March in the following fiscal year.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material terms of the Bonus Plan is qualified in its entirety by reference to the Bonus Plan, a copy of which is filed as Exhibit 10.1 to this Quarterly Report on Form 10-Q and incorporated herein by reference.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On September 9, 2026, Tim Eaton, our Chief Financial Officer, terminated his previously reported Rule 10b5-1 trading arrangement, which he adopted on March 13, 2026. This trading arrangement provided for the sale between June 15, 2026 and November 22, 2027, of (i) up to 2,211 shares of our Class A common stock, and (ii) an indeterminate number of shares of our Class A common stock received by Mr. Eaton in connection with the vesting in between May 10, 2026 and November 10, 2027 of certain RSUs and PSUs held by Mr. Eaton. The actual number of shares of Class A common stock sold depended on the vesting of the RSUs and PSUs and the number of shares withheld to satisfy tax withholding obligations. This trading arrangement was entered into and terminated during an open trading window and was intended to satisfy the affirmative defense of Rule 10b5-1(c) under the Exchange Act.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11, 2026, Mr. Eaton adopted a Rule 10b5-1 trading arrangement providing for the sale between December 11, 2026 and December 31, 2027 of (i) up to 818 shares of our Class A common stock and (ii) an indeterminate number of shares of our Class A common stock received by Mr. Eaton in connection with the vesting between May 10, 2026 and November 10, 2027 of certain RSUs and PSUs held by Mr. Eaton. The actual number of shares of Class A common stock sold will depend on the vesting of the RSUs and PSUs and the number of shares withheld to satisfy tax withholding obligations. This trading arrangement was entered into during an open trading window and is intended to satisfy the affirmative defense of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39"/>
        <w:gridCol w:w="239"/>
        <w:gridCol w:w="240"/>
        <w:gridCol w:w="109"/>
        <w:gridCol w:w="109"/>
        <w:gridCol w:w="109"/>
        <w:gridCol w:w="2838"/>
        <w:gridCol w:w="2466"/>
        <w:gridCol w:w="35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pfolioinccorporatebonu.htm">
              <w:r>
                <w:rPr>
                  <w:rStyle w:val="InternetLink"/>
                  <w:rFonts w:ascii="Times New Roman;serif" w:hAnsi="Times New Roman;serif"/>
                  <w:b w:val="false"/>
                  <w:color w:val="0000FF"/>
                  <w:sz w:val="20"/>
                  <w:u w:val="single"/>
                </w:rPr>
                <w:t>AppFolio Corporate Bonus Plan</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93026exhibit311.htm">
              <w:r>
                <w:rPr>
                  <w:rStyle w:val="InternetLink"/>
                  <w:rFonts w:ascii="Times New Roman;serif" w:hAnsi="Times New Roman;serif"/>
                  <w:b w:val="false"/>
                  <w:color w:val="0000FF"/>
                  <w:sz w:val="20"/>
                  <w:u w:val="single"/>
                </w:rPr>
                <w:t>Certification of Chief Executive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93026exhibit312.htm">
              <w:r>
                <w:rPr>
                  <w:rStyle w:val="InternetLink"/>
                  <w:rFonts w:ascii="Times New Roman;serif" w:hAnsi="Times New Roman;serif"/>
                  <w:b w:val="false"/>
                  <w:color w:val="0000FF"/>
                  <w:sz w:val="20"/>
                  <w:u w:val="single"/>
                </w:rPr>
                <w:t>Certification of Principal Financial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93026exhibit321.htm">
              <w:r>
                <w:rPr>
                  <w:rStyle w:val="InternetLink"/>
                  <w:rFonts w:ascii="Times New Roman;serif" w:hAnsi="Times New Roman;serif"/>
                  <w:b w:val="false"/>
                  <w:color w:val="0000FF"/>
                  <w:sz w:val="20"/>
                  <w:u w:val="single"/>
                </w:rPr>
                <w:t>Certifications of Chief Executive Officer and Principal Financial Officer,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60" w:after="283"/>
        <w:jc w:val="left"/>
        <w:rPr/>
      </w:pPr>
      <w:hyperlink w:anchor="i54677ac894aa458e91153484dc69f02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100" w:after="100"/>
        <w:jc w:val="left"/>
        <w:rPr/>
      </w:pPr>
      <w:r>
        <w:rPr/>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507"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212"/>
        <w:gridCol w:w="212"/>
        <w:gridCol w:w="212"/>
        <w:gridCol w:w="809"/>
        <w:gridCol w:w="809"/>
        <w:gridCol w:w="81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AppFolio,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 Eaton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 Eaton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0"/>
        <w:jc w:val="center"/>
        <w:rPr/>
      </w:pPr>
      <w:bookmarkStart w:id="1" w:name="appfolioinccorporatebonu.htm"/>
      <w:bookmarkStart w:id="2" w:name="ksappfolioinccorporatebonu"/>
      <w:bookmarkEnd w:id="1"/>
      <w:bookmarkEnd w:id="2"/>
      <w:r>
        <w:rPr/>
        <w:drawing>
          <wp:inline distT="0" distB="0" distL="0" distR="0">
            <wp:extent cx="10048875" cy="13001625"/>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10.1 AppFolio, Inc. Corporate Bonus Plan I. Plan Overview The AppFolio Corporate Bonus Plan (the “Plan”) is designed to further the strategic objectives and compensation philosophy of AppFolio, Inc. (“AppFolio” or the “Company”) by providing competitive total compensation to Participants (defined in Section III, below), in the Company’s sole and absolute discretion, based upon the achievement of certain financial performance targets that are tied to each Participant’s specific role and responsibilities. This Plan is intended to be exempt from the requirements of the Employee Retirement Income Security Act of 1974, as amended. II. Plan Period The Plan establishes the terms and conditions under which Participants are eligible to earn the Corporate Bonus (the “Bonus”). The Plan is an annual plan, effective as of January 1 of each plan year and terminating on December 31 of each plan year (the “Plan Period”), and continues until the AppFolio Board of Directors elects to discontinue the Plan. III. Eligibility Regular, salaried and hourly employees at the Company who do not participate in a Sales Commission Plan are eligible to participate in the Plan (each, a “Participant,” and collectively the “Participants”). For avoidance of doubt, interns, contractors, and temporary employees are not eligible to participate in the Plan. Each salaried Participant’s annual bonus target is a percentage of their base salary, as determined by the Company, based on their specific role and respective job level. Each hourly Participant’s annual bonus target is a percentage of their Eligible Earnings based on their specific role and respective job level. “Eligible Earnings” are defined as regular earned wages, which include, but are not limited to, hourly wages (excluding overtime and double time pay), holiday pay, paid time off, bereavement pay, paid sick leave, leave pay, jury pay, sabbatical pay, volunteer pay, retro pay, emergency pay, and travel pay. Under the Plan, a Participant may be subject to an eligibility change or proration of the annual bonus target based on changes in employment status impacting their time worked in an eligible position during the Plan Period. These employment status changes include new hires, transferring in and out of the Plan, and FTE status changes. A. New Hires: New hires eligible to participate in the Plan will be subject to proration of their annual bonus target based on their hire date. New hires hired on or after October 1 of the Plan Period are ineligible to receive a Bonus for the Plan Period in which they are hired. This applies to external hires or temporary employees, interns, or contractors converting to a regular, salaried or hourly position. Any internal, regular employees transferring to a bonus-eligible position on or after October 1 are eligible to receive a Bonus for the Plan Period, but will be subject to applicable prorations.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Transfer to Eligible Role: Participants who transfer from a non-eligible role to an eligible role (including, but not limited to, an employee who previously participated in a Sales Commission Plan) will be subject to proration of their annual bonus target based on the effective date of the transfer. C. Transfer to Non-Eligible Role: Participants who transfer from an eligible role to a non-eligible role (including, but not limited to, an employee who transfers into a role with a Sales Commission Plan) will be subject to proration of their annual bonus target based on the effective date of the transfer. D. Status Change: Participants who have a change to their employment status, i.e. a full- time to part-time change due to schedule accommodations, will be subject to proration of their annual bonus target based on the time spent at each status. E. Compensation Change: The Company will use a compensation snapshot date as of December 31 of the Plan Period. Therefore, any Participants who have a change to their base salary/Eligible Earnings and/or bonus target percentage during the Plan Period will be paid any annual bonus earned based on their base salary/Eligible Earnings and bonus target in place as of December 31 of the Plan Period. IV. Bonus Funding and Company Performance The Plan is funded, in the Company’s sole and absolute discretion, if the Company achieves certain performance targets during the Plan Period, as approved by the Board of Directors. The performance targets will be distributed separately to Plan Participants at the start of the Plan Period. V. Bonus Payout All Participants, regardless of job level, will be paid Bonuses on an annual payout cycle. Participants must be actively employed through the bonus payment date in order to earn the Bonus. Any Participant whose employment with AppFolio terminates for any reason prior to the Bonus payment date will not earn the Bonus payment. In the Company’s discretion, if the Company meets its performance targets for the Plan Period, Participants will be paid their annual Bonus, subject to the Participants’ individual performance, no later than March 15 in the calendar year following the end of the Plan Period. Finalized Bonus payments will be deposited into the Participant’s bank account on file with the Company, less applicable withholdings. VI. Plan Provisions The following are important provisions of the Plan: A. The Corporate Bonus Plan and participation in it are offered at the sole discretion of the Company. Payment of the Bonus is contingent upon Board approval based on corporate performance. The Company reserves the right to amend, suspend and/or terminate this Plan at any time on a prospective basis. Further, the Company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terminate this Plan altogether. AppFolio will inform the affected Participants of any such amendment, suspension, or termination. B. Subject to any contrary provision of local law, or to any contrary agreement between a Participant and the Company, the employment of all Participants is “at will” and terminable by either the Participant or AppFolio at any time, with or without cause or notice. This Plan does not create a contract of employment for any specified period of time between the Company and any Participant, nor does it create any guaranteed amount of compensation to be paid to any Participant. C. This Plan will be governed by and construed in accordance with the laws of the state in which the eligible Participant resides. For Participants employed outside the U.S., this Plan will be governed by and construed in accordance with the laws of the country or state that are applicable to the employment relationship between the Company and the affected Participant. If any provision of this Plan is deemed to be invalid, ineffective, or unenforceable, the validity, effectiveness and enforceability of the remaining provisions and obligations shall not in any way be affected and shall remain in full force and effect. D. Any questions regarding this Plan or its interpretation, or the calculation of any Bonus target under this Plan, will be decided by the Company in its sole discretion. E. Each Bonus payable under this Plan is intended to constitute a short term deferral exempt from the requirements of Section 409A of the Internal Revenue Code of 1986, as amended, and the regulations promulgated thereunder (“Section 409A”) and this Plan will be interpreted, construed, and administered consistent with that intent to the maximum extent possible. Participants will have no control, directly or indirectly, over the taxable year in which payment of any Bonus is made with respect to this Plan. Notwithstanding the foregoing, in no event does the Company guarantee any particular tax consequences, outcome, or tax liability to Participants with respect to this Plan or any Bonus paid hereunder, and the obligation to pay any taxes associated with this Plan or any Bonus paid hereunder, including any liability imposed under Section 409A, will be the sole responsibility of the applicable Participant. F. To the extent permitted by applicable law, any Bonus under this Plan shall be subject to clawback or recoupment pursuant to any compensation clawback or recoupment policy adopted by the Company’s Board of Directors or required by law that is applicable to the Participant. In addition to any other remedies available under such policy, applicable law may require the cancellation of any Bonus under this Plan and the recoupment of any payments that may have been made toward such Bonus.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Shane Trigg, certify that:</w:t>
      </w:r>
    </w:p>
    <w:tbl>
      <w:tblPr>
        <w:tblW w:w="6086" w:type="dxa"/>
        <w:jc w:val="center"/>
        <w:tblInd w:w="0" w:type="dxa"/>
        <w:tblLayout w:type="fixed"/>
        <w:tblCellMar>
          <w:top w:w="28" w:type="dxa"/>
          <w:left w:w="28" w:type="dxa"/>
          <w:bottom w:w="28" w:type="dxa"/>
          <w:right w:w="28" w:type="dxa"/>
        </w:tblCellMar>
      </w:tblPr>
      <w:tblGrid>
        <w:gridCol w:w="124"/>
        <w:gridCol w:w="109"/>
        <w:gridCol w:w="109"/>
        <w:gridCol w:w="1677"/>
        <w:gridCol w:w="1677"/>
        <w:gridCol w:w="23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74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 have reviewed this </w:t>
            </w:r>
            <w:r>
              <w:rPr>
                <w:rFonts w:ascii="Times New Roman;serif" w:hAnsi="Times New Roman;serif"/>
                <w:b w:val="false"/>
                <w:color w:val="000000"/>
                <w:sz w:val="18"/>
              </w:rPr>
              <w:t>Quarterly</w:t>
            </w:r>
            <w:r>
              <w:rPr>
                <w:color w:val="000000"/>
              </w:rPr>
              <w:t xml:space="preserve"> </w:t>
            </w:r>
            <w:r>
              <w:rPr>
                <w:rFonts w:ascii="Times New Roman;serif" w:hAnsi="Times New Roman;serif"/>
                <w:b w:val="false"/>
                <w:color w:val="000000"/>
                <w:sz w:val="20"/>
              </w:rPr>
              <w:t xml:space="preserve">Report on Form </w:t>
            </w:r>
            <w:r>
              <w:rPr>
                <w:rFonts w:ascii="Times New Roman;serif" w:hAnsi="Times New Roman;serif"/>
                <w:b w:val="false"/>
                <w:color w:val="000000"/>
                <w:sz w:val="18"/>
              </w:rPr>
              <w:t>10-Q</w:t>
            </w:r>
            <w:r>
              <w:rPr>
                <w:color w:val="000000"/>
              </w:rPr>
              <w:t xml:space="preserve"> </w:t>
            </w:r>
            <w:r>
              <w:rPr>
                <w:rFonts w:ascii="Times New Roman;serif" w:hAnsi="Times New Roman;serif"/>
                <w:b w:val="false"/>
                <w:color w:val="000000"/>
                <w:sz w:val="20"/>
              </w:rPr>
              <w:t>of AppFolio, Inc.;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4510" w:type="dxa"/>
        <w:jc w:val="left"/>
        <w:tblInd w:w="0" w:type="dxa"/>
        <w:tblLayout w:type="fixed"/>
        <w:tblCellMar>
          <w:top w:w="28" w:type="dxa"/>
          <w:left w:w="28" w:type="dxa"/>
          <w:bottom w:w="28" w:type="dxa"/>
          <w:right w:w="28" w:type="dxa"/>
        </w:tblCellMar>
      </w:tblPr>
      <w:tblGrid>
        <w:gridCol w:w="216"/>
        <w:gridCol w:w="191"/>
        <w:gridCol w:w="192"/>
        <w:gridCol w:w="504"/>
        <w:gridCol w:w="504"/>
        <w:gridCol w:w="506"/>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Shane Trigg</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Shane Trigg</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Tim Eaton, certify that:</w:t>
      </w:r>
    </w:p>
    <w:tbl>
      <w:tblPr>
        <w:tblW w:w="6387" w:type="dxa"/>
        <w:jc w:val="left"/>
        <w:tblInd w:w="0" w:type="dxa"/>
        <w:tblLayout w:type="fixed"/>
        <w:tblCellMar>
          <w:top w:w="28" w:type="dxa"/>
          <w:left w:w="28" w:type="dxa"/>
          <w:bottom w:w="28" w:type="dxa"/>
          <w:right w:w="28" w:type="dxa"/>
        </w:tblCellMar>
      </w:tblPr>
      <w:tblGrid>
        <w:gridCol w:w="124"/>
        <w:gridCol w:w="109"/>
        <w:gridCol w:w="109"/>
        <w:gridCol w:w="1765"/>
        <w:gridCol w:w="1765"/>
        <w:gridCol w:w="25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 have reviewed this the </w:t>
            </w:r>
            <w:r>
              <w:rPr>
                <w:rFonts w:ascii="Times New Roman;serif" w:hAnsi="Times New Roman;serif"/>
                <w:b w:val="false"/>
                <w:color w:val="000000"/>
                <w:sz w:val="18"/>
              </w:rPr>
              <w:t>Quarterly</w:t>
            </w:r>
            <w:r>
              <w:rPr>
                <w:color w:val="000000"/>
              </w:rPr>
              <w:t xml:space="preserve"> </w:t>
            </w:r>
            <w:r>
              <w:rPr>
                <w:rFonts w:ascii="Times New Roman;serif" w:hAnsi="Times New Roman;serif"/>
                <w:b w:val="false"/>
                <w:color w:val="000000"/>
                <w:sz w:val="20"/>
              </w:rPr>
              <w:t xml:space="preserve">Report on Form </w:t>
            </w:r>
            <w:r>
              <w:rPr>
                <w:rFonts w:ascii="Times New Roman;serif" w:hAnsi="Times New Roman;serif"/>
                <w:b w:val="false"/>
                <w:color w:val="000000"/>
                <w:sz w:val="18"/>
              </w:rPr>
              <w:t>10-Q</w:t>
            </w:r>
            <w:r>
              <w:rPr>
                <w:color w:val="000000"/>
              </w:rPr>
              <w:t xml:space="preserve"> </w:t>
            </w:r>
            <w:r>
              <w:rPr>
                <w:rFonts w:ascii="Times New Roman;serif" w:hAnsi="Times New Roman;serif"/>
                <w:b w:val="false"/>
                <w:color w:val="000000"/>
                <w:sz w:val="20"/>
              </w:rPr>
              <w:t>of AppFolio,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4406"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586"/>
        <w:gridCol w:w="586"/>
        <w:gridCol w:w="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Tim Eaton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 Eaton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certifications are hereby made in connection with the Quarterly Report on Form 10-Q of AppFolio, Inc. (the “Company”) for the period ended September 30, 2026, as filed with the Securities and Exchange Commission on the date hereof (the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pStyle w:val="TextBody"/>
        <w:bidi w:val="0"/>
        <w:spacing w:before="0" w:after="0"/>
        <w:ind w:left="0" w:right="0" w:firstLine="720"/>
        <w:jc w:val="both"/>
        <w:rPr/>
      </w:pPr>
      <w:r>
        <w:rPr/>
      </w:r>
    </w:p>
    <w:tbl>
      <w:tblPr>
        <w:tblW w:w="5728"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49"/>
        <w:gridCol w:w="149"/>
        <w:gridCol w:w="151"/>
        <w:gridCol w:w="940"/>
        <w:gridCol w:w="940"/>
        <w:gridCol w:w="13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Shane Trigg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Shane Trigg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Tim Eaton,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4528"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49"/>
        <w:gridCol w:w="149"/>
        <w:gridCol w:w="151"/>
        <w:gridCol w:w="586"/>
        <w:gridCol w:w="586"/>
        <w:gridCol w:w="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October 22,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Tim Eaton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Tim Eaton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16428</Words>
  <Characters>91545</Characters>
  <CharactersWithSpaces>106804</CharactersWithSpaces>
  <Paragraphs>2496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appfolioinccorporatebonu</dc:title>
</cp:coreProperties>
</file>