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APPFOLIO INC</w:t>
              </w:r>
            </w:hyperlink>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APPFOLIO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APPF</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gridSpan w:val="3"/>
            <w:vMerge w:val="continue"/>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40" w:type="dxa"/>
            <w:vAlign w:val="bottom"/>
            <w:tcBorders>
              <w:bottom w:val="single" w:sz="8" w:color="0000EE"/>
            </w:tcBorders>
          </w:tcPr>
          <w:p>
            <w:pPr>
              <w:spacing w:after="0"/>
              <w:rPr>
                <w:sz w:val="6"/>
                <w:szCs w:val="6"/>
                <w:color w:val="auto"/>
              </w:rPr>
            </w:pPr>
          </w:p>
        </w:tc>
        <w:tc>
          <w:tcPr>
            <w:tcW w:w="23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23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3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8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180" w:type="dxa"/>
            <w:vAlign w:val="bottom"/>
            <w:gridSpan w:val="2"/>
            <w:vMerge w:val="restart"/>
          </w:tcPr>
          <w:p>
            <w:pPr>
              <w:ind w:left="40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16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06/29/2026</w:t>
            </w:r>
          </w:p>
        </w:tc>
        <w:tc>
          <w:tcPr>
            <w:tcW w:w="23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70 CASTILIAN DR</w:t>
            </w:r>
          </w:p>
        </w:tc>
        <w:tc>
          <w:tcPr>
            <w:tcW w:w="1640" w:type="dxa"/>
            <w:vAlign w:val="bottom"/>
          </w:tcPr>
          <w:p>
            <w:pPr>
              <w:spacing w:after="0"/>
              <w:rPr>
                <w:sz w:val="11"/>
                <w:szCs w:val="11"/>
                <w:color w:val="auto"/>
              </w:rPr>
            </w:pPr>
          </w:p>
        </w:tc>
        <w:tc>
          <w:tcPr>
            <w:tcW w:w="1600" w:type="dxa"/>
            <w:vAlign w:val="bottom"/>
            <w:gridSpan w:val="3"/>
            <w:vMerge w:val="continue"/>
          </w:tcPr>
          <w:p>
            <w:pPr>
              <w:spacing w:after="0"/>
              <w:rPr>
                <w:sz w:val="11"/>
                <w:szCs w:val="11"/>
                <w:color w:val="auto"/>
              </w:rPr>
            </w:pPr>
          </w:p>
        </w:tc>
        <w:tc>
          <w:tcPr>
            <w:tcW w:w="23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00" w:type="dxa"/>
            <w:vAlign w:val="bottom"/>
            <w:gridSpan w:val="3"/>
            <w:vMerge w:val="continue"/>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230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1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8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860" w:type="dxa"/>
            <w:vAlign w:val="bottom"/>
            <w:gridSpan w:val="2"/>
            <w:vMerge w:val="continue"/>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219" w:right="359" w:bottom="1440" w:gutter="0" w:footer="0" w:header="0"/>
          <w:type w:val="continuous"/>
        </w:sectPr>
      </w:pPr>
    </w:p>
    <w:tbl>
      <w:tblPr>
        <w:tblLayout w:type="fixed"/>
        <w:tblInd w:w="120" w:type="dxa"/>
        <w:tblCellMar>
          <w:top w:w="0" w:type="dxa"/>
          <w:left w:w="0" w:type="dxa"/>
          <w:bottom w:w="0" w:type="dxa"/>
          <w:right w:w="0" w:type="dxa"/>
        </w:tblCellMar>
      </w:tblPr>
      <w:tr>
        <w:trPr>
          <w:trHeight w:val="197"/>
        </w:trPr>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100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93117</w:t>
            </w:r>
          </w:p>
        </w:tc>
        <w:tc>
          <w:tcPr>
            <w:tcW w:w="0" w:type="dxa"/>
            <w:vAlign w:val="bottom"/>
          </w:tcPr>
          <w:p>
            <w:pPr>
              <w:spacing w:after="0"/>
              <w:rPr>
                <w:sz w:val="1"/>
                <w:szCs w:val="1"/>
                <w:color w:val="auto"/>
              </w:rPr>
            </w:pPr>
          </w:p>
        </w:tc>
      </w:tr>
      <w:tr>
        <w:trPr>
          <w:trHeight w:val="120"/>
        </w:trPr>
        <w:tc>
          <w:tcPr>
            <w:tcW w:w="10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BARBARA</w:t>
            </w:r>
          </w:p>
        </w:tc>
        <w:tc>
          <w:tcPr>
            <w:tcW w:w="100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4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jc w:val="center"/>
              <w:ind w:left="71"/>
              <w:spacing w:after="0"/>
              <w:rPr>
                <w:sz w:val="20"/>
                <w:szCs w:val="20"/>
                <w:color w:val="auto"/>
              </w:rPr>
            </w:pPr>
            <w:r>
              <w:rPr>
                <w:rFonts w:ascii="Times New Roman" w:cs="Times New Roman" w:eastAsia="Times New Roman" w:hAnsi="Times New Roman"/>
                <w:sz w:val="17"/>
                <w:szCs w:val="17"/>
                <w:color w:val="0000FF"/>
                <w:w w:val="93"/>
              </w:rPr>
              <w:t>1,559</w:t>
            </w:r>
            <w:r>
              <w:rPr>
                <w:rFonts w:ascii="Times New Roman" w:cs="Times New Roman" w:eastAsia="Times New Roman" w:hAnsi="Times New Roman"/>
                <w:sz w:val="22"/>
                <w:szCs w:val="22"/>
                <w:color w:val="008000"/>
                <w:w w:val="93"/>
                <w:vertAlign w:val="superscript"/>
              </w:rPr>
              <w:t>(1)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06/29/2026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jc w:val="center"/>
              <w:ind w:right="17"/>
              <w:spacing w:after="0" w:line="320" w:lineRule="exact"/>
              <w:rPr>
                <w:sz w:val="20"/>
                <w:szCs w:val="20"/>
                <w:color w:val="auto"/>
              </w:rPr>
            </w:pPr>
            <w:r>
              <w:rPr>
                <w:rFonts w:ascii="Times New Roman" w:cs="Times New Roman" w:eastAsia="Times New Roman" w:hAnsi="Times New Roman"/>
                <w:sz w:val="34"/>
                <w:szCs w:val="34"/>
                <w:color w:val="0000FF"/>
                <w:vertAlign w:val="subscript"/>
              </w:rPr>
              <w:t>649</w:t>
            </w:r>
            <w:r>
              <w:rPr>
                <w:rFonts w:ascii="Times New Roman" w:cs="Times New Roman" w:eastAsia="Times New Roman" w:hAnsi="Times New Roman"/>
                <w:sz w:val="11"/>
                <w:szCs w:val="11"/>
                <w:color w:val="008000"/>
              </w:rPr>
              <w:t>(2)</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417"/>
              <w:spacing w:after="0"/>
              <w:rPr>
                <w:sz w:val="20"/>
                <w:szCs w:val="20"/>
                <w:color w:val="auto"/>
              </w:rPr>
            </w:pPr>
            <w:r>
              <w:rPr>
                <w:rFonts w:ascii="Times New Roman" w:cs="Times New Roman" w:eastAsia="Times New Roman" w:hAnsi="Times New Roman"/>
                <w:sz w:val="17"/>
                <w:szCs w:val="17"/>
                <w:color w:val="0000FF"/>
              </w:rPr>
              <w:t>649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06/29/2026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1,568</w:t>
            </w:r>
            <w:r>
              <w:rPr>
                <w:rFonts w:ascii="Times New Roman" w:cs="Times New Roman" w:eastAsia="Times New Roman" w:hAnsi="Times New Roman"/>
                <w:sz w:val="22"/>
                <w:szCs w:val="22"/>
                <w:color w:val="008000"/>
                <w:vertAlign w:val="superscript"/>
              </w:rPr>
              <w:t>(3)</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jc w:val="center"/>
              <w:ind w:left="51"/>
              <w:spacing w:after="0"/>
              <w:rPr>
                <w:sz w:val="20"/>
                <w:szCs w:val="20"/>
                <w:color w:val="auto"/>
              </w:rPr>
            </w:pPr>
            <w:r>
              <w:rPr>
                <w:rFonts w:ascii="Times New Roman" w:cs="Times New Roman" w:eastAsia="Times New Roman" w:hAnsi="Times New Roman"/>
                <w:sz w:val="17"/>
                <w:szCs w:val="17"/>
                <w:color w:val="0000FF"/>
                <w:w w:val="99"/>
              </w:rPr>
              <w:t>2,217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2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holds 1,559 shares of Class A Common Stock in a Roth IRA.</w:t>
      </w:r>
    </w:p>
    <w:p>
      <w:pPr>
        <w:spacing w:after="0" w:line="50"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pro-rated annual director grant of time-based restricted stock units ("RSUs") under the 2025 Omnibus Incentive Plan, with such annual grant prorated based on service from June 29, 2026. The RSUs vest 100% on the first anniversary of the date of grant.</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new director grant of time-based restricted stock units ("RSUs") under the 2025 Omnibus Incentive Plan. The RSUs vest 100% on the first anniversary of the date of grant.</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This grant statement has been made for Michael MiQi Yang using the Issuer's CIK codes. An amendment will be filed for Mr. Yang upon receipt of his CIK filer codes from the SEC.</w:t>
      </w:r>
    </w:p>
    <w:p>
      <w:pPr>
        <w:spacing w:after="0" w:line="7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Evan Pickering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258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Michael</w:t>
        <w:tab/>
        <w:t>07/01/2026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MiQi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927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49276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3" Type="http://schemas.openxmlformats.org/officeDocument/2006/relationships/hyperlink" Target="http://www.sec.gov/cgi-bin/browse-edgar?action=getcompany&amp;CIK=00014331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2026-07-01T17:04:09Z</dcterms:created>
  <dcterms:modified xsi:type="dcterms:W3CDTF">2026-07-01T17:04:09Z</dcterms:modified>
</cp:coreProperties>
</file>