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0" w:after="40"/>
        <w:jc w:val="center"/>
        <w:rPr/>
      </w:pPr>
      <w:r>
        <w:rPr>
          <w:color w:val="000000"/>
        </w:rPr>
        <w:t> </w:t>
      </w: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2025.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001-37468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bidi w:val="0"/>
        <w:spacing w:lineRule="auto" w:line="288" w:before="80" w:after="180"/>
        <w:jc w:val="center"/>
        <w:rPr/>
      </w:pPr>
      <w:r>
        <w:rPr>
          <w:color w:val="000000"/>
        </w:rPr>
        <w:t> </w:t>
      </w:r>
      <w:r>
        <w:rPr>
          <w:rFonts w:ascii="Times New Roman;sans-serif" w:hAnsi="Times New Roman;sans-serif"/>
          <w:b/>
          <w:color w:val="000000"/>
          <w:sz w:val="18"/>
        </w:rPr>
        <w:t xml:space="preserve">(805) 364-6093 </w:t>
      </w:r>
    </w:p>
    <w:p>
      <w:pPr>
        <w:pStyle w:val="TextBody"/>
        <w:bidi w:val="0"/>
        <w:spacing w:lineRule="auto" w:line="417" w:before="180" w:after="180"/>
        <w:jc w:val="center"/>
        <w:rPr>
          <w:rFonts w:ascii="Times New Roman;sans-serif" w:hAnsi="Times New Roman;sans-serif"/>
          <w:b/>
          <w:i/>
          <w:color w:val="000000"/>
          <w:sz w:val="18"/>
        </w:rPr>
      </w:pPr>
      <w:r>
        <w:rPr>
          <w:rFonts w:ascii="Times New Roman;sans-serif" w:hAnsi="Times New Roman;sans-serif"/>
          <w:b/>
          <w:i/>
          <w:color w:val="000000"/>
          <w:sz w:val="18"/>
        </w:rPr>
        <w:t>(Registrant’s telephone number, including area code)</w:t>
      </w:r>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180" w:after="180"/>
        <w:jc w:val="center"/>
        <w:rPr>
          <w:rFonts w:ascii="Times New Roman;sans-serif" w:hAnsi="Times New Roman;sans-serif"/>
          <w:b/>
          <w:i/>
          <w:color w:val="000000"/>
          <w:sz w:val="18"/>
        </w:rPr>
      </w:pPr>
      <w:r>
        <w:rPr>
          <w:rFonts w:ascii="Times New Roman;sans-serif" w:hAnsi="Times New Roman;sans-serif"/>
          <w:b/>
          <w:i/>
          <w:color w:val="000000"/>
          <w:sz w:val="18"/>
        </w:rPr>
        <w:t>(Former name, former address and former fiscal year, if changed since last report)</w:t>
      </w:r>
    </w:p>
    <w:p>
      <w:pPr>
        <w:pStyle w:val="TextBody"/>
        <w:bidi w:val="0"/>
        <w:spacing w:lineRule="auto" w:line="288" w:before="18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lineRule="auto" w:line="288" w:before="0" w:after="10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00" w:after="10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17, 2025, the number of shares of the registrant’s Class A common stock outstanding was 23,047,322 and the number of shares of the registrant’s Class B common stock outstanding was 12,981,324.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8"/>
        <w:gridCol w:w="2872"/>
        <w:gridCol w:w="2885"/>
        <w:gridCol w:w="109"/>
        <w:gridCol w:w="109"/>
        <w:gridCol w:w="109"/>
        <w:gridCol w:w="249"/>
        <w:gridCol w:w="249"/>
        <w:gridCol w:w="35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0">
              <w:r>
                <w:rPr>
                  <w:rStyle w:val="InternetLink"/>
                  <w:rFonts w:ascii="Times New Roman;sans-serif" w:hAnsi="Times New Roman;sans-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264ca4ffe79e47b0b03001bdc893d5c5_10">
              <w:r>
                <w:rPr>
                  <w:rStyle w:val="InternetLink"/>
                  <w:rFonts w:ascii="Times New Roman;sans-serif" w:hAnsi="Times New Roman;sans-serif"/>
                  <w:b w:val="false"/>
                  <w:color w:val="0000FF"/>
                  <w:sz w:val="20"/>
                  <w:u w:val="single"/>
                </w:rPr>
                <w:t>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3">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3">
              <w:r>
                <w:rPr>
                  <w:rStyle w:val="InternetLink"/>
                  <w:rFonts w:ascii="Times New Roman;sans-serif" w:hAnsi="Times New Roman;sans-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3">
              <w:r>
                <w:rPr>
                  <w:rStyle w:val="InternetLink"/>
                  <w:rFonts w:ascii="Times New Roman;sans-serif" w:hAnsi="Times New Roman;sans-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3">
              <w:r>
                <w:rPr>
                  <w:rStyle w:val="InternetLink"/>
                  <w:rFonts w:ascii="Times New Roman;sans-serif" w:hAnsi="Times New Roman;sans-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6">
              <w:r>
                <w:rPr>
                  <w:rStyle w:val="InternetLink"/>
                  <w:rFonts w:ascii="Times New Roman;sans-serif" w:hAnsi="Times New Roman;sans-serif"/>
                  <w:b w:val="false"/>
                  <w:color w:val="000080"/>
                  <w:sz w:val="20"/>
                  <w:u w:val="single"/>
                </w:rPr>
                <w:t xml:space="preserve">Condensed Consolidated Balance Sheets as of </w:t>
              </w:r>
            </w:hyperlink>
            <w:hyperlink w:anchor="i264ca4ffe79e47b0b03001bdc893d5c5_16">
              <w:r>
                <w:rPr>
                  <w:rStyle w:val="InternetLink"/>
                  <w:rFonts w:ascii="Times New Roman;sans-serif" w:hAnsi="Times New Roman;sans-serif"/>
                  <w:b w:val="false"/>
                  <w:color w:val="000080"/>
                  <w:sz w:val="20"/>
                  <w:u w:val="single"/>
                </w:rPr>
                <w:t>March</w:t>
              </w:r>
            </w:hyperlink>
            <w:hyperlink w:anchor="i264ca4ffe79e47b0b03001bdc893d5c5_16">
              <w:r>
                <w:rPr>
                  <w:rStyle w:val="InternetLink"/>
                  <w:rFonts w:ascii="Times New Roman;sans-serif" w:hAnsi="Times New Roman;sans-serif"/>
                  <w:b w:val="false"/>
                  <w:color w:val="000080"/>
                  <w:sz w:val="20"/>
                  <w:u w:val="single"/>
                </w:rPr>
                <w:t xml:space="preserve"> 3</w:t>
              </w:r>
            </w:hyperlink>
            <w:hyperlink w:anchor="i264ca4ffe79e47b0b03001bdc893d5c5_16">
              <w:r>
                <w:rPr>
                  <w:rStyle w:val="InternetLink"/>
                  <w:rFonts w:ascii="Times New Roman;sans-serif" w:hAnsi="Times New Roman;sans-serif"/>
                  <w:b w:val="false"/>
                  <w:color w:val="000080"/>
                  <w:sz w:val="20"/>
                  <w:u w:val="single"/>
                </w:rPr>
                <w:t>1</w:t>
              </w:r>
            </w:hyperlink>
            <w:hyperlink w:anchor="i264ca4ffe79e47b0b03001bdc893d5c5_16">
              <w:r>
                <w:rPr>
                  <w:rStyle w:val="InternetLink"/>
                  <w:rFonts w:ascii="Times New Roman;sans-serif" w:hAnsi="Times New Roman;sans-serif"/>
                  <w:b w:val="false"/>
                  <w:color w:val="000080"/>
                  <w:sz w:val="20"/>
                  <w:u w:val="single"/>
                </w:rPr>
                <w:t>, 202</w:t>
              </w:r>
            </w:hyperlink>
            <w:hyperlink w:anchor="i264ca4ffe79e47b0b03001bdc893d5c5_16">
              <w:r>
                <w:rPr>
                  <w:rStyle w:val="InternetLink"/>
                  <w:rFonts w:ascii="Times New Roman;sans-serif" w:hAnsi="Times New Roman;sans-serif"/>
                  <w:b w:val="false"/>
                  <w:color w:val="000080"/>
                  <w:sz w:val="20"/>
                  <w:u w:val="single"/>
                </w:rPr>
                <w:t>5</w:t>
              </w:r>
            </w:hyperlink>
            <w:hyperlink w:anchor="i264ca4ffe79e47b0b03001bdc893d5c5_16">
              <w:r>
                <w:rPr>
                  <w:rStyle w:val="InternetLink"/>
                  <w:rFonts w:ascii="Times New Roman;sans-serif" w:hAnsi="Times New Roman;sans-serif"/>
                  <w:b w:val="false"/>
                  <w:color w:val="000080"/>
                  <w:sz w:val="20"/>
                  <w:u w:val="single"/>
                </w:rPr>
                <w:t xml:space="preserve"> and December 31, 202</w:t>
              </w:r>
            </w:hyperlink>
            <w:hyperlink w:anchor="i264ca4ffe79e47b0b03001bdc893d5c5_16">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6">
              <w:r>
                <w:rPr>
                  <w:rStyle w:val="InternetLink"/>
                  <w:rFonts w:ascii="Times New Roman;sans-serif" w:hAnsi="Times New Roman;sans-serif"/>
                  <w:b w:val="false"/>
                  <w:color w:val="0000FF"/>
                  <w:sz w:val="20"/>
                  <w:u w:val="single"/>
                </w:rPr>
                <w:t>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264ca4ffe79e47b0b03001bdc893d5c5_19">
              <w:r>
                <w:rPr>
                  <w:rStyle w:val="InternetLink"/>
                  <w:rFonts w:ascii="Times New Roman;sans-serif" w:hAnsi="Times New Roman;sans-serif"/>
                  <w:b w:val="false"/>
                  <w:color w:val="000080"/>
                  <w:sz w:val="20"/>
                  <w:u w:val="single"/>
                </w:rPr>
                <w:t xml:space="preserve">Months Ended </w:t>
              </w:r>
            </w:hyperlink>
            <w:hyperlink w:anchor="i264ca4ffe79e47b0b03001bdc893d5c5_19">
              <w:r>
                <w:rPr>
                  <w:rStyle w:val="InternetLink"/>
                  <w:rFonts w:ascii="Times New Roman;sans-serif" w:hAnsi="Times New Roman;sans-serif"/>
                  <w:b w:val="false"/>
                  <w:color w:val="000080"/>
                  <w:sz w:val="20"/>
                  <w:u w:val="single"/>
                </w:rPr>
                <w:t>March 31</w:t>
              </w:r>
            </w:hyperlink>
            <w:hyperlink w:anchor="i264ca4ffe79e47b0b03001bdc893d5c5_19">
              <w:r>
                <w:rPr>
                  <w:rStyle w:val="InternetLink"/>
                  <w:rFonts w:ascii="Times New Roman;sans-serif" w:hAnsi="Times New Roman;sans-serif"/>
                  <w:b w:val="false"/>
                  <w:color w:val="000080"/>
                  <w:sz w:val="20"/>
                  <w:u w:val="single"/>
                </w:rPr>
                <w:t>, 202</w:t>
              </w:r>
            </w:hyperlink>
            <w:hyperlink w:anchor="i264ca4ffe79e47b0b03001bdc893d5c5_19">
              <w:r>
                <w:rPr>
                  <w:rStyle w:val="InternetLink"/>
                  <w:rFonts w:ascii="Times New Roman;sans-serif" w:hAnsi="Times New Roman;sans-serif"/>
                  <w:b w:val="false"/>
                  <w:color w:val="000080"/>
                  <w:sz w:val="20"/>
                  <w:u w:val="single"/>
                </w:rPr>
                <w:t>5</w:t>
              </w:r>
            </w:hyperlink>
            <w:hyperlink w:anchor="i264ca4ffe79e47b0b03001bdc893d5c5_19">
              <w:r>
                <w:rPr>
                  <w:rStyle w:val="InternetLink"/>
                  <w:rFonts w:ascii="Times New Roman;sans-serif" w:hAnsi="Times New Roman;sans-serif"/>
                  <w:b w:val="false"/>
                  <w:color w:val="000080"/>
                  <w:sz w:val="20"/>
                  <w:u w:val="single"/>
                </w:rPr>
                <w:t xml:space="preserve"> and 202</w:t>
              </w:r>
            </w:hyperlink>
            <w:hyperlink w:anchor="i264ca4ffe79e47b0b03001bdc893d5c5_19">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9">
              <w:r>
                <w:rPr>
                  <w:rStyle w:val="InternetLink"/>
                  <w:rFonts w:ascii="Times New Roman;sans-serif" w:hAnsi="Times New Roman;sans-serif"/>
                  <w:b w:val="false"/>
                  <w:color w:val="0000FF"/>
                  <w:sz w:val="20"/>
                  <w:u w:val="single"/>
                </w:rPr>
                <w:t>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22">
              <w:r>
                <w:rPr>
                  <w:rStyle w:val="InternetLink"/>
                  <w:rFonts w:ascii="Times New Roman;sans-serif" w:hAnsi="Times New Roman;sans-serif"/>
                  <w:b w:val="false"/>
                  <w:color w:val="000080"/>
                  <w:sz w:val="20"/>
                  <w:u w:val="single"/>
                </w:rPr>
                <w:t xml:space="preserve">Condensed Consolidated Statements of Comprehensive Income (Loss) for the </w:t>
              </w:r>
            </w:hyperlink>
            <w:hyperlink w:anchor="i264ca4ffe79e47b0b03001bdc893d5c5_19">
              <w:r>
                <w:rPr>
                  <w:rStyle w:val="InternetLink"/>
                  <w:rFonts w:ascii="Times New Roman;sans-serif" w:hAnsi="Times New Roman;sans-serif"/>
                  <w:b w:val="false"/>
                  <w:color w:val="000080"/>
                  <w:sz w:val="20"/>
                  <w:u w:val="single"/>
                </w:rPr>
                <w:t xml:space="preserve">Three </w:t>
              </w:r>
            </w:hyperlink>
            <w:hyperlink w:anchor="i264ca4ffe79e47b0b03001bdc893d5c5_19">
              <w:r>
                <w:rPr>
                  <w:rStyle w:val="InternetLink"/>
                  <w:rFonts w:ascii="Times New Roman;sans-serif" w:hAnsi="Times New Roman;sans-serif"/>
                  <w:b w:val="false"/>
                  <w:color w:val="000080"/>
                  <w:sz w:val="20"/>
                  <w:u w:val="single"/>
                </w:rPr>
                <w:t xml:space="preserve">Months Ended </w:t>
              </w:r>
            </w:hyperlink>
            <w:hyperlink w:anchor="i264ca4ffe79e47b0b03001bdc893d5c5_19">
              <w:r>
                <w:rPr>
                  <w:rStyle w:val="InternetLink"/>
                  <w:rFonts w:ascii="Times New Roman;sans-serif" w:hAnsi="Times New Roman;sans-serif"/>
                  <w:b w:val="false"/>
                  <w:color w:val="000080"/>
                  <w:sz w:val="20"/>
                  <w:u w:val="single"/>
                </w:rPr>
                <w:t>March 31,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22">
              <w:r>
                <w:rPr>
                  <w:rStyle w:val="InternetLink"/>
                  <w:rFonts w:ascii="Times New Roman;sans-serif" w:hAnsi="Times New Roman;sans-serif"/>
                  <w:b w:val="false"/>
                  <w:color w:val="0000FF"/>
                  <w:sz w:val="20"/>
                  <w:u w:val="single"/>
                </w:rPr>
                <w:t>5</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25">
              <w:r>
                <w:rPr>
                  <w:rStyle w:val="InternetLink"/>
                  <w:rFonts w:ascii="Times New Roman;sans-serif" w:hAnsi="Times New Roman;sans-serif"/>
                  <w:b w:val="false"/>
                  <w:color w:val="000080"/>
                  <w:sz w:val="20"/>
                  <w:u w:val="single"/>
                </w:rPr>
                <w:t xml:space="preserve">Condensed Consolidated Statements of Stockholders' Equity for the </w:t>
              </w:r>
            </w:hyperlink>
            <w:hyperlink w:anchor="i264ca4ffe79e47b0b03001bdc893d5c5_19">
              <w:r>
                <w:rPr>
                  <w:rStyle w:val="InternetLink"/>
                  <w:rFonts w:ascii="Times New Roman;sans-serif" w:hAnsi="Times New Roman;sans-serif"/>
                  <w:b w:val="false"/>
                  <w:color w:val="000080"/>
                  <w:sz w:val="20"/>
                  <w:u w:val="single"/>
                </w:rPr>
                <w:t>Three Months Ended March 31,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25">
              <w:r>
                <w:rPr>
                  <w:rStyle w:val="InternetLink"/>
                  <w:rFonts w:ascii="Times New Roman;sans-serif" w:hAnsi="Times New Roman;sans-serif"/>
                  <w:b w:val="false"/>
                  <w:color w:val="0000FF"/>
                  <w:sz w:val="20"/>
                  <w:u w:val="single"/>
                </w:rPr>
                <w:t>6</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28">
              <w:r>
                <w:rPr>
                  <w:rStyle w:val="InternetLink"/>
                  <w:rFonts w:ascii="Times New Roman;sans-serif" w:hAnsi="Times New Roman;sans-serif"/>
                  <w:b w:val="false"/>
                  <w:color w:val="000080"/>
                  <w:sz w:val="20"/>
                  <w:u w:val="single"/>
                </w:rPr>
                <w:t xml:space="preserve">Condensed Consolidated Statements of Cash Flows for the </w:t>
              </w:r>
            </w:hyperlink>
            <w:hyperlink w:anchor="i264ca4ffe79e47b0b03001bdc893d5c5_28">
              <w:r>
                <w:rPr>
                  <w:rStyle w:val="InternetLink"/>
                  <w:rFonts w:ascii="Times New Roman;sans-serif" w:hAnsi="Times New Roman;sans-serif"/>
                  <w:b w:val="false"/>
                  <w:color w:val="000080"/>
                  <w:sz w:val="20"/>
                  <w:u w:val="single"/>
                </w:rPr>
                <w:t>Three</w:t>
              </w:r>
            </w:hyperlink>
            <w:hyperlink w:anchor="i264ca4ffe79e47b0b03001bdc893d5c5_28">
              <w:r>
                <w:rPr>
                  <w:rStyle w:val="InternetLink"/>
                  <w:rFonts w:ascii="Times New Roman;sans-serif" w:hAnsi="Times New Roman;sans-serif"/>
                  <w:b w:val="false"/>
                  <w:color w:val="000080"/>
                  <w:sz w:val="20"/>
                  <w:u w:val="single"/>
                </w:rPr>
                <w:t xml:space="preserve"> Months Ended </w:t>
              </w:r>
            </w:hyperlink>
            <w:hyperlink w:anchor="i264ca4ffe79e47b0b03001bdc893d5c5_19">
              <w:r>
                <w:rPr>
                  <w:rStyle w:val="InternetLink"/>
                  <w:rFonts w:ascii="Times New Roman;sans-serif" w:hAnsi="Times New Roman;sans-serif"/>
                  <w:b w:val="false"/>
                  <w:color w:val="000080"/>
                  <w:sz w:val="20"/>
                  <w:u w:val="single"/>
                </w:rPr>
                <w:t>March 31,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28">
              <w:r>
                <w:rPr>
                  <w:rStyle w:val="InternetLink"/>
                  <w:rFonts w:ascii="Times New Roman;sans-serif" w:hAnsi="Times New Roman;sans-serif"/>
                  <w:b w:val="false"/>
                  <w:color w:val="0000FF"/>
                  <w:sz w:val="20"/>
                  <w:u w:val="single"/>
                </w:rPr>
                <w:t>7</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31">
              <w:r>
                <w:rPr>
                  <w:rStyle w:val="InternetLink"/>
                  <w:rFonts w:ascii="Times New Roman;sans-serif" w:hAnsi="Times New Roman;sans-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31">
              <w:r>
                <w:rPr>
                  <w:rStyle w:val="InternetLink"/>
                  <w:rFonts w:ascii="Times New Roman;sans-serif" w:hAnsi="Times New Roman;sans-serif"/>
                  <w:b w:val="false"/>
                  <w:color w:val="0000FF"/>
                  <w:sz w:val="20"/>
                  <w:u w:val="single"/>
                </w:rPr>
                <w:t>8</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76">
              <w:r>
                <w:rPr>
                  <w:rStyle w:val="InternetLink"/>
                  <w:rFonts w:ascii="Times New Roman;sans-serif" w:hAnsi="Times New Roman;sans-serif"/>
                  <w:b w:val="false"/>
                  <w:color w:val="0000FF"/>
                  <w:sz w:val="20"/>
                  <w:u w:val="single"/>
                </w:rPr>
                <w:t>14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94">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94">
              <w:r>
                <w:rPr>
                  <w:rStyle w:val="InternetLink"/>
                  <w:rFonts w:ascii="Times New Roman;sans-serif" w:hAnsi="Times New Roman;sans-serif"/>
                  <w:b w:val="false"/>
                  <w:color w:val="0000FF"/>
                  <w:sz w:val="20"/>
                  <w:u w:val="single"/>
                </w:rPr>
                <w:t>20</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97">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97">
              <w:r>
                <w:rPr>
                  <w:rStyle w:val="InternetLink"/>
                  <w:rFonts w:ascii="Times New Roman;sans-serif" w:hAnsi="Times New Roman;sans-serif"/>
                  <w:b w:val="false"/>
                  <w:color w:val="0000FF"/>
                  <w:sz w:val="20"/>
                  <w:u w:val="single"/>
                </w:rPr>
                <w:t>20</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00">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00">
              <w:r>
                <w:rPr>
                  <w:rStyle w:val="InternetLink"/>
                  <w:rFonts w:ascii="Times New Roman;sans-serif" w:hAnsi="Times New Roman;sans-serif"/>
                  <w:b w:val="false"/>
                  <w:color w:val="0000FF"/>
                  <w:sz w:val="20"/>
                  <w:u w:val="single"/>
                </w:rPr>
                <w:t>21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03">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03">
              <w:r>
                <w:rPr>
                  <w:rStyle w:val="InternetLink"/>
                  <w:rFonts w:ascii="Times New Roman;sans-serif" w:hAnsi="Times New Roman;sans-serif"/>
                  <w:b w:val="false"/>
                  <w:color w:val="0000FF"/>
                  <w:sz w:val="20"/>
                  <w:u w:val="single"/>
                </w:rPr>
                <w:t>21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06">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06">
              <w:r>
                <w:rPr>
                  <w:rStyle w:val="InternetLink"/>
                  <w:rFonts w:ascii="Times New Roman;sans-serif" w:hAnsi="Times New Roman;sans-serif"/>
                  <w:b w:val="false"/>
                  <w:color w:val="0000FF"/>
                  <w:sz w:val="20"/>
                  <w:u w:val="single"/>
                </w:rPr>
                <w:t>21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973">
              <w:r>
                <w:rPr>
                  <w:rStyle w:val="InternetLink"/>
                  <w:rFonts w:ascii="Times New Roman;sans-serif" w:hAnsi="Times New Roman;sans-serif"/>
                  <w:b w:val="false"/>
                  <w:color w:val="000080"/>
                  <w:sz w:val="20"/>
                  <w:u w:val="single"/>
                </w:rPr>
                <w:t xml:space="preserve">Item 2. </w:t>
              </w:r>
            </w:hyperlink>
            <w:hyperlink w:anchor="i264ca4ffe79e47b0b03001bdc893d5c5_973">
              <w:r>
                <w:rPr>
                  <w:rStyle w:val="InternetLink"/>
                  <w:rFonts w:ascii="Times New Roman;sans-serif" w:hAnsi="Times New Roman;sans-serif"/>
                  <w:b w:val="false"/>
                  <w:color w:val="000080"/>
                  <w:sz w:val="20"/>
                  <w:u w:val="single"/>
                </w:rPr>
                <w:t>Unregistered Sales of Equity Securities</w:t>
              </w:r>
            </w:hyperlink>
            <w:hyperlink w:anchor="i264ca4ffe79e47b0b03001bdc893d5c5_973">
              <w:r>
                <w:rPr>
                  <w:rStyle w:val="InternetLink"/>
                  <w:rFonts w:ascii="Times New Roman;sans-serif" w:hAnsi="Times New Roman;sans-serif"/>
                  <w:b w:val="false"/>
                  <w:color w:val="000080"/>
                  <w:sz w:val="20"/>
                  <w:u w:val="single"/>
                </w:rPr>
                <w:t xml:space="preserve"> and </w:t>
              </w:r>
            </w:hyperlink>
            <w:hyperlink w:anchor="i264ca4ffe79e47b0b03001bdc893d5c5_973">
              <w:r>
                <w:rPr>
                  <w:rStyle w:val="InternetLink"/>
                  <w:rFonts w:ascii="Times New Roman;sans-serif" w:hAnsi="Times New Roman;sans-serif"/>
                  <w:b w:val="false"/>
                  <w:color w:val="000080"/>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973">
              <w:r>
                <w:rPr>
                  <w:rStyle w:val="InternetLink"/>
                  <w:rFonts w:ascii="Times New Roman;sans-serif" w:hAnsi="Times New Roman;sans-serif"/>
                  <w:b w:val="false"/>
                  <w:color w:val="0000FF"/>
                  <w:sz w:val="20"/>
                  <w:u w:val="single"/>
                </w:rPr>
                <w:t>21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841e158bfb4961b81d20f1dde962fd_36">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09">
              <w:r>
                <w:rPr>
                  <w:rStyle w:val="InternetLink"/>
                  <w:rFonts w:ascii="Times New Roman;sans-serif" w:hAnsi="Times New Roman;sans-serif"/>
                  <w:b w:val="false"/>
                  <w:color w:val="0000FF"/>
                  <w:sz w:val="20"/>
                  <w:u w:val="single"/>
                </w:rPr>
                <w:t>22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15">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4ca4ffe79e47b0b03001bdc893d5c5_115">
              <w:r>
                <w:rPr>
                  <w:rStyle w:val="InternetLink"/>
                  <w:rFonts w:ascii="Times New Roman;sans-serif" w:hAnsi="Times New Roman;sans-serif"/>
                  <w:b w:val="false"/>
                  <w:color w:val="0000FF"/>
                  <w:sz w:val="20"/>
                  <w:u w:val="single"/>
                </w:rPr>
                <w:t>22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4ca4ffe79e47b0b03001bdc893d5c5_118">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This Quarterly Report on Form 10-Q for the fiscal quarter ended March 31, 2025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w:t>
      </w:r>
      <w:r>
        <w:rPr>
          <w:rFonts w:ascii="Times New Roman;sans-serif" w:hAnsi="Times New Roman;sans-serif"/>
          <w:b w:val="false"/>
          <w:color w:val="000000"/>
          <w:sz w:val="20"/>
          <w:shd w:fill="FFFFFF" w:val="clear"/>
        </w:rPr>
        <w:t>Forward-looking statements include all statements that are not statements of historical fact.</w:t>
      </w:r>
      <w:r>
        <w:rPr>
          <w:color w:val="1E2430"/>
          <w:shd w:fill="FFFFFF" w:val="clear"/>
        </w:rPr>
        <w:t xml:space="preserve"> </w:t>
      </w:r>
      <w:r>
        <w:rPr>
          <w:rFonts w:ascii="Times New Roman;sans-serif" w:hAnsi="Times New Roman;sans-serif"/>
          <w:b w:val="false"/>
          <w:color w:val="000000"/>
          <w:sz w:val="20"/>
        </w:rPr>
        <w:t>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and "Risk Factors" in this Quarterly Report and "Risk Factors" in our Annual Report on Form 10-K for the fiscal year ended December 31, 2024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464" w:type="dxa"/>
        <w:jc w:val="center"/>
        <w:tblInd w:w="0" w:type="dxa"/>
        <w:tblLayout w:type="fixed"/>
        <w:tblCellMar>
          <w:top w:w="28" w:type="dxa"/>
          <w:left w:w="28" w:type="dxa"/>
          <w:bottom w:w="28" w:type="dxa"/>
          <w:right w:w="28" w:type="dxa"/>
        </w:tblCellMar>
      </w:tblPr>
      <w:tblGrid>
        <w:gridCol w:w="1298"/>
        <w:gridCol w:w="1137"/>
        <w:gridCol w:w="1149"/>
        <w:gridCol w:w="109"/>
        <w:gridCol w:w="109"/>
        <w:gridCol w:w="109"/>
        <w:gridCol w:w="196"/>
        <w:gridCol w:w="736"/>
        <w:gridCol w:w="109"/>
        <w:gridCol w:w="109"/>
        <w:gridCol w:w="109"/>
        <w:gridCol w:w="109"/>
        <w:gridCol w:w="214"/>
        <w:gridCol w:w="803"/>
        <w:gridCol w:w="168"/>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63,280 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519,290 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626,678 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8305" w:type="dxa"/>
        <w:jc w:val="left"/>
        <w:tblInd w:w="0" w:type="dxa"/>
        <w:tblLayout w:type="fixed"/>
        <w:tblCellMar>
          <w:top w:w="28" w:type="dxa"/>
          <w:left w:w="28" w:type="dxa"/>
          <w:bottom w:w="28" w:type="dxa"/>
          <w:right w:w="28" w:type="dxa"/>
        </w:tblCellMar>
      </w:tblPr>
      <w:tblGrid>
        <w:gridCol w:w="1877"/>
        <w:gridCol w:w="1659"/>
        <w:gridCol w:w="1669"/>
        <w:gridCol w:w="211"/>
        <w:gridCol w:w="826"/>
        <w:gridCol w:w="109"/>
        <w:gridCol w:w="109"/>
        <w:gridCol w:w="109"/>
        <w:gridCol w:w="109"/>
        <w:gridCol w:w="211"/>
        <w:gridCol w:w="826"/>
        <w:gridCol w:w="109"/>
        <w:gridCol w:w="109"/>
        <w:gridCol w:w="109"/>
        <w:gridCol w:w="109"/>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 (exclusive of depreciation and amortization)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product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from)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bl>
      <w:tblPr>
        <w:tblW w:w="9324" w:type="dxa"/>
        <w:jc w:val="left"/>
        <w:tblInd w:w="0" w:type="dxa"/>
        <w:tblLayout w:type="fixed"/>
        <w:tblCellMar>
          <w:top w:w="28" w:type="dxa"/>
          <w:left w:w="28" w:type="dxa"/>
          <w:bottom w:w="28" w:type="dxa"/>
          <w:right w:w="28" w:type="dxa"/>
        </w:tblCellMar>
      </w:tblPr>
      <w:tblGrid>
        <w:gridCol w:w="2332"/>
        <w:gridCol w:w="2046"/>
        <w:gridCol w:w="2056"/>
        <w:gridCol w:w="211"/>
        <w:gridCol w:w="721"/>
        <w:gridCol w:w="109"/>
        <w:gridCol w:w="109"/>
        <w:gridCol w:w="109"/>
        <w:gridCol w:w="109"/>
        <w:gridCol w:w="211"/>
        <w:gridCol w:w="721"/>
        <w:gridCol w:w="109"/>
        <w:gridCol w:w="109"/>
        <w:gridCol w:w="109"/>
        <w:gridCol w:w="109"/>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60" w:after="283"/>
        <w:jc w:val="left"/>
        <w:rPr/>
      </w:pPr>
      <w:r>
        <w:rPr/>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8455" w:type="dxa"/>
        <w:jc w:val="center"/>
        <w:tblInd w:w="0" w:type="dxa"/>
        <w:tblLayout w:type="fixed"/>
        <w:tblCellMar>
          <w:top w:w="28" w:type="dxa"/>
          <w:left w:w="28" w:type="dxa"/>
          <w:bottom w:w="28" w:type="dxa"/>
          <w:right w:w="28" w:type="dxa"/>
        </w:tblCellMar>
      </w:tblPr>
      <w:tblGrid>
        <w:gridCol w:w="2015"/>
        <w:gridCol w:w="1766"/>
        <w:gridCol w:w="1784"/>
        <w:gridCol w:w="211"/>
        <w:gridCol w:w="721"/>
        <w:gridCol w:w="109"/>
        <w:gridCol w:w="109"/>
        <w:gridCol w:w="109"/>
        <w:gridCol w:w="109"/>
        <w:gridCol w:w="211"/>
        <w:gridCol w:w="721"/>
        <w:gridCol w:w="109"/>
        <w:gridCol w:w="109"/>
        <w:gridCol w:w="109"/>
        <w:gridCol w:w="109"/>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losses on investment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60" w:after="283"/>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308" w:type="dxa"/>
        <w:jc w:val="left"/>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7"/>
        <w:gridCol w:w="704"/>
        <w:gridCol w:w="185"/>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on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276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0"/>
        <w:gridCol w:w="715"/>
        <w:gridCol w:w="181"/>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2078"/>
        <w:gridCol w:w="1689"/>
        <w:gridCol w:w="1703"/>
        <w:gridCol w:w="373"/>
        <w:gridCol w:w="1233"/>
        <w:gridCol w:w="207"/>
        <w:gridCol w:w="207"/>
        <w:gridCol w:w="207"/>
        <w:gridCol w:w="207"/>
        <w:gridCol w:w="373"/>
        <w:gridCol w:w="1233"/>
        <w:gridCol w:w="207"/>
        <w:gridCol w:w="109"/>
        <w:gridCol w:w="109"/>
        <w:gridCol w:w="109"/>
        <w:gridCol w:w="161"/>
      </w:tblGrid>
      <w:tr>
        <w:trPr/>
        <w:tc>
          <w:tcPr>
            <w:tcW w:w="20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31,383 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capitalized to obtain revenue contracts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(57,162)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102,718 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paid in business acquisition, net of cash acquired</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80,794 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(104,830)</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consolidated statements of cash flows</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included in operating cash flows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1. Nature of Business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2. Summary of Significant Accounting Policies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Significant Accounting Policies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6, 2025.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2025 are not necessarily indicative of the results expected for the full year ending December 31, 2025.</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Condensed Consolidated Statements of Cash Flows within the cash flows from operating activities section in the prior year to conform to the current year's presentation.</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the fair value of financial instruments, useful lives of property and equipment and intangible assets, capitalized software development costs, incremental borrowing rate applied in lease accounting, impairment of goodwill and long-lived assets, the period of benefit associated with deferred costs, stock-based compensation, income taxes, and contingencies. Actual results could differ from those estimates and any such differences may have a material impact on our Consolidated Financial Statements.</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Segment Information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three months ended March 31, 2025 and 2024, refer to our Condensed Consolidated Statements of Operations. Stock-based compensation expense is also recognized as a significant segment expense. Details regarding this expense for the three months ended March 31, 2025 and 2024 was included in the parenthetical note to the respective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Costs </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Deferred costs were $17.4 million and $16.8 million as of March 31, 2025 and December 31, 2024, respectively, of which $9.1 million and $9.9 million, respectively, are 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 xml:space="preserve">and $8.2 million and $6.9 million, respectively, are included in </w:t>
      </w:r>
      <w:r>
        <w:rPr>
          <w:rFonts w:ascii="Times New Roman;sans-serif" w:hAnsi="Times New Roman;sans-serif"/>
          <w:b w:val="false"/>
          <w:i/>
          <w:color w:val="000000"/>
          <w:sz w:val="20"/>
        </w:rPr>
        <w:t>Other long-term assets</w:t>
      </w:r>
      <w:r>
        <w:rPr>
          <w:color w:val="000000"/>
        </w:rPr>
        <w:t xml:space="preserve"> </w:t>
      </w:r>
      <w:r>
        <w:rPr>
          <w:rFonts w:ascii="Times New Roman;sans-serif" w:hAnsi="Times New Roman;sans-serif"/>
          <w:b w:val="false"/>
          <w:color w:val="000000"/>
          <w:sz w:val="20"/>
        </w:rPr>
        <w:t>in the accompanying Condensed Consolidated Balance Sheets. Amortization expense for deferred costs was $2.7 million, $2.5 million for the three months ended March 31, 2025 and 2024, respectively. For the three months ended March 31, 2025 and 2024, no impairments were identified in relation to the costs capitalized for the periods presented.</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per Common Share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tbl>
      <w:tblPr>
        <w:tblW w:w="8814" w:type="dxa"/>
        <w:jc w:val="center"/>
        <w:tblInd w:w="0" w:type="dxa"/>
        <w:tblLayout w:type="fixed"/>
        <w:tblCellMar>
          <w:top w:w="28" w:type="dxa"/>
          <w:left w:w="28" w:type="dxa"/>
          <w:bottom w:w="28" w:type="dxa"/>
          <w:right w:w="28" w:type="dxa"/>
        </w:tblCellMar>
      </w:tblPr>
      <w:tblGrid>
        <w:gridCol w:w="2143"/>
        <w:gridCol w:w="1882"/>
        <w:gridCol w:w="1899"/>
        <w:gridCol w:w="211"/>
        <w:gridCol w:w="721"/>
        <w:gridCol w:w="109"/>
        <w:gridCol w:w="109"/>
        <w:gridCol w:w="109"/>
        <w:gridCol w:w="109"/>
        <w:gridCol w:w="211"/>
        <w:gridCol w:w="721"/>
        <w:gridCol w:w="109"/>
        <w:gridCol w:w="109"/>
        <w:gridCol w:w="109"/>
        <w:gridCol w:w="109"/>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Basic 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earnings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basic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Diluted net income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options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restricted stock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that are not included in the calculation of diluted net income per share because doing so would be antidilutive are as follows (in thousands):</w:t>
      </w:r>
    </w:p>
    <w:tbl>
      <w:tblPr>
        <w:tblW w:w="5317" w:type="dxa"/>
        <w:jc w:val="left"/>
        <w:tblInd w:w="0" w:type="dxa"/>
        <w:tblLayout w:type="fixed"/>
        <w:tblCellMar>
          <w:top w:w="28" w:type="dxa"/>
          <w:left w:w="28" w:type="dxa"/>
          <w:bottom w:w="28" w:type="dxa"/>
          <w:right w:w="28" w:type="dxa"/>
        </w:tblCellMar>
      </w:tblPr>
      <w:tblGrid>
        <w:gridCol w:w="1114"/>
        <w:gridCol w:w="978"/>
        <w:gridCol w:w="982"/>
        <w:gridCol w:w="203"/>
        <w:gridCol w:w="203"/>
        <w:gridCol w:w="178"/>
        <w:gridCol w:w="178"/>
        <w:gridCol w:w="178"/>
        <w:gridCol w:w="178"/>
        <w:gridCol w:w="233"/>
        <w:gridCol w:w="233"/>
        <w:gridCol w:w="178"/>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potentially dilutive securities</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3. Investment Securities and Fair Value Measurements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as of March 31, 2025 and December 31, 2024 (in thousands):</w:t>
      </w:r>
    </w:p>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91"/>
        <w:gridCol w:w="842"/>
        <w:gridCol w:w="256"/>
        <w:gridCol w:w="109"/>
        <w:gridCol w:w="109"/>
        <w:gridCol w:w="109"/>
        <w:gridCol w:w="488"/>
        <w:gridCol w:w="870"/>
        <w:gridCol w:w="254"/>
        <w:gridCol w:w="109"/>
        <w:gridCol w:w="109"/>
        <w:gridCol w:w="109"/>
        <w:gridCol w:w="278"/>
        <w:gridCol w:w="1091"/>
        <w:gridCol w:w="211"/>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25"/>
        <w:gridCol w:w="943"/>
        <w:gridCol w:w="222"/>
        <w:gridCol w:w="109"/>
        <w:gridCol w:w="109"/>
        <w:gridCol w:w="109"/>
        <w:gridCol w:w="488"/>
        <w:gridCol w:w="870"/>
        <w:gridCol w:w="254"/>
        <w:gridCol w:w="109"/>
        <w:gridCol w:w="109"/>
        <w:gridCol w:w="109"/>
        <w:gridCol w:w="278"/>
        <w:gridCol w:w="1091"/>
        <w:gridCol w:w="210"/>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March 31, 2025 or December 31, 2024.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285"/>
        <w:gridCol w:w="1132"/>
        <w:gridCol w:w="1102"/>
        <w:gridCol w:w="227"/>
        <w:gridCol w:w="890"/>
        <w:gridCol w:w="117"/>
        <w:gridCol w:w="109"/>
        <w:gridCol w:w="109"/>
        <w:gridCol w:w="109"/>
        <w:gridCol w:w="292"/>
        <w:gridCol w:w="1149"/>
        <w:gridCol w:w="151"/>
        <w:gridCol w:w="109"/>
        <w:gridCol w:w="109"/>
        <w:gridCol w:w="109"/>
        <w:gridCol w:w="227"/>
        <w:gridCol w:w="890"/>
        <w:gridCol w:w="117"/>
        <w:gridCol w:w="109"/>
        <w:gridCol w:w="109"/>
        <w:gridCol w:w="109"/>
        <w:gridCol w:w="290"/>
        <w:gridCol w:w="1137"/>
        <w:gridCol w:w="218"/>
      </w:tblGrid>
      <w:tr>
        <w:trPr/>
        <w:tc>
          <w:tcPr>
            <w:tcW w:w="128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had sales and maturities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46"/>
        <w:gridCol w:w="831"/>
        <w:gridCol w:w="834"/>
        <w:gridCol w:w="424"/>
        <w:gridCol w:w="727"/>
        <w:gridCol w:w="220"/>
        <w:gridCol w:w="109"/>
        <w:gridCol w:w="109"/>
        <w:gridCol w:w="109"/>
        <w:gridCol w:w="496"/>
        <w:gridCol w:w="639"/>
        <w:gridCol w:w="258"/>
        <w:gridCol w:w="109"/>
        <w:gridCol w:w="109"/>
        <w:gridCol w:w="109"/>
        <w:gridCol w:w="330"/>
        <w:gridCol w:w="1293"/>
        <w:gridCol w:w="170"/>
        <w:gridCol w:w="109"/>
        <w:gridCol w:w="109"/>
        <w:gridCol w:w="109"/>
        <w:gridCol w:w="398"/>
        <w:gridCol w:w="1361"/>
        <w:gridCol w:w="29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63"/>
        <w:gridCol w:w="846"/>
        <w:gridCol w:w="848"/>
        <w:gridCol w:w="405"/>
        <w:gridCol w:w="780"/>
        <w:gridCol w:w="208"/>
        <w:gridCol w:w="109"/>
        <w:gridCol w:w="109"/>
        <w:gridCol w:w="109"/>
        <w:gridCol w:w="411"/>
        <w:gridCol w:w="792"/>
        <w:gridCol w:w="212"/>
        <w:gridCol w:w="109"/>
        <w:gridCol w:w="109"/>
        <w:gridCol w:w="109"/>
        <w:gridCol w:w="485"/>
        <w:gridCol w:w="933"/>
        <w:gridCol w:w="253"/>
        <w:gridCol w:w="109"/>
        <w:gridCol w:w="109"/>
        <w:gridCol w:w="109"/>
        <w:gridCol w:w="404"/>
        <w:gridCol w:w="1381"/>
        <w:gridCol w:w="303"/>
      </w:tblGrid>
      <w:tr>
        <w:trPr/>
        <w:tc>
          <w:tcPr>
            <w:tcW w:w="9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5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r>
      <w:tr>
        <w:trPr/>
        <w:tc>
          <w:tcPr>
            <w:tcW w:w="265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36,670 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The tables above do not include our non-marketable debt securities of $2.0 million, which are recorded in </w:t>
      </w:r>
      <w:r>
        <w:rPr>
          <w:rFonts w:ascii="Times New Roman;sans-serif" w:hAnsi="Times New Roman;sans-serif"/>
          <w:b w:val="false"/>
          <w:i/>
          <w:color w:val="000000"/>
          <w:sz w:val="20"/>
        </w:rPr>
        <w:t>Other long term assets</w:t>
      </w:r>
      <w:r>
        <w:rPr>
          <w:color w:val="000000"/>
        </w:rPr>
        <w:t xml:space="preserve"> </w:t>
      </w:r>
      <w:r>
        <w:rPr>
          <w:rFonts w:ascii="Times New Roman;sans-serif" w:hAnsi="Times New Roman;sans-serif"/>
          <w:b w:val="false"/>
          <w:color w:val="000000"/>
          <w:sz w:val="20"/>
        </w:rPr>
        <w:t>in the Condensed Consolidated Balance Sheet as of March 31, 2025.</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6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liabilities measured at fair value on a recurring basis as of March 31, 2025 and December 31, 2024 by level within the fair value hierarchy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60" w:after="283"/>
        <w:jc w:val="left"/>
        <w:rPr/>
      </w:pPr>
      <w:r>
        <w:rPr/>
      </w:r>
    </w:p>
    <w:tbl>
      <w:tblPr>
        <w:tblW w:w="7684" w:type="dxa"/>
        <w:jc w:val="left"/>
        <w:tblInd w:w="0" w:type="dxa"/>
        <w:tblLayout w:type="fixed"/>
        <w:tblCellMar>
          <w:top w:w="28" w:type="dxa"/>
          <w:left w:w="28" w:type="dxa"/>
          <w:bottom w:w="28" w:type="dxa"/>
          <w:right w:w="28" w:type="dxa"/>
        </w:tblCellMar>
      </w:tblPr>
      <w:tblGrid>
        <w:gridCol w:w="1243"/>
        <w:gridCol w:w="1092"/>
        <w:gridCol w:w="1099"/>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receivable, accounts payable and accrued liabilities approximate their fair value because of the short maturity of these items.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4. Accrued Employee Expenses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5923" w:type="dxa"/>
        <w:jc w:val="left"/>
        <w:tblInd w:w="0" w:type="dxa"/>
        <w:tblLayout w:type="fixed"/>
        <w:tblCellMar>
          <w:top w:w="28" w:type="dxa"/>
          <w:left w:w="28" w:type="dxa"/>
          <w:bottom w:w="28" w:type="dxa"/>
          <w:right w:w="28" w:type="dxa"/>
        </w:tblCellMar>
      </w:tblPr>
      <w:tblGrid>
        <w:gridCol w:w="1118"/>
        <w:gridCol w:w="983"/>
        <w:gridCol w:w="988"/>
        <w:gridCol w:w="109"/>
        <w:gridCol w:w="109"/>
        <w:gridCol w:w="109"/>
        <w:gridCol w:w="211"/>
        <w:gridCol w:w="721"/>
        <w:gridCol w:w="109"/>
        <w:gridCol w:w="109"/>
        <w:gridCol w:w="109"/>
        <w:gridCol w:w="109"/>
        <w:gridCol w:w="221"/>
        <w:gridCol w:w="757"/>
        <w:gridCol w:w="161"/>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ans-serif" w:hAnsi="Times New Roman;sans-serif"/>
          <w:b/>
          <w:color w:val="000000"/>
          <w:sz w:val="20"/>
        </w:rPr>
      </w:pPr>
      <w:r>
        <w:rPr>
          <w:rFonts w:ascii="Times New Roman;sans-serif" w:hAnsi="Times New Roman;sans-serif"/>
          <w:b/>
          <w:color w:val="000000"/>
          <w:sz w:val="20"/>
        </w:rPr>
        <w:t>5. Other Current Liabilities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consisted of the following (in thousands): </w:t>
      </w:r>
    </w:p>
    <w:tbl>
      <w:tblPr>
        <w:tblW w:w="5669" w:type="dxa"/>
        <w:jc w:val="left"/>
        <w:tblInd w:w="0" w:type="dxa"/>
        <w:tblLayout w:type="fixed"/>
        <w:tblCellMar>
          <w:top w:w="28" w:type="dxa"/>
          <w:left w:w="28" w:type="dxa"/>
          <w:bottom w:w="28" w:type="dxa"/>
          <w:right w:w="28" w:type="dxa"/>
        </w:tblCellMar>
      </w:tblPr>
      <w:tblGrid>
        <w:gridCol w:w="1026"/>
        <w:gridCol w:w="903"/>
        <w:gridCol w:w="906"/>
        <w:gridCol w:w="109"/>
        <w:gridCol w:w="109"/>
        <w:gridCol w:w="109"/>
        <w:gridCol w:w="211"/>
        <w:gridCol w:w="721"/>
        <w:gridCol w:w="109"/>
        <w:gridCol w:w="109"/>
        <w:gridCol w:w="109"/>
        <w:gridCol w:w="109"/>
        <w:gridCol w:w="221"/>
        <w:gridCol w:w="757"/>
        <w:gridCol w:w="161"/>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pStyle w:val="TextBody"/>
        <w:bidi w:val="0"/>
        <w:spacing w:lineRule="auto" w:line="288" w:before="200" w:after="120"/>
        <w:ind w:left="0" w:right="0" w:firstLine="720"/>
        <w:jc w:val="left"/>
        <w:rPr/>
      </w:pPr>
      <w:r>
        <w:rPr>
          <w:rFonts w:ascii="Times New Roman;sans-serif" w:hAnsi="Times New Roman;sans-serif"/>
          <w:b w:val="false"/>
          <w:color w:val="000000"/>
          <w:sz w:val="20"/>
        </w:rPr>
        <w:t xml:space="preserve">For additional information for insurance reserves, refer to Note 6, </w:t>
      </w:r>
      <w:r>
        <w:rPr>
          <w:rFonts w:ascii="Times New Roman;sans-serif" w:hAnsi="Times New Roman;sans-serif"/>
          <w:b w:val="false"/>
          <w:i/>
          <w:color w:val="000000"/>
          <w:sz w:val="20"/>
        </w:rPr>
        <w:t>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6. Commitments and Contingencies</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Liability to Landlord Insurance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March 31, 2025 and December 31, 2024 was $4.0 million and $3.9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March 31, 2025 and December 31, 2024 are $4.0 million and $6.7 million, respectively, of deposits held with a third party related to requirements to maintain collateral for this insurance service.</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investigative inquires, legal proceedings and other disputes, if determined adversely to us, would, individually or taken together, have a material adverse effect on our business, operating results, financial condition or cash flows.</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ans-serif" w:hAnsi="Times New Roman;sans-serif"/>
          <w:b/>
          <w:color w:val="000000"/>
          <w:sz w:val="20"/>
        </w:rPr>
      </w:pPr>
      <w:r>
        <w:rPr>
          <w:rFonts w:ascii="Times New Roman;sans-serif" w:hAnsi="Times New Roman;sans-serif"/>
          <w:b/>
          <w:color w:val="000000"/>
          <w:sz w:val="20"/>
        </w:rPr>
        <w:t>7. Share Repurchase Program</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2019, our Board of Directors (our "Board")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the repurchases, we have substantially exhausted the remaining shares available for purchase under the 2019 Stock Repurchase Program. We did not repurchase any shares of our Class A common stock under the 2019 Stock Repurchase Program during the three months ended March 31, 2024.</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The 2025 Stock Repurchase Program replaces the 2019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8. Stock-Based Compensation</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restricted stock units ("RSUs") for the three months ended March 31, 2025, is as follows (number of shares in thousands):</w:t>
      </w:r>
    </w:p>
    <w:tbl>
      <w:tblPr>
        <w:tblW w:w="8947"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850"/>
        <w:gridCol w:w="2485"/>
        <w:gridCol w:w="62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RSUs as of March 31, 2025 were composed of 0.9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metrics at 100% of the performance target. The unvested PSUs as of March 31, 2025, are subject to vesting based on the achievement of pre-established performance metrics for the year ending December 31, 2025 and will vest over a three year period, assuming continued employment through each vesting date. The actual number of shares to be issued at the end of the performance period will range from 0% to 171% of the target number of shares depending on achievement relative to the performance metrics over the applicable period.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stock-based compensation expense for the RSUs and PSUs of $16.0 million and $13.0 million for the three months ended March 31, 2025 and 2024, respectively. As of March 31, 2025, the total estimated remaining stock-based compensation expense for the aforementioned RSUs and PSUs was $142.8 million, which is expected to be recognized over a weighted 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9. Income Taxes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provision for income taxes on a quarterly basis by applying an estimated annual effective tax rate to income (loss) from operations and by calculating the tax effect of discrete items recognized during the quarter.</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recorded income tax expense of $5.4 million, representing an effective tax rate of 14.7%. Our effective tax rate differs from the U.S. federal statutory rate of 21% primarily due to excess tax benefits from stock-based compensation and research &amp; development tax credits, partially offset by state income taxes and non-deductible officers' compensation. For the three months ended March 31, 2024, our effective tax rate as compared to the U.S. federal statutory rate of 21% differs primarily due to excess tax benefits from stock-based compensation, partially offset by change in valuation allowance against deferred tax assets, state income taxes and non-deductible officers' compensation.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We assess our ability to realize our deferred tax assets on a quarterly basis and we establish a valuation allowance if it is more-likely-than-not that some portion of deferred tax assets will not be realized. We weigh all available positive and negative evidence, including our earnings history and results of recent operations, scheduled reversals of deferred tax liabilities, projected future taxable income and tax planning strategies.</w:t>
      </w:r>
      <w:r>
        <w:rPr>
          <w:color w:val="000000"/>
        </w:rPr>
        <w:t xml:space="preserve"> </w:t>
      </w:r>
      <w:r>
        <w:rPr>
          <w:rFonts w:ascii="Times New Roman;sans-serif" w:hAnsi="Times New Roman;sans-serif"/>
          <w:b w:val="false"/>
          <w:color w:val="000000"/>
          <w:sz w:val="20"/>
        </w:rPr>
        <w:t>During the three months ended December 31, 2024, we assessed all available evidence and determined that there was sufficient positive evidence to overcome the negative evidence, including our past and current financial results, growth demonstrated in our top-line performance, as well as projected profitability.</w:t>
      </w:r>
      <w:r>
        <w:rPr>
          <w:color w:val="000000"/>
        </w:rPr>
        <w:t xml:space="preserve"> </w:t>
      </w:r>
      <w:r>
        <w:rPr>
          <w:rFonts w:ascii="Times New Roman;sans-serif" w:hAnsi="Times New Roman;sans-serif"/>
          <w:b w:val="false"/>
          <w:color w:val="000000"/>
          <w:sz w:val="20"/>
        </w:rPr>
        <w:t>Accordingly, we determined it is more likely than not that the deferred tax assets will be realized and we released our valuation allowance at December 31, 2024.</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unrecognized tax benefits during the three months ended March 31, 2025, and we do not expect to have any significant changes to unrecognized tax benefits through the remainder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10. Revenue and Other Information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following table presents our revenue categories for the three months ended March 31, 2025 and 2024 (in thousands):</w:t>
      </w:r>
      <w:r>
        <w:rPr>
          <w:color w:val="000000"/>
        </w:rPr>
        <w:t> </w:t>
      </w:r>
    </w:p>
    <w:tbl>
      <w:tblPr>
        <w:tblW w:w="5332"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customers in the United States. Our property and equipment is primarily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ans-serif" w:hAnsi="Times New Roman;sans-serif"/>
          <w:b/>
          <w:color w:val="000000"/>
          <w:sz w:val="20"/>
        </w:rPr>
      </w:pPr>
      <w:r>
        <w:rPr>
          <w:rFonts w:ascii="Times New Roman;sans-serif" w:hAnsi="Times New Roman;sans-serif"/>
          <w:b/>
          <w:color w:val="000000"/>
          <w:sz w:val="20"/>
        </w:rPr>
        <w:t>11. Subsequent Event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2025, our Board (1) increased the number of directors that comprise the Board from eight to nine directors in accordance with our Amended and Restated Certificate of Incorporation and Amended and Restated Bylaws, and (2) elected Robert Donald Casey III to the Board as a Class II Director effective immediately to fill the director’s office created by such increase. In connection with his election, the Board determined that Mr. Casey qualifies as an independent director under the Nasdaq rules.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11, 2025, we entered into a strategic partnership (the "Strategic Partnership") with Second Nature Brands, Inc. ("Second Nature") that will, among other things, enable AppFolio's property management customers to offer Second Nature's suite of residential property services within the AppFolio Stack™ partner ecosystem.</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entering into the Strategic Partnership, on April 11, 2025, we purchased a minority, non-controlling equity interest in Second Nature Holdings, L.P., the indirect parent of Second Nature, for $75.0 million, paid with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results of operations and liquidity should be read together with our Condensed Consolidated Financial Statements and the related notes included elsewhere in this Quarterly Report and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pStyle w:val="TextBody"/>
        <w:bidi w:val="0"/>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8.8 million and 8.3 million property management units under management as of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The subscription fees for our core solutions vary by property type and are designed to scale with the size of our customers’ businesses. We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subscription-based services on a straight-line basis over the contract term beginning on the date that our service is made available. We generally invoice monthly or, to a lesser extent, annually in advance of a subscription period.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also generate revenue from the legacy customers of businesses we acquire that provide standalone services outside of our platform. Revenue derived from these services is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As of March 31, 2025 and 2024, we had 21,105 and 19,941 property management customers, respectively.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i/>
          <w:color w:val="000000"/>
          <w:sz w:val="20"/>
        </w:rPr>
        <w:t xml:space="preserve">(Exclusive of Depreciation and Amortization).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 consists of personnel-related costs for our employees focused on sales and marketing (including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 consists of personnel-related costs for employees in our executive, finance, 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Interest Income, Net. </w:t>
      </w:r>
      <w:r>
        <w:rPr>
          <w:rFonts w:ascii="Times New Roman;sans-serif" w:hAnsi="Times New Roman;sans-serif"/>
          <w:b w:val="false"/>
          <w:color w:val="000000"/>
          <w:sz w:val="20"/>
        </w:rPr>
        <w:t>Interest income, net includes interest earned on investment securities, amortization and accretion of the premium and discounts paid from the purchase of investment securities, and interest earned on cash deposited in our bank accounts.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Provision (benefit from) for income taxes. </w:t>
      </w:r>
      <w:r>
        <w:rPr>
          <w:rFonts w:ascii="Times New Roman;sans-serif" w:hAnsi="Times New Roman;sans-serif"/>
          <w:b w:val="false"/>
          <w:color w:val="000000"/>
          <w:sz w:val="20"/>
        </w:rPr>
        <w:t>Provision (benefit from)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8095" w:type="dxa"/>
        <w:jc w:val="center"/>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the three months ended March 31, 2025, compared to the same period in the prior year, was primarily attributable to an increase in the usage of our payments, tenant screening, and risk mitigation services. During the three month periods ended March 31, 2025, we also experienced growth of 6% in the number of property management units under management compared to the same period in the prior year, which drove growth in users of our subscription and usage-based services.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services experienced increased usage during the comparative periods as residents and property managers transacted more business online.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total revenue for the year ending December 31, 2025 to increase compared to the year ended December 31, 2024 as we continue to add new customers and property management units under management, along with increased adoption and usage of our Value Added Services.</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0205" w:type="dxa"/>
        <w:jc w:val="center"/>
        <w:tblInd w:w="0" w:type="dxa"/>
        <w:tblLayout w:type="fixed"/>
        <w:tblCellMar>
          <w:top w:w="28" w:type="dxa"/>
          <w:left w:w="28" w:type="dxa"/>
          <w:bottom w:w="28" w:type="dxa"/>
          <w:right w:w="28" w:type="dxa"/>
        </w:tblCellMar>
      </w:tblPr>
      <w:tblGrid>
        <w:gridCol w:w="1443"/>
        <w:gridCol w:w="1226"/>
        <w:gridCol w:w="1230"/>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6"/>
      </w:tblGrid>
      <w:tr>
        <w:trPr/>
        <w:tc>
          <w:tcPr>
            <w:tcW w:w="144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9" w:type="dxa"/>
            <w:gridSpan w:val="8"/>
            <w:tcBorders/>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for the three months ended March 31, 2025 increased, compared to the same period in the prior year, primarily due to a $12.9 million increase in third-party service provider costs, driven by greater adoption and utilization of our Value Added Services.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cost of revenue (exclusive of depreciation and amortization) for the year ending December 31, 2025, to stay relatively flat as a percentage of revenue compared to the year ended December 31, 2024.</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9844" w:type="dxa"/>
        <w:jc w:val="center"/>
        <w:tblInd w:w="0" w:type="dxa"/>
        <w:tblLayout w:type="fixed"/>
        <w:tblCellMar>
          <w:top w:w="28" w:type="dxa"/>
          <w:left w:w="28" w:type="dxa"/>
          <w:bottom w:w="28" w:type="dxa"/>
          <w:right w:w="28" w:type="dxa"/>
        </w:tblCellMar>
      </w:tblPr>
      <w:tblGrid>
        <w:gridCol w:w="1317"/>
        <w:gridCol w:w="1160"/>
        <w:gridCol w:w="1168"/>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for the three months ended March 31, 2025 increased, compared to the same period in the prior year, primarily due to a $4.1 million increase in personnel-related costs, including stock-based and performance-based compensation, necessary to support growth in the business, and a $0.7 million increase in advertising costs due to increased targeted go-to-market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 for the year ending December 31, 2025 to increase as a percentage of revenue compared to the year ended December 31, 2024, as we seek to increase brand awareness and presence through targeted go-to-market investment.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9844" w:type="dxa"/>
        <w:jc w:val="center"/>
        <w:tblInd w:w="0" w:type="dxa"/>
        <w:tblLayout w:type="fixed"/>
        <w:tblCellMar>
          <w:top w:w="28" w:type="dxa"/>
          <w:left w:w="28" w:type="dxa"/>
          <w:bottom w:w="28" w:type="dxa"/>
          <w:right w:w="28" w:type="dxa"/>
        </w:tblCellMar>
      </w:tblPr>
      <w:tblGrid>
        <w:gridCol w:w="1321"/>
        <w:gridCol w:w="1159"/>
        <w:gridCol w:w="1165"/>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 expense increased for the three months ended March 31, 2025, compared to the same period in the prior year, primarily due to a $3.7 million increase in personnel-related costs, including stock-based and performance-based compensation, net of capitalized software development costs. The increase in personnel-related costs was primarily due to headcount growth within our research and product development organization.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product development expenses for the year ending December 31, 2025 to decrease as a percentage of revenue compared to the year ended December 31, 2024, as we continue to leverage headcount efficiencies.</w:t>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9888" w:type="dxa"/>
        <w:jc w:val="left"/>
        <w:tblInd w:w="0" w:type="dxa"/>
        <w:tblLayout w:type="fixed"/>
        <w:tblCellMar>
          <w:top w:w="28" w:type="dxa"/>
          <w:left w:w="28" w:type="dxa"/>
          <w:bottom w:w="28" w:type="dxa"/>
          <w:right w:w="28" w:type="dxa"/>
        </w:tblCellMar>
      </w:tblPr>
      <w:tblGrid>
        <w:gridCol w:w="1321"/>
        <w:gridCol w:w="1160"/>
        <w:gridCol w:w="1163"/>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02"/>
        <w:gridCol w:w="204"/>
        <w:gridCol w:w="271"/>
        <w:gridCol w:w="109"/>
        <w:gridCol w:w="109"/>
        <w:gridCol w:w="109"/>
        <w:gridCol w:w="109"/>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three months ended March 31, 2025, compared to the same period in the prior year, primarily due to a $2.8 million increase in personnel-related costs, including stock-based and performance-based compensation, primarily due to headcount growth.</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for the year ending December 31, 2025 to decrease as a percentage of revenue compared to the year ended December 31, 2024 as we continue to leverage headcount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583" w:type="dxa"/>
        <w:jc w:val="center"/>
        <w:tblInd w:w="0" w:type="dxa"/>
        <w:tblLayout w:type="fixed"/>
        <w:tblCellMar>
          <w:top w:w="28" w:type="dxa"/>
          <w:left w:w="28" w:type="dxa"/>
          <w:bottom w:w="28" w:type="dxa"/>
          <w:right w:w="28" w:type="dxa"/>
        </w:tblCellMar>
      </w:tblPr>
      <w:tblGrid>
        <w:gridCol w:w="939"/>
        <w:gridCol w:w="826"/>
        <w:gridCol w:w="829"/>
        <w:gridCol w:w="109"/>
        <w:gridCol w:w="109"/>
        <w:gridCol w:w="1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the three months ended March 31, 2025 increased, compared to the same period in the prior year, primarily due to amortization of the intangible assets recognized from the acquisition of Move EZ, Inc. in the fourth quarter of 2024.</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depreciation and amortization expenses for the year ending December 31, 2025 to increase as a percentage of revenue compared to the year ended December 31, 2024 due to amortization of the intangible assets recognized from the acquisition of Move EZ, Inc. in the fourth quarter of 2024. </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tbl>
      <w:tblPr>
        <w:tblW w:w="7355" w:type="dxa"/>
        <w:jc w:val="left"/>
        <w:tblInd w:w="0" w:type="dxa"/>
        <w:tblLayout w:type="fixed"/>
        <w:tblCellMar>
          <w:top w:w="28" w:type="dxa"/>
          <w:left w:w="28" w:type="dxa"/>
          <w:bottom w:w="28" w:type="dxa"/>
          <w:right w:w="28" w:type="dxa"/>
        </w:tblCellMar>
      </w:tblPr>
      <w:tblGrid>
        <w:gridCol w:w="688"/>
        <w:gridCol w:w="607"/>
        <w:gridCol w:w="609"/>
        <w:gridCol w:w="211"/>
        <w:gridCol w:w="616"/>
        <w:gridCol w:w="271"/>
        <w:gridCol w:w="109"/>
        <w:gridCol w:w="109"/>
        <w:gridCol w:w="109"/>
        <w:gridCol w:w="211"/>
        <w:gridCol w:w="616"/>
        <w:gridCol w:w="271"/>
        <w:gridCol w:w="109"/>
        <w:gridCol w:w="109"/>
        <w:gridCol w:w="109"/>
        <w:gridCol w:w="211"/>
        <w:gridCol w:w="436"/>
        <w:gridCol w:w="109"/>
        <w:gridCol w:w="109"/>
        <w:gridCol w:w="109"/>
        <w:gridCol w:w="109"/>
        <w:gridCol w:w="164"/>
        <w:gridCol w:w="166"/>
        <w:gridCol w:w="271"/>
        <w:gridCol w:w="109"/>
        <w:gridCol w:w="109"/>
        <w:gridCol w:w="109"/>
        <w:gridCol w:w="109"/>
        <w:gridCol w:w="109"/>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2025 was relatively flat, compared to the same period in the prior year.</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(benefit from) for income taxes</w:t>
      </w:r>
    </w:p>
    <w:tbl>
      <w:tblPr>
        <w:tblW w:w="9647" w:type="dxa"/>
        <w:jc w:val="center"/>
        <w:tblInd w:w="0" w:type="dxa"/>
        <w:tblLayout w:type="fixed"/>
        <w:tblCellMar>
          <w:top w:w="28" w:type="dxa"/>
          <w:left w:w="28" w:type="dxa"/>
          <w:bottom w:w="28" w:type="dxa"/>
          <w:right w:w="28" w:type="dxa"/>
        </w:tblCellMar>
      </w:tblPr>
      <w:tblGrid>
        <w:gridCol w:w="1259"/>
        <w:gridCol w:w="1108"/>
        <w:gridCol w:w="1112"/>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64"/>
        <w:gridCol w:w="166"/>
        <w:gridCol w:w="271"/>
        <w:gridCol w:w="109"/>
        <w:gridCol w:w="109"/>
        <w:gridCol w:w="109"/>
        <w:gridCol w:w="109"/>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we recorded income tax expense of $5.4 million, representing an effective tax rate of 14.7%. Our effective tax rate differs from the U.S. federal statutory rate of 21% primarily due to excess tax benefits from stock-based compensation and research &amp; development tax credits, partially offset by state income taxes and non-deductible officers' compensation. For the three months ended March 31, 2024, our effective tax rate as compared to the U.S. federal statutory rate of 21% differs primarily due to excess tax benefits from stock-based compensation, partially offset by change in valuation allowance against deferred tax assets, state income taxes and non-deductible officers' compensation.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three months ended March 31, 2025, as compared to the same period in 2024, is significantly higher primarily due to the substantial decrease in excess tax benefits from stock-based compensation and changes in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cash, cash equivalents, and investment securities totaling $210.8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depend on many factors, including continued market acceptance of our software solutions; changes in the number of our customers and adoption and utilization of our Value Added Services by new and existing customers; the timing and extent of the introduction of new core functionality, products and Value Added Services; and the timing and extent of our investments across our organization.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we substantially exhausted the shares remaining available for purchase under the 2019 Stock Repurchase Program. On April 23, 2025, our Board authorized the repurchase of up to $300.0 million of shares of our Class A common stock from time to time pursuant to the 2025 Stock Repurchase Program. For more information regarding our repurchases under the 2019 Stock Repurchase Program and the terms of the 2025 Stock Repurchase Program, refer to Note 7, Share Repurchase Program, of our Condensed Consolidated Financial Statements and Part 2, Item 2, "Unregistered Sales of Equity Securities and Use of Proceeds" of this Quarterly Report.</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7490"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11"/>
        <w:gridCol w:w="721"/>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decrease in cash provided by operating activities for the three months ended March 31, 2025, compared to the same period in the prior year, was primarily due to a higher increase in operating expenditures related to personnel-related costs. </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 is generally composed of the cash paid in purchases of investment securities, maturities and sales of investment securities, purchases of property and equipment, business acquisition, net of cash acquired, and additions to capitalized software development.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provided by (used in) investing activities for the three months ended March 31, 2025, compared to the same period in the prior year, was primarily due to higher sales and maturities of available-for-sale investment securities.</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composed of net share settlements for employee tax withholdings associated with the vesting of equity awards and repurchases of our Class A common stock offset by proceeds from the exercise of stock options.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financing activities for the three months ended March 31, 2025, compared to the same period in the prior year, was primarily due to repurchases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$153.9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March 31, 2025, a hypothetical 100 basis point decrease in interest rates would have resulted in an increase in the fair value of our investment securities of approximately $0.6 million and a hypothetical 100 basis point increase in interest rates would have resulted in a decrease in the fair value of our investment securities of approximately $0.6 million. This estimate is based on a sensitivity model which measures an instant change in interest rates by 100 basis points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For information regarding legal proceedings, refer to Note 6, </w:t>
      </w:r>
      <w:r>
        <w:rPr>
          <w:rFonts w:ascii="Times New Roman;sans-serif" w:hAnsi="Times New Roman;sans-serif"/>
          <w:b w:val="false"/>
          <w:i/>
          <w:color w:val="000000"/>
          <w:sz w:val="20"/>
        </w:rPr>
        <w:t>Commitments and Contingencies</w:t>
      </w:r>
      <w:r>
        <w:rPr>
          <w:color w:val="000000"/>
        </w:rPr>
        <w:t> </w:t>
      </w:r>
      <w:r>
        <w:rPr>
          <w:rFonts w:ascii="Times New Roman;sans-serif" w:hAnsi="Times New Roman;sans-serif"/>
          <w:b w:val="false"/>
          <w:color w:val="000000"/>
          <w:sz w:val="20"/>
        </w:rPr>
        <w:t>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Risks Related to Our Class A Common Stock</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6, 2025, as supplemented by the additional risk factor below. If any of the identified risks are realized, our business, financial condition, operating results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and operating results. As of the date of this Quarterly Report, there have been no material changes to the risk factors previously disclosed under the section entitled "Risk Factors" in Part I, Item IA of our 2024 Annual Report, with the exception of the following:</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Share repurchases could increase the volatility of the trading price of our common stock and diminish our cash reserves, and we cannot guarantee that our share repurchase program will enhance long-term stockholder value.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2025, our Board authorized the repurchase of up to $300.0 million of our Class A common stock pursuant to the 2025 Stock Repurchase Program. The 2025 Stock Repurchase Program does not obligate us to repurchase any minimum dollar amount or number of shares, has no expiration date, and can be modified, terminated or suspended at any time. Repurchases of shares of our Class A common stock could affect the trading price of our Class A common stock and increase volatility of such securities. Similarly, the future announcement of the modification, suspension or termination of the 2025 Stock Repurchase Program, or our decision not to utilize the full authorized repurchase amount under the 2025 Stock Repurchase Program, could result in a decrease in the trading price of our Class A common stock. In addition, the 2025 Stock Repurchase Program could have the impact of reducing our cash reserves, which may impact our ability to finance our growth, fund working capital, strategic acquisitions or business opportunities, and other general corporate purposes and execute our strategic plan. Although the 2025 Stock Repurchase Program is intended to enhance long-term stockholder value, there can be no assurance that it will do so because the trading price of our Class A common stock may decline below the levels at which we repurchased our shares and short-term stock price fluctuations could reduce the effectiveness of the 2025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repurchases of our Class A common stock during the three months ended March 31, 2025.</w:t>
      </w:r>
    </w:p>
    <w:tbl>
      <w:tblPr>
        <w:tblW w:w="10205" w:type="dxa"/>
        <w:jc w:val="left"/>
        <w:tblInd w:w="0" w:type="dxa"/>
        <w:tblLayout w:type="fixed"/>
        <w:tblCellMar>
          <w:top w:w="28" w:type="dxa"/>
          <w:left w:w="28" w:type="dxa"/>
          <w:bottom w:w="28" w:type="dxa"/>
          <w:right w:w="28" w:type="dxa"/>
        </w:tblCellMar>
      </w:tblPr>
      <w:tblGrid>
        <w:gridCol w:w="549"/>
        <w:gridCol w:w="423"/>
        <w:gridCol w:w="426"/>
        <w:gridCol w:w="109"/>
        <w:gridCol w:w="109"/>
        <w:gridCol w:w="109"/>
        <w:gridCol w:w="584"/>
        <w:gridCol w:w="584"/>
        <w:gridCol w:w="586"/>
        <w:gridCol w:w="109"/>
        <w:gridCol w:w="109"/>
        <w:gridCol w:w="109"/>
        <w:gridCol w:w="308"/>
        <w:gridCol w:w="902"/>
        <w:gridCol w:w="159"/>
        <w:gridCol w:w="109"/>
        <w:gridCol w:w="109"/>
        <w:gridCol w:w="109"/>
        <w:gridCol w:w="697"/>
        <w:gridCol w:w="697"/>
        <w:gridCol w:w="699"/>
        <w:gridCol w:w="109"/>
        <w:gridCol w:w="109"/>
        <w:gridCol w:w="109"/>
        <w:gridCol w:w="547"/>
        <w:gridCol w:w="1328"/>
        <w:gridCol w:w="408"/>
      </w:tblGrid>
      <w:tr>
        <w:trPr/>
        <w:tc>
          <w:tcPr>
            <w:tcW w:w="54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Repurchased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 Price Paid Per Share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 Dollar Value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that May Yet Be Purchased Under the Plans or Programs</w:t>
            </w:r>
          </w:p>
        </w:tc>
      </w:tr>
      <w:tr>
        <w:trPr/>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On February 20, 2019, our Board authorized the repurchase of up to $100.0 million of shares of our Class A common stock pursuant to the 2019 Stock Repurchase Program. The 2019 Stock Repurchase Program had no expiration date. During the first quarter of 2025, we substantially exhausted the shares remaining available for repurchase under the 2019 Stock Repurchase Program. On April 23, 2025, our Board authorized the repurchase of up to $300.0 million shares of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2025 Stock Repurchase Program. For more information regarding the 2019 Stock Repurchase Program and the 2025 Stock Repurchase Program, refer to Note 7, Share Repurchase Program, of our Condensed Consolidated Financial Statements and Part I, Item 2, "Management's Discussion and Analysis of Financial Condition and Results of Operations - Liquidity and Capital Resources" of this Quarterly Report.</w:t>
      </w:r>
    </w:p>
    <w:p>
      <w:pPr>
        <w:pStyle w:val="TextBody"/>
        <w:bidi w:val="0"/>
        <w:spacing w:lineRule="auto" w:line="288" w:before="120" w:after="12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bookmarkStart w:id="0" w:name="i87841e158bfb4961b81d20f1dde962fd_36"/>
      <w:bookmarkEnd w:id="0"/>
      <w:r>
        <w:rPr>
          <w:rFonts w:ascii="Times New Roman;sans-serif" w:hAnsi="Times New Roman;sans-serif"/>
          <w:b/>
          <w:color w:val="000000"/>
          <w:sz w:val="20"/>
        </w:rPr>
        <w:t>Item 5. Other Information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On February 7, 2025, Matt Mazza, our Chief Trust Officer, terminated his previously reported Rule 10b5-1 trading arrangement, which was adopted on May 16, 2024. The trading plan was entered into and terminated during an open insider trading window.</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2025, Janet Kerr, a member of our Board, adopted a Rule 10b5-1 trading arrangement providing for the sale of up to 2,500 shares of our Class A common stock between September 8, 2025 and December 31, 2025. Ms. Kerr's trading plan was entered into during an open insider trading window and is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737"/>
        <w:gridCol w:w="2565"/>
        <w:gridCol w:w="3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irstamendmenttonon-empl.htm">
              <w:r>
                <w:rPr>
                  <w:rStyle w:val="InternetLink"/>
                  <w:rFonts w:ascii="Times New Roman;sans-serif" w:hAnsi="Times New Roman;sans-serif"/>
                  <w:b w:val="false"/>
                  <w:color w:val="0000FF"/>
                  <w:sz w:val="20"/>
                  <w:u w:val="single"/>
                </w:rPr>
                <w:t>First Amendment to Non-Employee Director Deferred Compensation Plan</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5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5exhibit312.htm">
              <w:r>
                <w:rPr>
                  <w:rStyle w:val="InternetLink"/>
                  <w:rFonts w:ascii="Times New Roman;sans-serif" w:hAnsi="Times New Roman;sans-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5exhibit321.htm">
              <w:r>
                <w:rPr>
                  <w:rStyle w:val="InternetLink"/>
                  <w:rFonts w:ascii="Times New Roman;sans-serif" w:hAnsi="Times New Roman;sans-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jc w:val="left"/>
        <w:rPr/>
      </w:pPr>
      <w:hyperlink w:anchor="i264ca4ffe79e47b0b03001bdc893d5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6571"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12"/>
        <w:gridCol w:w="212"/>
        <w:gridCol w:w="212"/>
        <w:gridCol w:w="1238"/>
        <w:gridCol w:w="1238"/>
        <w:gridCol w:w="124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2025</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2025</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0"/>
        <w:jc w:val="center"/>
        <w:rPr/>
      </w:pPr>
      <w:bookmarkStart w:id="1" w:name="firstamendmenttonon-empl.htm"/>
      <w:bookmarkStart w:id="2" w:name="ksfirstamendmenttononempl"/>
      <w:bookmarkEnd w:id="1"/>
      <w:bookmarkEnd w:id="2"/>
      <w:r>
        <w:rPr/>
        <w:drawing>
          <wp:inline distT="0" distB="0" distL="0" distR="0">
            <wp:extent cx="10048875" cy="13001625"/>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FIRST AMENDMENT TO APPFOLIO, INC. NON-EMPLOYEE DIRECTOR DEFERRED COMPENSATION PLAN THIS FIRST AMENDMENT TO THE APPFOLIO, INC. NON-EMPLOYEE DIRECTOR DEFERRED COMPENSATION PLAN (this “Amendment”) is adopted on April 22, 2025, with reference to the following facts: RECITALS WHEREAS, AppFolio, Inc. (“AppFolio” or the “Company”) established a Non-Employee Director Deferred Compensation Plan, which was adopted by its Board of Directors (the “Board”) on August 12, 2021 (the “Plan”); WHEREAS, the Plan establishes the Compensation Committee of the Board as the Administrator (as defined in the Plan) of the Plan, with the authority to manage the operation and administration of the Plan, including but not limited to, creating, amending and rescinding rules or regulations relating to the Plan; WHEREAS, at the Company’s Annual Meeting of Stockholders on June 14, 2024, the Company’s stockholders approved the Company’s 2025 Omnibus Incentive Plan (“the 2025 Omnibus Incentive Plan”); WHEREAS, on January 1, 2025 (the “Effective Date”), the 2025 Omnibus Incentive Plan superseded and replaced the 2015 Stock Incentive Plan (as defined in the Plan) and no further awards will be granted under the 2015 Stock Incentive Plan, but the 2015 Stock Incentive Plan will continue to govern outstanding awards granted under the 2015 Stock Incentive Plan; and WHEREAS, the Administrator desires to amend the Plan to reflect compensation awarded under the 2025 Omnibus Incentive Plan, in addition to compensation previously awarded under the 2015 Stock Incentive Plan. AGREEMENTS NOW THEREFORE, the Administrator amends the Plan as follows: 1. Definitions . Capitalized terms used and not defined in this Amendment have the respective meanings assigned to them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Amendments to the Plan . As of the Effective Date, the Plan is hereby amended and modified as follows: (a) Article 2. Definitions. The following definition is added to the Plan: “2025 Omnibus Incentive Plan” shall mean the Company’s 2025 Omnibus Incentive Plan. In Section 2.17, the definition of “Corporate Transaction” shall be amended to state: “Corporate Transaction” shall have the meaning set forth in either the 2015 Stock Incentive Plan or the 2025 Omnibus Incentive Plan, as applicable, provided that, if (i) a transaction does not qualify as a change in control event within the meaning of Section 409A of the Code and (ii) treating such transaction as a Corporate Transaction would cause, give rise to or otherwise result in a failure to satisfy the distribution requirements of Section 409A(a)(2)(A) of the Code (to the extent the Plan and the applicable Deferral Election are not exempt therefrom), then the transaction will not be deemed a Corporate Transaction. In Section 2.26, the definition of “Fair Market Value” shall be amended to state: Depending on the plan under which stock is awarded, “Fair Market Value” shall mean the value of one share of Class A common stock, as awarded under either the 2015 Stock Incentive Plan or the 2025 Omnibus Incentive Plan, as applicable. In Section 2.33, the definition of “Restricted Stock Unit” shall be amended to state: Depending on the plan under which stock is awarded, “Restricted Stock Unit” shall mean a right to receive an amount equal to the Fair Market Value of one share of Class A Common Stock issued pursuant to either the 2015 Stock Incentive Plan or the 2025 Omnibus Incentive Plan, subject to any restrictions or conditions as applicable under either of the plans respectively. In Section 2.40, the definition of “Stock Incentive” shall be amended to state: “Stock Incentive” means the delivery of Class A Common Stock of the Company, payment of cash or a combination thereof upon the exercise, vesting or settlement of all or a portion of any Award, to which a Participant is entitled, under, and within the meaning of, the 2015 Stock Incentive plan or the 2025 Omnibus Incentive Plan. (b) Article 3. Eligibility; Deferral Election; Conversion of Annual Fees In Section 3.8, the final sentence shall be amended to state: Converted Restricted Stock Units will be granted pursuant to the terms and conditions of the 2015 Stock Incentive Plan or 2025 Omnibus Incentive Plan, depending on the plan that is in effect at the time of grant. 3. Limited Effect . Except as expressly provided in this Amendment, all of the terms and provisions of the Plan are and will remain in full force and effect and are hereby ratified and confirmed. On and after the Effective Date, each reference to “the Plan”," "hereunder," "hereof," "herein," or words of like import, and each reference to the Plan in any other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documents, or instruments executed and delivered pursuant to, or in connection with, the Plan will mean and be a reference to the Plan as amended by this Amendment.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certify that:</w:t>
      </w:r>
    </w:p>
    <w:tbl>
      <w:tblPr>
        <w:tblW w:w="6177" w:type="dxa"/>
        <w:jc w:val="center"/>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29"/>
        <w:gridCol w:w="429"/>
        <w:gridCol w:w="43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Tim Eaton, certify that:</w:t>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8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770"/>
        <w:gridCol w:w="770"/>
        <w:gridCol w:w="11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Quarterly Report on Form 10-Q of AppFolio, Inc. (the “Company”) for the period ended March 31, 2025,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50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24, 2025</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Tim Eaton, Interim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93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9"/>
        <w:gridCol w:w="149"/>
        <w:gridCol w:w="151"/>
        <w:gridCol w:w="770"/>
        <w:gridCol w:w="770"/>
        <w:gridCol w:w="11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24, 2025</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12185</Words>
  <Characters>68238</Characters>
  <CharactersWithSpaces>79621</CharactersWithSpaces>
  <Paragraphs>1666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firstamendmenttonon-empl</dc:title>
</cp:coreProperties>
</file>