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360" w:firstLine="8"/>
        <w:spacing w:after="0" w:line="32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ind w:right="234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30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332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514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7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5140" w:type="dxa"/>
            <w:vAlign w:val="bottom"/>
          </w:tcPr>
          <w:p>
            <w:pPr>
              <w:jc w:val="center"/>
              <w:ind w:left="239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567"/>
        </w:trPr>
        <w:tc>
          <w:tcPr>
            <w:tcW w:w="33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50 Castilian Drive</w:t>
            </w:r>
          </w:p>
        </w:tc>
        <w:tc>
          <w:tcPr>
            <w:tcW w:w="5140" w:type="dxa"/>
            <w:vAlign w:val="bottom"/>
          </w:tcPr>
          <w:p>
            <w:pPr>
              <w:jc w:val="right"/>
              <w:ind w:right="1010"/>
              <w:spacing w:after="0"/>
              <w:rPr>
                <w:sz w:val="20"/>
                <w:szCs w:val="20"/>
                <w:color w:val="auto"/>
              </w:rPr>
            </w:pPr>
            <w:r>
              <w:rPr>
                <w:rFonts w:ascii="Arial" w:cs="Arial" w:eastAsia="Arial" w:hAnsi="Arial"/>
                <w:sz w:val="18"/>
                <w:szCs w:val="18"/>
                <w:b w:val="1"/>
                <w:bCs w:val="1"/>
                <w:color w:val="auto"/>
              </w:rPr>
              <w:t>93117</w:t>
            </w:r>
          </w:p>
        </w:tc>
      </w:tr>
      <w:tr>
        <w:trPr>
          <w:trHeight w:val="270"/>
        </w:trPr>
        <w:tc>
          <w:tcPr>
            <w:tcW w:w="3320" w:type="dxa"/>
            <w:vAlign w:val="bottom"/>
          </w:tcPr>
          <w:p>
            <w:pPr>
              <w:ind w:left="500"/>
              <w:spacing w:after="0"/>
              <w:rPr>
                <w:sz w:val="20"/>
                <w:szCs w:val="20"/>
                <w:color w:val="auto"/>
              </w:rPr>
            </w:pPr>
            <w:r>
              <w:rPr>
                <w:rFonts w:ascii="Arial" w:cs="Arial" w:eastAsia="Arial" w:hAnsi="Arial"/>
                <w:sz w:val="18"/>
                <w:szCs w:val="18"/>
                <w:b w:val="1"/>
                <w:bCs w:val="1"/>
                <w:color w:val="auto"/>
              </w:rPr>
              <w:t>Santa Barbara, California</w:t>
            </w:r>
          </w:p>
        </w:tc>
        <w:tc>
          <w:tcPr>
            <w:tcW w:w="5140" w:type="dxa"/>
            <w:vAlign w:val="bottom"/>
          </w:tcPr>
          <w:p>
            <w:pPr>
              <w:spacing w:after="0"/>
              <w:rPr>
                <w:sz w:val="23"/>
                <w:szCs w:val="23"/>
                <w:color w:val="auto"/>
              </w:rPr>
            </w:pPr>
          </w:p>
        </w:tc>
      </w:tr>
      <w:tr>
        <w:trPr>
          <w:trHeight w:val="270"/>
        </w:trPr>
        <w:tc>
          <w:tcPr>
            <w:tcW w:w="3320" w:type="dxa"/>
            <w:vAlign w:val="bottom"/>
          </w:tcPr>
          <w:p>
            <w:pPr>
              <w:jc w:val="center"/>
              <w:ind w:right="31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5140" w:type="dxa"/>
            <w:vAlign w:val="bottom"/>
          </w:tcPr>
          <w:p>
            <w:pPr>
              <w:jc w:val="center"/>
              <w:ind w:left="2410"/>
              <w:spacing w:after="0"/>
              <w:rPr>
                <w:sz w:val="20"/>
                <w:szCs w:val="20"/>
                <w:color w:val="auto"/>
              </w:rPr>
            </w:pPr>
            <w:r>
              <w:rPr>
                <w:rFonts w:ascii="Arial" w:cs="Arial" w:eastAsia="Arial" w:hAnsi="Arial"/>
                <w:sz w:val="18"/>
                <w:szCs w:val="18"/>
                <w:b w:val="1"/>
                <w:bCs w:val="1"/>
                <w:i w:val="1"/>
                <w:iCs w:val="1"/>
                <w:color w:val="auto"/>
                <w:w w:val="89"/>
              </w:rPr>
              <w:t>(Zip Code)</w:t>
            </w:r>
          </w:p>
        </w:tc>
      </w:tr>
      <w:tr>
        <w:trPr>
          <w:trHeight w:val="405"/>
        </w:trPr>
        <w:tc>
          <w:tcPr>
            <w:tcW w:w="3320" w:type="dxa"/>
            <w:vAlign w:val="bottom"/>
          </w:tcPr>
          <w:p>
            <w:pPr>
              <w:spacing w:after="0"/>
              <w:rPr>
                <w:sz w:val="24"/>
                <w:szCs w:val="24"/>
                <w:color w:val="auto"/>
              </w:rPr>
            </w:pPr>
          </w:p>
        </w:tc>
        <w:tc>
          <w:tcPr>
            <w:tcW w:w="5140" w:type="dxa"/>
            <w:vAlign w:val="bottom"/>
          </w:tcPr>
          <w:p>
            <w:pPr>
              <w:jc w:val="right"/>
              <w:ind w:right="3530"/>
              <w:spacing w:after="0"/>
              <w:rPr>
                <w:sz w:val="20"/>
                <w:szCs w:val="20"/>
                <w:color w:val="auto"/>
              </w:rPr>
            </w:pPr>
            <w:r>
              <w:rPr>
                <w:rFonts w:ascii="Arial" w:cs="Arial" w:eastAsia="Arial" w:hAnsi="Arial"/>
                <w:sz w:val="18"/>
                <w:szCs w:val="18"/>
                <w:b w:val="1"/>
                <w:bCs w:val="1"/>
                <w:color w:val="auto"/>
              </w:rPr>
              <w:t>(805) 364-6093</w:t>
            </w:r>
          </w:p>
        </w:tc>
      </w:tr>
    </w:tbl>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262" w:lineRule="exact"/>
        <w:rPr>
          <w:sz w:val="24"/>
          <w:szCs w:val="24"/>
          <w:color w:val="auto"/>
        </w:rPr>
      </w:pPr>
    </w:p>
    <w:p>
      <w:pPr>
        <w:jc w:val="both"/>
        <w:spacing w:after="0" w:line="22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spacing w:after="0" w:line="22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ind w:right="16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5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vMerge w:val="restart"/>
          </w:tcPr>
          <w:p>
            <w:pPr>
              <w:ind w:left="108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5"/>
        </w:trPr>
        <w:tc>
          <w:tcPr>
            <w:tcW w:w="1960" w:type="dxa"/>
            <w:vAlign w:val="bottom"/>
            <w:vMerge w:val="continue"/>
          </w:tcPr>
          <w:p>
            <w:pPr>
              <w:spacing w:after="0"/>
              <w:rPr>
                <w:sz w:val="4"/>
                <w:szCs w:val="4"/>
                <w:color w:val="auto"/>
              </w:rPr>
            </w:pPr>
          </w:p>
        </w:tc>
        <w:tc>
          <w:tcPr>
            <w:tcW w:w="518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196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518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vMerge w:val="restart"/>
          </w:tcPr>
          <w:p>
            <w:pPr>
              <w:ind w:left="108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5"/>
        </w:trPr>
        <w:tc>
          <w:tcPr>
            <w:tcW w:w="1960" w:type="dxa"/>
            <w:vAlign w:val="bottom"/>
            <w:vMerge w:val="continue"/>
          </w:tcPr>
          <w:p>
            <w:pPr>
              <w:spacing w:after="0"/>
              <w:rPr>
                <w:sz w:val="4"/>
                <w:szCs w:val="4"/>
                <w:color w:val="auto"/>
              </w:rPr>
            </w:pPr>
          </w:p>
        </w:tc>
        <w:tc>
          <w:tcPr>
            <w:tcW w:w="518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19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300" w:type="dxa"/>
            <w:vAlign w:val="bottom"/>
            <w:vMerge w:val="restart"/>
          </w:tcPr>
          <w:p>
            <w:pPr>
              <w:ind w:left="108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5"/>
        </w:trPr>
        <w:tc>
          <w:tcPr>
            <w:tcW w:w="19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287"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gridSpan w:val="3"/>
          </w:tcPr>
          <w:p>
            <w:pPr>
              <w:spacing w:after="0"/>
              <w:rPr>
                <w:sz w:val="20"/>
                <w:szCs w:val="20"/>
                <w:color w:val="auto"/>
              </w:rPr>
            </w:pPr>
            <w:r>
              <w:rPr>
                <w:rFonts w:ascii="Arial" w:cs="Arial" w:eastAsia="Arial" w:hAnsi="Arial"/>
                <w:sz w:val="16"/>
                <w:szCs w:val="16"/>
                <w:color w:val="auto"/>
                <w:w w:val="96"/>
              </w:rPr>
              <w:t>Securities registered pursuant to Section 12(b) of the Act:</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16"/>
        </w:trPr>
        <w:tc>
          <w:tcPr>
            <w:tcW w:w="1380" w:type="dxa"/>
            <w:vAlign w:val="bottom"/>
          </w:tcPr>
          <w:p>
            <w:pPr>
              <w:spacing w:after="0"/>
              <w:rPr>
                <w:sz w:val="24"/>
                <w:szCs w:val="24"/>
                <w:color w:val="auto"/>
              </w:rPr>
            </w:pPr>
          </w:p>
        </w:tc>
        <w:tc>
          <w:tcPr>
            <w:tcW w:w="25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7"/>
              </w:rPr>
              <w:t>Title of each class</w:t>
            </w:r>
          </w:p>
        </w:tc>
        <w:tc>
          <w:tcPr>
            <w:tcW w:w="20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2"/>
              </w:rPr>
              <w:t>Trading Symbol</w:t>
            </w:r>
          </w:p>
        </w:tc>
        <w:tc>
          <w:tcPr>
            <w:tcW w:w="3800" w:type="dxa"/>
            <w:vAlign w:val="bottom"/>
            <w:gridSpan w:val="2"/>
          </w:tcPr>
          <w:p>
            <w:pPr>
              <w:jc w:val="center"/>
              <w:ind w:left="7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940" w:type="dxa"/>
            <w:vAlign w:val="bottom"/>
            <w:gridSpan w:val="3"/>
          </w:tcPr>
          <w:p>
            <w:pPr>
              <w:jc w:val="center"/>
              <w:spacing w:after="0"/>
              <w:rPr>
                <w:sz w:val="20"/>
                <w:szCs w:val="20"/>
                <w:color w:val="auto"/>
              </w:rPr>
            </w:pPr>
            <w:r>
              <w:rPr>
                <w:rFonts w:ascii="Arial" w:cs="Arial" w:eastAsia="Arial" w:hAnsi="Arial"/>
                <w:sz w:val="16"/>
                <w:szCs w:val="16"/>
                <w:color w:val="auto"/>
                <w:w w:val="91"/>
              </w:rPr>
              <w:t>Class A Common Stock, $0.0001 par value</w:t>
            </w:r>
          </w:p>
        </w:tc>
        <w:tc>
          <w:tcPr>
            <w:tcW w:w="180" w:type="dxa"/>
            <w:vAlign w:val="bottom"/>
          </w:tcPr>
          <w:p>
            <w:pPr>
              <w:spacing w:after="0"/>
              <w:rPr>
                <w:sz w:val="23"/>
                <w:szCs w:val="23"/>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6"/>
                <w:szCs w:val="16"/>
                <w:color w:val="auto"/>
                <w:w w:val="95"/>
              </w:rPr>
              <w:t>APPF</w:t>
            </w:r>
          </w:p>
        </w:tc>
        <w:tc>
          <w:tcPr>
            <w:tcW w:w="80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April 27, 2020, the number of shares of the registrant’s Class A common stock outstanding was 16,712,280 and the number of shares of the registrant’s Class B common stock outstanding was 17,536,442.</w:t>
      </w:r>
    </w:p>
    <w:p>
      <w:pPr>
        <w:sectPr>
          <w:pgSz w:w="11900" w:h="16838" w:orient="portrait"/>
          <w:cols w:equalWidth="0" w:num="1">
            <w:col w:w="10740"/>
          </w:cols>
          <w:pgMar w:left="320" w:top="179"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20" w:type="dxa"/>
            <w:vAlign w:val="bottom"/>
          </w:tcPr>
          <w:p>
            <w:pPr>
              <w:spacing w:after="0"/>
              <w:rPr>
                <w:sz w:val="20"/>
                <w:szCs w:val="20"/>
                <w:color w:val="auto"/>
              </w:rPr>
            </w:pPr>
          </w:p>
        </w:tc>
      </w:tr>
      <w:tr>
        <w:trPr>
          <w:trHeight w:val="756"/>
        </w:trPr>
        <w:tc>
          <w:tcPr>
            <w:tcW w:w="10020" w:type="dxa"/>
            <w:vAlign w:val="bottom"/>
            <w:gridSpan w:val="2"/>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4"/>
                <w:szCs w:val="24"/>
                <w:color w:val="auto"/>
              </w:rPr>
            </w:pPr>
          </w:p>
        </w:tc>
      </w:tr>
      <w:tr>
        <w:trPr>
          <w:trHeight w:val="634"/>
        </w:trPr>
        <w:tc>
          <w:tcPr>
            <w:tcW w:w="10020" w:type="dxa"/>
            <w:vAlign w:val="bottom"/>
            <w:gridSpan w:val="2"/>
          </w:tcPr>
          <w:p>
            <w:pPr>
              <w:ind w:left="4620"/>
              <w:spacing w:after="0"/>
              <w:rPr>
                <w:sz w:val="20"/>
                <w:szCs w:val="20"/>
                <w:color w:val="auto"/>
              </w:rPr>
            </w:pPr>
            <w:r>
              <w:rPr>
                <w:rFonts w:ascii="Arial" w:cs="Arial" w:eastAsia="Arial" w:hAnsi="Arial"/>
                <w:sz w:val="18"/>
                <w:szCs w:val="18"/>
                <w:b w:val="1"/>
                <w:bCs w:val="1"/>
                <w:color w:val="auto"/>
              </w:rPr>
              <w:t>Section</w:t>
            </w:r>
          </w:p>
        </w:tc>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Page No.</w:t>
            </w:r>
          </w:p>
        </w:tc>
      </w:tr>
      <w:tr>
        <w:trPr>
          <w:trHeight w:val="27"/>
        </w:trPr>
        <w:tc>
          <w:tcPr>
            <w:tcW w:w="9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Note Regarding Forward-Looking Statements</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1</w:t>
              </w:r>
            </w:hyperlink>
          </w:p>
        </w:tc>
      </w:tr>
      <w:tr>
        <w:trPr>
          <w:trHeight w:val="270"/>
        </w:trPr>
        <w:tc>
          <w:tcPr>
            <w:tcW w:w="10020" w:type="dxa"/>
            <w:vAlign w:val="bottom"/>
            <w:gridSpan w:val="2"/>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Financial Information</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2</w:t>
              </w:r>
            </w:hyperlink>
          </w:p>
        </w:tc>
      </w:tr>
      <w:tr>
        <w:trPr>
          <w:trHeight w:val="270"/>
        </w:trPr>
        <w:tc>
          <w:tcPr>
            <w:tcW w:w="10020" w:type="dxa"/>
            <w:vAlign w:val="bottom"/>
            <w:gridSpan w:val="2"/>
          </w:tcPr>
          <w:p>
            <w:pPr>
              <w:ind w:left="6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Condensed Consolidated Financial Statements (Unaudited)</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2</w:t>
              </w:r>
            </w:hyperlink>
          </w:p>
        </w:tc>
      </w:tr>
      <w:tr>
        <w:trPr>
          <w:trHeight w:val="270"/>
        </w:trPr>
        <w:tc>
          <w:tcPr>
            <w:tcW w:w="10020" w:type="dxa"/>
            <w:vAlign w:val="bottom"/>
            <w:gridSpan w:val="2"/>
          </w:tcPr>
          <w:p>
            <w:pPr>
              <w:ind w:left="9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March 31, 2020 and December 31, 2019</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2</w:t>
              </w:r>
            </w:hyperlink>
          </w:p>
        </w:tc>
      </w:tr>
      <w:tr>
        <w:trPr>
          <w:trHeight w:val="270"/>
        </w:trPr>
        <w:tc>
          <w:tcPr>
            <w:tcW w:w="10020" w:type="dxa"/>
            <w:vAlign w:val="bottom"/>
            <w:gridSpan w:val="2"/>
          </w:tcPr>
          <w:p>
            <w:pPr>
              <w:ind w:left="9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for the Three Months Ended March 31, 2020 and 2019</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3</w:t>
              </w:r>
            </w:hyperlink>
          </w:p>
        </w:tc>
      </w:tr>
      <w:tr>
        <w:trPr>
          <w:trHeight w:val="270"/>
        </w:trPr>
        <w:tc>
          <w:tcPr>
            <w:tcW w:w="10020" w:type="dxa"/>
            <w:vAlign w:val="bottom"/>
            <w:gridSpan w:val="2"/>
          </w:tcPr>
          <w:p>
            <w:pPr>
              <w:ind w:left="920"/>
              <w:spacing w:after="0"/>
              <w:rPr>
                <w:rFonts w:ascii="Arial" w:cs="Arial" w:eastAsia="Arial" w:hAnsi="Arial"/>
                <w:sz w:val="18"/>
                <w:szCs w:val="18"/>
                <w:u w:val="single" w:color="auto"/>
                <w:color w:val="0000EE"/>
                <w:w w:val="95"/>
              </w:rPr>
            </w:pPr>
            <w:hyperlink w:anchor="page7">
              <w:r>
                <w:rPr>
                  <w:rFonts w:ascii="Arial" w:cs="Arial" w:eastAsia="Arial" w:hAnsi="Arial"/>
                  <w:sz w:val="18"/>
                  <w:szCs w:val="18"/>
                  <w:u w:val="single" w:color="auto"/>
                  <w:color w:val="0000EE"/>
                  <w:w w:val="95"/>
                </w:rPr>
                <w:t>Condensed Consolidated Statements of Comprehensive Income for the Three Months Ended March 31, 2020 and 2019</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4</w:t>
              </w:r>
            </w:hyperlink>
          </w:p>
        </w:tc>
      </w:tr>
      <w:tr>
        <w:trPr>
          <w:trHeight w:val="270"/>
        </w:trPr>
        <w:tc>
          <w:tcPr>
            <w:tcW w:w="10020" w:type="dxa"/>
            <w:vAlign w:val="bottom"/>
            <w:gridSpan w:val="2"/>
          </w:tcPr>
          <w:p>
            <w:pPr>
              <w:ind w:left="920"/>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Condensed Consolidated Statements of Stockholders' Equity for the Three Months Ended March 31, 2020 and 2019</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5</w:t>
              </w:r>
            </w:hyperlink>
          </w:p>
        </w:tc>
      </w:tr>
      <w:tr>
        <w:trPr>
          <w:trHeight w:val="270"/>
        </w:trPr>
        <w:tc>
          <w:tcPr>
            <w:tcW w:w="10020" w:type="dxa"/>
            <w:vAlign w:val="bottom"/>
            <w:gridSpan w:val="2"/>
          </w:tcPr>
          <w:p>
            <w:pPr>
              <w:ind w:left="9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for the Three Months Ended March 31, 2020 and 2019</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6</w:t>
              </w:r>
            </w:hyperlink>
          </w:p>
        </w:tc>
      </w:tr>
      <w:tr>
        <w:trPr>
          <w:trHeight w:val="270"/>
        </w:trPr>
        <w:tc>
          <w:tcPr>
            <w:tcW w:w="10020" w:type="dxa"/>
            <w:vAlign w:val="bottom"/>
            <w:gridSpan w:val="2"/>
          </w:tcPr>
          <w:p>
            <w:pPr>
              <w:ind w:left="9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Unaudited Financial Statements</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8</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 Management’s Discussion and Analysis of Financial Condition and Results of Operations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20</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Qualitative and Quantitative Disclosure about Market Risk</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30</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 Controls and Procedures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32</w:t>
              </w:r>
            </w:hyperlink>
          </w:p>
        </w:tc>
      </w:tr>
      <w:tr>
        <w:trPr>
          <w:trHeight w:val="270"/>
        </w:trPr>
        <w:tc>
          <w:tcPr>
            <w:tcW w:w="10020" w:type="dxa"/>
            <w:vAlign w:val="bottom"/>
            <w:gridSpan w:val="2"/>
          </w:tcPr>
          <w:p>
            <w:pPr>
              <w:ind w:left="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Part II. Other Information</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33</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 Legal Proceedings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33</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1A. Risk Factors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33</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2. Unregistered Sales of Equity Securities and Use of Proceeds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57</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3. Defaults Upon Senior Securities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57</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4. Mine Safety Disclosures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57</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5. Other Information</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57</w:t>
              </w:r>
            </w:hyperlink>
          </w:p>
        </w:tc>
      </w:tr>
      <w:tr>
        <w:trPr>
          <w:trHeight w:val="270"/>
        </w:trPr>
        <w:tc>
          <w:tcPr>
            <w:tcW w:w="10020" w:type="dxa"/>
            <w:vAlign w:val="bottom"/>
            <w:gridSpan w:val="2"/>
          </w:tcPr>
          <w:p>
            <w:pPr>
              <w:ind w:left="7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6. Exhibits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57</w:t>
              </w:r>
            </w:hyperlink>
          </w:p>
        </w:tc>
      </w:tr>
      <w:tr>
        <w:trPr>
          <w:trHeight w:val="270"/>
        </w:trPr>
        <w:tc>
          <w:tcPr>
            <w:tcW w:w="10020" w:type="dxa"/>
            <w:vAlign w:val="bottom"/>
            <w:gridSpan w:val="2"/>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Signatures</w:t>
              </w:r>
            </w:hyperlink>
          </w:p>
        </w:tc>
        <w:tc>
          <w:tcPr>
            <w:tcW w:w="1220" w:type="dxa"/>
            <w:vAlign w:val="bottom"/>
          </w:tcPr>
          <w:p>
            <w:pPr>
              <w:spacing w:after="0"/>
              <w:rPr>
                <w:sz w:val="23"/>
                <w:szCs w:val="23"/>
                <w:color w:val="auto"/>
              </w:rPr>
            </w:pPr>
          </w:p>
        </w:tc>
      </w:tr>
      <w:tr>
        <w:trPr>
          <w:trHeight w:val="270"/>
        </w:trPr>
        <w:tc>
          <w:tcPr>
            <w:tcW w:w="10020" w:type="dxa"/>
            <w:vAlign w:val="bottom"/>
            <w:gridSpan w:val="2"/>
          </w:tcPr>
          <w:p>
            <w:pPr>
              <w:ind w:left="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Index</w:t>
              </w:r>
            </w:hyperlink>
          </w:p>
        </w:tc>
        <w:tc>
          <w:tcPr>
            <w:tcW w:w="1220" w:type="dxa"/>
            <w:vAlign w:val="bottom"/>
          </w:tcPr>
          <w:p>
            <w:pPr>
              <w:spacing w:after="0"/>
              <w:rPr>
                <w:sz w:val="23"/>
                <w:szCs w:val="23"/>
                <w:color w:val="auto"/>
              </w:rPr>
            </w:pPr>
          </w:p>
        </w:tc>
      </w:tr>
    </w:tbl>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Quarterly Report on Form 10-Q for the fiscal quarter ended March 31, 2020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Forward-looking statements include all statements that are not statements of historical facts and can be identified by words such as “anticipates,” “believes,” “seeks,” “estimates,” “expects,” “intends,” “may,” “plans,” “potential,” “predicts, “projects,” “should,” “could,” “will,” “would” or similar expressions and the negatives of those expressions. Forward-looking statements also include the assumptions underlying or relating to such statements. In particular, forward-looking statements contained in this Quarterly Report relate to, among other things:</w:t>
      </w:r>
    </w:p>
    <w:p>
      <w:pPr>
        <w:spacing w:after="0" w:line="141"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acquisitions and investments;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legal proceedings or regulatory matters;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and our response to, the novel coronavirus ("COVID-19") pandemic.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include all of the forward-looking statements made in this Quarterly Report.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financial performance or liquidity.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2019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9"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APPFOLIO, INC.</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15,813</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Investment securities—current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7,952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22,876</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7,562</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18,362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15,540</w:t>
            </w:r>
          </w:p>
        </w:tc>
      </w:tr>
      <w:tr>
        <w:trPr>
          <w:trHeight w:val="33"/>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61,791</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Investment securities—noncurrent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6,676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12,089</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14,744</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27,803</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30,023</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58,425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58,425</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21,377</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27,212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27,574</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6,276</w:t>
            </w:r>
          </w:p>
        </w:tc>
      </w:tr>
      <w:tr>
        <w:trPr>
          <w:trHeight w:val="217"/>
        </w:trPr>
        <w:tc>
          <w:tcPr>
            <w:tcW w:w="798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293,427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260,102</w:t>
            </w:r>
          </w:p>
        </w:tc>
      </w:tr>
      <w:tr>
        <w:trPr>
          <w:trHeight w:val="33"/>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2343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188595"/>
                    </a:xfrm>
                    <a:prstGeom prst="rect">
                      <a:avLst/>
                    </a:prstGeom>
                    <a:noFill/>
                  </pic:spPr>
                </pic:pic>
              </a:graphicData>
            </a:graphic>
          </wp:anchor>
        </w:drawing>
      </w:r>
    </w:p>
    <w:p>
      <w:pPr>
        <w:sectPr>
          <w:pgSz w:w="11900" w:h="16838" w:orient="portrait"/>
          <w:cols w:equalWidth="0" w:num="1">
            <w:col w:w="11220"/>
          </w:cols>
          <w:pgMar w:left="320" w:top="179" w:right="359" w:bottom="379" w:gutter="0" w:footer="0" w:header="0"/>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80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employee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Term loan, net—current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Revolving facility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Term loan,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jc w:val="both"/>
        <w:ind w:left="40" w:right="380"/>
        <w:spacing w:after="0" w:line="293" w:lineRule="auto"/>
        <w:rPr>
          <w:sz w:val="20"/>
          <w:szCs w:val="20"/>
          <w:color w:val="auto"/>
        </w:rPr>
      </w:pPr>
      <w:r>
        <w:rPr>
          <w:rFonts w:ascii="Arial" w:cs="Arial" w:eastAsia="Arial" w:hAnsi="Arial"/>
          <w:sz w:val="16"/>
          <w:szCs w:val="16"/>
          <w:color w:val="auto"/>
        </w:rPr>
        <w:t>Preferred stock, $0.0001 par value, 25,000 shares authorized and no shares issued and outstanding at March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23430"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419735"/>
                    </a:xfrm>
                    <a:prstGeom prst="rect">
                      <a:avLst/>
                    </a:prstGeom>
                    <a:noFill/>
                  </pic:spPr>
                </pic:pic>
              </a:graphicData>
            </a:graphic>
          </wp:anchor>
        </w:drawing>
      </w:r>
    </w:p>
    <w:p>
      <w:pPr>
        <w:jc w:val="both"/>
        <w:ind w:left="40" w:right="380"/>
        <w:spacing w:after="0" w:line="278" w:lineRule="auto"/>
        <w:rPr>
          <w:sz w:val="20"/>
          <w:szCs w:val="20"/>
          <w:color w:val="auto"/>
        </w:rPr>
      </w:pPr>
      <w:r>
        <w:rPr>
          <w:rFonts w:ascii="Arial" w:cs="Arial" w:eastAsia="Arial" w:hAnsi="Arial"/>
          <w:sz w:val="16"/>
          <w:szCs w:val="16"/>
          <w:color w:val="auto"/>
        </w:rPr>
        <w:t>Class A common stock, $0.0001 par value, 250,000 shares authorized at March 31, 2020 and December 31, 2019; 17,089 and 16,923 shares issued at March 31, 2020 and December 31, 2019, respectively; 16,670 and 16,552 shares outstanding at March 31, 2020 and December 31, 2019, respectively</w:t>
      </w:r>
    </w:p>
    <w:p>
      <w:pPr>
        <w:spacing w:after="0" w:line="22" w:lineRule="exact"/>
        <w:rPr>
          <w:sz w:val="20"/>
          <w:szCs w:val="20"/>
          <w:color w:val="auto"/>
        </w:rPr>
      </w:pPr>
    </w:p>
    <w:p>
      <w:pPr>
        <w:jc w:val="both"/>
        <w:ind w:left="40" w:right="400"/>
        <w:spacing w:after="0" w:line="319" w:lineRule="auto"/>
        <w:rPr>
          <w:sz w:val="20"/>
          <w:szCs w:val="20"/>
          <w:color w:val="auto"/>
        </w:rPr>
      </w:pPr>
      <w:r>
        <w:rPr>
          <w:rFonts w:ascii="Arial" w:cs="Arial" w:eastAsia="Arial" w:hAnsi="Arial"/>
          <w:sz w:val="15"/>
          <w:szCs w:val="15"/>
          <w:color w:val="auto"/>
        </w:rPr>
        <w:t>Class B common stock, $0.0001 par value, 50,000 shares authorized at March 31, 2020 and December 31, 2019; 17,536 and 17,594 shares issued and outstanding at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291465"/>
                    </a:xfrm>
                    <a:prstGeom prst="rect">
                      <a:avLst/>
                    </a:prstGeom>
                    <a:noFill/>
                  </pic:spPr>
                </pic:pic>
              </a:graphicData>
            </a:graphic>
          </wp:anchor>
        </w:drawing>
      </w:r>
    </w:p>
    <w:p>
      <w:pPr>
        <w:spacing w:after="0" w:line="66" w:lineRule="exact"/>
        <w:rPr>
          <w:sz w:val="20"/>
          <w:szCs w:val="20"/>
          <w:color w:val="auto"/>
        </w:rPr>
      </w:pPr>
    </w:p>
    <w:p>
      <w:pPr>
        <w:ind w:left="40" w:right="840"/>
        <w:spacing w:after="0" w:line="293" w:lineRule="auto"/>
        <w:rPr>
          <w:sz w:val="20"/>
          <w:szCs w:val="20"/>
          <w:color w:val="auto"/>
        </w:rPr>
      </w:pPr>
      <w:r>
        <w:rPr>
          <w:rFonts w:ascii="Arial" w:cs="Arial" w:eastAsia="Arial" w:hAnsi="Arial"/>
          <w:sz w:val="16"/>
          <w:szCs w:val="16"/>
          <w:color w:val="auto"/>
        </w:rPr>
        <w:t>Treasury stock, at cost, 419 and 371 shares of Class A common stock at March 31, 2020 and December 31, 2019, respectively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2,509</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1,927</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11,833</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17,758</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11,419</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10,833</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5,732</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5,636</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11,139</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1,520</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1,208</w:t>
            </w:r>
          </w:p>
        </w:tc>
      </w:tr>
      <w:tr>
        <w:trPr>
          <w:trHeight w:val="33"/>
        </w:trPr>
        <w:tc>
          <w:tcPr>
            <w:tcW w:w="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38,649</w:t>
            </w:r>
          </w:p>
        </w:tc>
        <w:tc>
          <w:tcPr>
            <w:tcW w:w="5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47,465</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34,143</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33,312</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49,000</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46,760</w:t>
            </w:r>
          </w:p>
        </w:tc>
        <w:tc>
          <w:tcPr>
            <w:tcW w:w="5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47,375</w:t>
            </w:r>
          </w:p>
        </w:tc>
      </w:tr>
      <w:tr>
        <w:trPr>
          <w:trHeight w:val="33"/>
        </w:trPr>
        <w:tc>
          <w:tcPr>
            <w:tcW w:w="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168,552</w:t>
            </w:r>
          </w:p>
        </w:tc>
        <w:tc>
          <w:tcPr>
            <w:tcW w:w="5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128,152</w:t>
            </w:r>
          </w:p>
        </w:tc>
      </w:tr>
      <w:tr>
        <w:trPr>
          <w:trHeight w:val="33"/>
        </w:trPr>
        <w:tc>
          <w:tcPr>
            <w:tcW w:w="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1003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61"/>
        </w:trPr>
        <w:tc>
          <w:tcPr>
            <w:tcW w:w="1120" w:type="dxa"/>
            <w:vAlign w:val="bottom"/>
          </w:tcPr>
          <w:p>
            <w:pPr>
              <w:jc w:val="right"/>
              <w:ind w:right="519"/>
              <w:spacing w:after="0"/>
              <w:rPr>
                <w:sz w:val="20"/>
                <w:szCs w:val="20"/>
                <w:color w:val="auto"/>
              </w:rPr>
            </w:pPr>
            <w:r>
              <w:rPr>
                <w:rFonts w:ascii="Arial" w:cs="Arial" w:eastAsia="Arial" w:hAnsi="Arial"/>
                <w:sz w:val="16"/>
                <w:szCs w:val="16"/>
                <w:color w:val="auto"/>
              </w:rPr>
              <w:t>2</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59"/>
        </w:trPr>
        <w:tc>
          <w:tcPr>
            <w:tcW w:w="1120" w:type="dxa"/>
            <w:vAlign w:val="bottom"/>
          </w:tcPr>
          <w:p>
            <w:pPr>
              <w:jc w:val="right"/>
              <w:ind w:right="519"/>
              <w:spacing w:after="0"/>
              <w:rPr>
                <w:sz w:val="20"/>
                <w:szCs w:val="20"/>
                <w:color w:val="auto"/>
              </w:rPr>
            </w:pPr>
            <w:r>
              <w:rPr>
                <w:rFonts w:ascii="Arial" w:cs="Arial" w:eastAsia="Arial" w:hAnsi="Arial"/>
                <w:sz w:val="16"/>
                <w:szCs w:val="16"/>
                <w:color w:val="auto"/>
              </w:rPr>
              <w:t>2</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1120" w:type="dxa"/>
            <w:vAlign w:val="bottom"/>
          </w:tcPr>
          <w:p>
            <w:pPr>
              <w:jc w:val="right"/>
              <w:ind w:right="519"/>
              <w:spacing w:after="0"/>
              <w:rPr>
                <w:sz w:val="20"/>
                <w:szCs w:val="20"/>
                <w:color w:val="auto"/>
              </w:rPr>
            </w:pPr>
            <w:r>
              <w:rPr>
                <w:rFonts w:ascii="Arial" w:cs="Arial" w:eastAsia="Arial" w:hAnsi="Arial"/>
                <w:sz w:val="16"/>
                <w:szCs w:val="16"/>
                <w:color w:val="auto"/>
                <w:w w:val="86"/>
              </w:rPr>
              <w:t>156,513</w:t>
            </w:r>
          </w:p>
        </w:tc>
        <w:tc>
          <w:tcPr>
            <w:tcW w:w="1120" w:type="dxa"/>
            <w:vAlign w:val="bottom"/>
          </w:tcPr>
          <w:p>
            <w:pPr>
              <w:jc w:val="right"/>
              <w:spacing w:after="0"/>
              <w:rPr>
                <w:sz w:val="20"/>
                <w:szCs w:val="20"/>
                <w:color w:val="auto"/>
              </w:rPr>
            </w:pPr>
            <w:r>
              <w:rPr>
                <w:rFonts w:ascii="Arial" w:cs="Arial" w:eastAsia="Arial" w:hAnsi="Arial"/>
                <w:sz w:val="16"/>
                <w:szCs w:val="16"/>
                <w:color w:val="auto"/>
              </w:rPr>
              <w:t>161,509</w:t>
            </w:r>
          </w:p>
        </w:tc>
      </w:tr>
      <w:tr>
        <w:trPr>
          <w:trHeight w:val="270"/>
        </w:trPr>
        <w:tc>
          <w:tcPr>
            <w:tcW w:w="1120" w:type="dxa"/>
            <w:vAlign w:val="bottom"/>
          </w:tcPr>
          <w:p>
            <w:pPr>
              <w:jc w:val="right"/>
              <w:ind w:right="519"/>
              <w:spacing w:after="0"/>
              <w:rPr>
                <w:sz w:val="20"/>
                <w:szCs w:val="20"/>
                <w:color w:val="auto"/>
              </w:rPr>
            </w:pPr>
            <w:r>
              <w:rPr>
                <w:rFonts w:ascii="Arial" w:cs="Arial" w:eastAsia="Arial" w:hAnsi="Arial"/>
                <w:sz w:val="16"/>
                <w:szCs w:val="16"/>
                <w:color w:val="auto"/>
              </w:rPr>
              <w:t>165</w:t>
            </w: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459"/>
        </w:trPr>
        <w:tc>
          <w:tcPr>
            <w:tcW w:w="1120" w:type="dxa"/>
            <w:vAlign w:val="bottom"/>
          </w:tcPr>
          <w:p>
            <w:pPr>
              <w:jc w:val="right"/>
              <w:ind w:right="459"/>
              <w:spacing w:after="0"/>
              <w:rPr>
                <w:sz w:val="20"/>
                <w:szCs w:val="20"/>
                <w:color w:val="auto"/>
              </w:rPr>
            </w:pPr>
            <w:r>
              <w:rPr>
                <w:rFonts w:ascii="Arial" w:cs="Arial" w:eastAsia="Arial" w:hAnsi="Arial"/>
                <w:sz w:val="16"/>
                <w:szCs w:val="16"/>
                <w:color w:val="auto"/>
                <w:w w:val="93"/>
              </w:rPr>
              <w:t>(25,756)</w:t>
            </w:r>
          </w:p>
        </w:tc>
        <w:tc>
          <w:tcPr>
            <w:tcW w:w="1120" w:type="dxa"/>
            <w:vAlign w:val="bottom"/>
          </w:tcPr>
          <w:p>
            <w:pPr>
              <w:jc w:val="right"/>
              <w:spacing w:after="0"/>
              <w:rPr>
                <w:sz w:val="20"/>
                <w:szCs w:val="20"/>
                <w:color w:val="auto"/>
              </w:rPr>
            </w:pPr>
            <w:r>
              <w:rPr>
                <w:rFonts w:ascii="Arial" w:cs="Arial" w:eastAsia="Arial" w:hAnsi="Arial"/>
                <w:sz w:val="16"/>
                <w:szCs w:val="16"/>
                <w:color w:val="auto"/>
              </w:rPr>
              <w:t>(21,562)</w:t>
            </w:r>
          </w:p>
        </w:tc>
      </w:tr>
      <w:tr>
        <w:trPr>
          <w:trHeight w:val="270"/>
        </w:trPr>
        <w:tc>
          <w:tcPr>
            <w:tcW w:w="1120" w:type="dxa"/>
            <w:vAlign w:val="bottom"/>
          </w:tcPr>
          <w:p>
            <w:pPr>
              <w:jc w:val="right"/>
              <w:ind w:right="459"/>
              <w:spacing w:after="0"/>
              <w:rPr>
                <w:sz w:val="20"/>
                <w:szCs w:val="20"/>
                <w:color w:val="auto"/>
              </w:rPr>
            </w:pPr>
            <w:r>
              <w:rPr>
                <w:rFonts w:ascii="Arial" w:cs="Arial" w:eastAsia="Arial" w:hAnsi="Arial"/>
                <w:sz w:val="16"/>
                <w:szCs w:val="16"/>
                <w:color w:val="auto"/>
              </w:rPr>
              <w:t>(6,051)</w:t>
            </w:r>
          </w:p>
        </w:tc>
        <w:tc>
          <w:tcPr>
            <w:tcW w:w="1120" w:type="dxa"/>
            <w:vAlign w:val="bottom"/>
          </w:tcPr>
          <w:p>
            <w:pPr>
              <w:jc w:val="right"/>
              <w:spacing w:after="0"/>
              <w:rPr>
                <w:sz w:val="20"/>
                <w:szCs w:val="20"/>
                <w:color w:val="auto"/>
              </w:rPr>
            </w:pPr>
            <w:r>
              <w:rPr>
                <w:rFonts w:ascii="Arial" w:cs="Arial" w:eastAsia="Arial" w:hAnsi="Arial"/>
                <w:sz w:val="16"/>
                <w:szCs w:val="16"/>
                <w:color w:val="auto"/>
              </w:rPr>
              <w:t>(8,034)</w:t>
            </w:r>
          </w:p>
        </w:tc>
      </w:tr>
    </w:tbl>
    <w:p>
      <w:pPr>
        <w:spacing w:after="0" w:line="13" w:lineRule="exact"/>
        <w:rPr>
          <w:sz w:val="20"/>
          <w:szCs w:val="20"/>
          <w:color w:val="auto"/>
        </w:rPr>
      </w:pPr>
    </w:p>
    <w:p>
      <w:pPr>
        <w:sectPr>
          <w:pgSz w:w="11900" w:h="16838" w:orient="portrait"/>
          <w:cols w:equalWidth="0" w:num="2">
            <w:col w:w="8220" w:space="720"/>
            <w:col w:w="2280"/>
          </w:cols>
          <w:pgMar w:left="320" w:top="179" w:right="359" w:bottom="379"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9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124,875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131,950</w:t>
            </w:r>
          </w:p>
        </w:tc>
      </w:tr>
      <w:tr>
        <w:trPr>
          <w:trHeight w:val="217"/>
        </w:trPr>
        <w:tc>
          <w:tcPr>
            <w:tcW w:w="798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293,427</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260,102</w:t>
            </w:r>
          </w:p>
        </w:tc>
      </w:tr>
      <w:tr>
        <w:trPr>
          <w:trHeight w:val="33"/>
        </w:trPr>
        <w:tc>
          <w:tcPr>
            <w:tcW w:w="7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220"/>
          </w:cols>
          <w:pgMar w:left="320" w:top="179" w:right="359" w:bottom="379"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179" w:right="359" w:bottom="379"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3"/>
        </w:trPr>
        <w:tc>
          <w:tcPr>
            <w:tcW w:w="8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57,091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14,506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11,219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8,192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69,665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57,149</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Income (loss) before provision for (benefit from)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3,725</w:t>
            </w:r>
          </w:p>
        </w:tc>
      </w:tr>
      <w:tr>
        <w:trPr>
          <w:trHeight w:val="311"/>
        </w:trPr>
        <w:tc>
          <w:tcPr>
            <w:tcW w:w="8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34,175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33,913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35,681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35,342</w:t>
            </w:r>
          </w:p>
        </w:tc>
      </w:tr>
      <w:tr>
        <w:trPr>
          <w:trHeight w:val="27"/>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99"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unrealized gains on investment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r>
      <w:tr>
        <w:trPr>
          <w:trHeight w:val="257"/>
        </w:trPr>
        <w:tc>
          <w:tcPr>
            <w:tcW w:w="8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3,854</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2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gridSpan w:val="3"/>
          </w:tcPr>
          <w:p>
            <w:pPr>
              <w:jc w:val="center"/>
              <w:ind w:left="201"/>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3"/>
                <w:szCs w:val="23"/>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6"/>
        </w:trPr>
        <w:tc>
          <w:tcPr>
            <w:tcW w:w="2600" w:type="dxa"/>
            <w:vAlign w:val="bottom"/>
          </w:tcPr>
          <w:p>
            <w:pPr>
              <w:spacing w:after="0"/>
              <w:rPr>
                <w:sz w:val="24"/>
                <w:szCs w:val="24"/>
                <w:color w:val="auto"/>
              </w:rPr>
            </w:pPr>
          </w:p>
        </w:tc>
        <w:tc>
          <w:tcPr>
            <w:tcW w:w="11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Class A</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89"/>
              </w:rPr>
              <w:t>Class B</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63"/>
        </w:trPr>
        <w:tc>
          <w:tcPr>
            <w:tcW w:w="2600" w:type="dxa"/>
            <w:vAlign w:val="bottom"/>
          </w:tcPr>
          <w:p>
            <w:pPr>
              <w:spacing w:after="0"/>
              <w:rPr>
                <w:sz w:val="22"/>
                <w:szCs w:val="22"/>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161,509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131,950</w:t>
            </w: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97</w:t>
            </w:r>
          </w:p>
        </w:tc>
      </w:tr>
      <w:tr>
        <w:trPr>
          <w:trHeight w:val="33"/>
        </w:trPr>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1,365</w:t>
            </w:r>
          </w:p>
        </w:tc>
      </w:tr>
      <w:tr>
        <w:trPr>
          <w:trHeight w:val="220"/>
        </w:trPr>
        <w:tc>
          <w:tcPr>
            <w:tcW w:w="2600" w:type="dxa"/>
            <w:vAlign w:val="bottom"/>
          </w:tcPr>
          <w:p>
            <w:pPr>
              <w:ind w:left="40"/>
              <w:spacing w:after="0"/>
              <w:rPr>
                <w:sz w:val="20"/>
                <w:szCs w:val="20"/>
                <w:color w:val="auto"/>
              </w:rPr>
            </w:pPr>
            <w:r>
              <w:rPr>
                <w:rFonts w:ascii="Arial" w:cs="Arial" w:eastAsia="Arial" w:hAnsi="Arial"/>
                <w:sz w:val="16"/>
                <w:szCs w:val="16"/>
                <w:color w:val="auto"/>
                <w:w w:val="93"/>
              </w:rPr>
              <w:t>Vesting of restricted stock units, net of</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0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(6,458)</w:t>
            </w:r>
          </w:p>
        </w:tc>
      </w:tr>
      <w:tr>
        <w:trPr>
          <w:trHeight w:val="33"/>
        </w:trPr>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Conversion of Class B stock to Class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stock</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132</w:t>
            </w:r>
          </w:p>
        </w:tc>
      </w:tr>
      <w:tr>
        <w:trPr>
          <w:trHeight w:val="33"/>
        </w:trPr>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w:t>
            </w: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1,983</w:t>
            </w:r>
          </w:p>
        </w:tc>
      </w:tr>
      <w:tr>
        <w:trPr>
          <w:trHeight w:val="33"/>
        </w:trPr>
        <w:tc>
          <w:tcPr>
            <w:tcW w:w="2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16,670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156,513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124,875</w:t>
            </w:r>
          </w:p>
        </w:tc>
      </w:tr>
      <w:tr>
        <w:trPr>
          <w:trHeight w:val="20"/>
        </w:trPr>
        <w:tc>
          <w:tcPr>
            <w:tcW w:w="2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70"/>
        </w:trPr>
        <w:tc>
          <w:tcPr>
            <w:tcW w:w="2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2380" w:type="dxa"/>
            <w:vAlign w:val="bottom"/>
          </w:tcPr>
          <w:p>
            <w:pPr>
              <w:spacing w:after="0"/>
              <w:rPr>
                <w:sz w:val="23"/>
                <w:szCs w:val="23"/>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23"/>
                <w:szCs w:val="23"/>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6"/>
        </w:trPr>
        <w:tc>
          <w:tcPr>
            <w:tcW w:w="23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89"/>
              </w:rPr>
              <w:t>Class A</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r>
      <w:tr>
        <w:trPr>
          <w:trHeight w:val="263"/>
        </w:trPr>
        <w:tc>
          <w:tcPr>
            <w:tcW w:w="23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23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74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18,109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157,898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(21,562)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91,846</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90</w:t>
            </w:r>
          </w:p>
        </w:tc>
      </w:tr>
      <w:tr>
        <w:trPr>
          <w:trHeight w:val="33"/>
        </w:trPr>
        <w:tc>
          <w:tcPr>
            <w:tcW w:w="2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1,831</w:t>
            </w: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Vesting of restricted stock units,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(2,572)</w:t>
            </w:r>
          </w:p>
        </w:tc>
      </w:tr>
      <w:tr>
        <w:trPr>
          <w:trHeight w:val="33"/>
        </w:trPr>
        <w:tc>
          <w:tcPr>
            <w:tcW w:w="2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Vesting of early exercised shares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Conversion of Class B stock to</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Class A stock</w:t>
            </w: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3,725</w:t>
            </w:r>
          </w:p>
        </w:tc>
      </w:tr>
      <w:tr>
        <w:trPr>
          <w:trHeight w:val="33"/>
        </w:trPr>
        <w:tc>
          <w:tcPr>
            <w:tcW w:w="23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15,899</w:t>
            </w:r>
          </w:p>
        </w:tc>
        <w:tc>
          <w:tcPr>
            <w:tcW w:w="740" w:type="dxa"/>
            <w:vAlign w:val="bottom"/>
            <w:gridSpan w:val="3"/>
            <w:shd w:val="clear" w:color="auto" w:fill="CCEEFF"/>
          </w:tcPr>
          <w:p>
            <w:pPr>
              <w:jc w:val="right"/>
              <w:ind w:right="32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18,071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157,253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(21,562)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95,055</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27"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3,725</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5,076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(4,281)</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660</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Accrued employee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from investing activities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0"/>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Proceeds from sales of available-for-sale investments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1,750</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Purchases of property, equipment and intangible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capitalized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paid in business acquisition, net of cash acquired</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(54,004)</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(55,692)</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from financing activities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0"/>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Tax withholding for net share settlement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6"/>
        </w:trPr>
        <w:tc>
          <w:tcPr>
            <w:tcW w:w="8440" w:type="dxa"/>
            <w:vAlign w:val="bottom"/>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(57,294)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74,506</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17,212</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79"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27"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54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Additions of capitalized software included in accrued and accrued employee expenses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391</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capitalized for software development</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Tax withholding for net share settlement included in accrued employee expenses</w:t>
            </w:r>
          </w:p>
        </w:tc>
        <w:tc>
          <w:tcPr>
            <w:tcW w:w="8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1,258</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consideration for acquisitions included in other current liabilities</w:t>
            </w:r>
          </w:p>
        </w:tc>
        <w:tc>
          <w:tcPr>
            <w:tcW w:w="8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6,000</w:t>
            </w:r>
          </w:p>
        </w:tc>
      </w:tr>
      <w:tr>
        <w:trPr>
          <w:trHeight w:val="27"/>
        </w:trPr>
        <w:tc>
          <w:tcPr>
            <w:tcW w:w="8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16,783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429</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57,215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17,212</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AppFolio, Inc.'s (the "Company,"“we,” "us" or "our") mission is to revolutionize vertical industry businesses by providing great software and services. Today we offer industry-specific, cloud-based business software solutions, services and data analytics to the real estate market, which represents over 90% of our revenue, and, to a lesser extent, to the legal market. Although specific functionality varies by product, our core solutions address common business operations and interactions of businesses in our targeted verticals. In addition to our core solutions, we offer a range of optional, but often business-critical, Value+ services. Our Value+ services are built to enhance, automate and streamline processes and support workflows essential to our customers' businesses.</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real estate software solutions provide our property management customers with a system of record to automate essential business processes, a system of engagement to enhance business interactions between our customers and their clients and other stakeholders, and a system of intelligence to leverage data to predict and optimize business workflows that enable superior customer experiences and increase efficiency across our customers' businesses. We also provide software solutions to the legal market that enable law firms to administer their practice and manage their caseloads more efficiently by centralizing case details in a single system of record and system of engagement.</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significant majority of our customers in the real estate market use our property management solutions. Our property management customers include third-party property managers and owner-operators who manage single- and multi-family residences, community associations, commercial properties, and student housing, as well as mixed real estate portfolios. Our legal customers are typically small law firms that directly and indirectly account for less than 10% of our annual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on Form 10-K for the fiscal year ended December 31, 2019 ("Annual Report"), filed with the Securities and Exchange Commission ("SEC") on March 2, 2020.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2020 are not necessarily indicative of the results expected for the full year ending December 31, 2020.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Balance Sheets and Condensed Consolidated Statements of Cash Flows within the cash from operating activities section in the prior year to conform to the current year's presentation.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described below under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there have been no significant changes in our accounting policies from those disclosed in our annual consolidated financial statements and the related notes included in our Annual Report.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and valuation and assumptions underlying stock-based compensation and other equity instruments.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2019, a novel coronavirus disease ("COVID-19") was reported and has spread globally, including to every state in the United States. On March 11, 2020, the World Health Organization declared COVID-19 a pandemic, and on March 13, 2020, the United States government declared a national emergency with respect to COVID-19. COVID-19 has created and may continue to create significant uncertainty in global financial markets, which may reduce demand for our core solutions and/or Value+ services, impact the productivity of our workforce, reduce our access to capital, and harm our business and results of operations.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 currently unknown ultimate duration and severity of COVID-19, we face a greater degree of uncertainty than normal in making the judgments and estimates needed to apply our significant accounting policies. The Company assessed certain accounting matters that generally require consideration of forecasted financial information in context with the information reasonably available to the Company and the unknown future impacts COVID-19 as of March 31, 2020 and through the date of this report. The accounting matters assessed included, but were not limited to, the Company’s allowance for doubtful accounts and credit losses, the carrying value of the goodwill and other long-lived assets, incentive-based compensation and income taxes.</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Condensed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current level of uncertainty over the economic and operational impacts of COVID-19 on our business, there may be other judgments and assumptions that were not currently considered. Such judgments and assumptions could result in a meaningful impact on our financial statements in future periods. Actual results could differ from those estimates and any such differences may have a material impact on our financial statements.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p>
      <w:pPr>
        <w:spacing w:after="0" w:line="103"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13335</wp:posOffset>
            </wp:positionV>
            <wp:extent cx="1346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34,175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33,913</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20"/>
              <w:spacing w:after="0"/>
              <w:rPr>
                <w:sz w:val="20"/>
                <w:szCs w:val="20"/>
                <w:color w:val="auto"/>
              </w:rPr>
            </w:pPr>
            <w:r>
              <w:rPr>
                <w:rFonts w:ascii="Arial" w:cs="Arial" w:eastAsia="Arial" w:hAnsi="Arial"/>
                <w:sz w:val="18"/>
                <w:szCs w:val="18"/>
                <w:color w:val="auto"/>
                <w:w w:val="91"/>
              </w:rPr>
              <w:t>Plus: Weighted average options, restricted stock units and restricted shares used to compute diluted net income per common</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share</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35,681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35,342</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and 2019, an aggregate of 135,000 and 362,000 shares, respectively, underlying performance-based stock options ("PSOs") and performance-based restricted stock units ("PSUs"), were not included in the computations of diluted and anti-dilutive shares as they are considered contingently issuable upon the satisfaction of pre-defined performance measures and their respective performance measures have not been met.</w:t>
      </w:r>
    </w:p>
    <w:p>
      <w:pPr>
        <w:spacing w:after="0" w:line="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Restricted stock units ("RSUs") with anti-dilutive effect were excluded from the calculation of weighted average number of shares used to compute diluted net income per common share and they were not material for the three months ended March 31, 2020 and 2019.</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 Credit Losses (Topic 326): Measurement of Credit Losses on Financial Instruments</w:t>
      </w:r>
      <w:r>
        <w:rPr>
          <w:rFonts w:ascii="Arial" w:cs="Arial" w:eastAsia="Arial" w:hAnsi="Arial"/>
          <w:sz w:val="17"/>
          <w:szCs w:val="17"/>
          <w:color w:val="auto"/>
        </w:rPr>
        <w:t>, which amends the current accounting guidance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The adoption of this guidance did not have a material impact on our financial condition, results of operations, cash flows or disclosures.</w:t>
      </w:r>
    </w:p>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a series of amendments which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The adoption of this guidance did not have a material impact on our financial condition, results of operations, cash flows or disclosures.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ASU 2019-12 is effective for public business entities for fiscal years, and interim periods within those years, beginning after December 15, 2020. We do not expect the adoption of this guidance to have a material impact on our financial condition, results of operations, cash flows or disclosures.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 Facilitation of the Effects of Reference rate Reform on Financial Reporting.</w:t>
      </w:r>
      <w:r>
        <w:rPr>
          <w:rFonts w:ascii="Arial" w:cs="Arial" w:eastAsia="Arial" w:hAnsi="Arial"/>
          <w:sz w:val="18"/>
          <w:szCs w:val="18"/>
          <w:color w:val="auto"/>
        </w:rPr>
        <w:t xml:space="preserve"> This guidance is intended to provide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This guidance is effective beginning March 12, 2020, and the Company may elect to apply the amendments prospectively through December 31, 2022. We are currently evaluating the effect of the adoption of this guidance on our financial condition, results of operations, cash flows and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Dynasty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7, 2019, we acquired 100% of the voting equity interest of Dynasty Marketplace, Inc. ("Dynasty") for $60.2 million. Dynasty is a provider of advanced AI solutions for the real estate market that automate leasing communications, replace manual tasks and help customers grow their portfolios.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as of the acquisition date. Determining the fair value of assets acquired and liabilities assumed requires management to make significant judgments and estimates, including the selection of valuation methodologies and comparable companies, estimates of future revenue and cash flows, discount rates, and the software decay rate and database ramp up rate. The following table summarizes the final purchase price allocation (in thousands), as well as the estimated useful lives of the acquired intangible assets over which they are amortized on a straight-line basis, as this approximates the pattern in which economic benefits will be consumed: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192"/>
        </w:trPr>
        <w:tc>
          <w:tcPr>
            <w:tcW w:w="8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Identified intangible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4.0</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4,710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10.0</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5.0</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1.0</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 &amp; 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10.0</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7,340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5.0</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20,750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42,877</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63,967</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318"/>
        </w:trPr>
        <w:tc>
          <w:tcPr>
            <w:tcW w:w="8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60,208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non-deductible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a total of $291,000 in transaction costs related to the acquisition and expensed all transaction costs incurred during the period in which such service was received.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pro forma information has been prepared for illustrative purposes only, and assumes that the aforementioned Dynasty acquisition occurred on January 1, 2018,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30"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CCEEFF"/>
            </w:tcBorders>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4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57,126</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5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891"/>
        </w:trPr>
        <w:tc>
          <w:tcPr>
            <w:tcW w:w="3420" w:type="dxa"/>
            <w:vAlign w:val="bottom"/>
          </w:tcPr>
          <w:p>
            <w:pPr>
              <w:spacing w:after="0"/>
              <w:rPr>
                <w:sz w:val="24"/>
                <w:szCs w:val="24"/>
                <w:color w:val="auto"/>
              </w:rPr>
            </w:pPr>
          </w:p>
        </w:tc>
        <w:tc>
          <w:tcPr>
            <w:tcW w:w="5240" w:type="dxa"/>
            <w:vAlign w:val="bottom"/>
          </w:tcPr>
          <w:p>
            <w:pPr>
              <w:jc w:val="right"/>
              <w:ind w:right="28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704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at March 31, 2020 and December 31, 2019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14,628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Amortized Cost</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34,965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March 31, 2020.</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2020 and December 31, 2019, the contractual maturities of our investments did not exceed 36 months. The fair values of available-for-sale investment securities, by remaining contractual maturity, are as follows (in thousands):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March 31, 2020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December 31, 2019</w:t>
            </w:r>
          </w:p>
        </w:tc>
        <w:tc>
          <w:tcPr>
            <w:tcW w:w="76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Estimated Fair Value</w:t>
            </w:r>
          </w:p>
        </w:tc>
      </w:tr>
      <w:tr>
        <w:trPr>
          <w:trHeight w:val="25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6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12,074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12,089</w:t>
            </w: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available-for-sale investment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14,451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34,920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2020 and 2019, we had sales and maturities (which include calls) of investment securities, as follows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Realized Gains</w:t>
            </w:r>
          </w:p>
        </w:tc>
        <w:tc>
          <w:tcPr>
            <w:tcW w:w="100" w:type="dxa"/>
            <w:vAlign w:val="bottom"/>
            <w:vMerge w:val="restart"/>
          </w:tcPr>
          <w:p>
            <w:pPr>
              <w:spacing w:after="0"/>
              <w:rPr>
                <w:sz w:val="13"/>
                <w:szCs w:val="13"/>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9"/>
              </w:rPr>
              <w:t>Gross Realized Losses</w:t>
            </w:r>
          </w:p>
        </w:tc>
        <w:tc>
          <w:tcPr>
            <w:tcW w:w="120" w:type="dxa"/>
            <w:vAlign w:val="bottom"/>
            <w:vMerge w:val="restart"/>
          </w:tcPr>
          <w:p>
            <w:pPr>
              <w:spacing w:after="0"/>
              <w:rPr>
                <w:sz w:val="13"/>
                <w:szCs w:val="13"/>
                <w:color w:val="auto"/>
              </w:rPr>
            </w:pPr>
          </w:p>
        </w:tc>
        <w:tc>
          <w:tcPr>
            <w:tcW w:w="15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Gross Proceeds from</w:t>
            </w:r>
          </w:p>
        </w:tc>
        <w:tc>
          <w:tcPr>
            <w:tcW w:w="14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Gross Proceeds from</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6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securities</w:t>
            </w:r>
          </w:p>
        </w:tc>
        <w:tc>
          <w:tcPr>
            <w:tcW w:w="6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7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2019</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Gross Realized Gains</w:t>
            </w:r>
          </w:p>
        </w:tc>
        <w:tc>
          <w:tcPr>
            <w:tcW w:w="100" w:type="dxa"/>
            <w:vAlign w:val="bottom"/>
            <w:vMerge w:val="restart"/>
          </w:tcPr>
          <w:p>
            <w:pPr>
              <w:spacing w:after="0"/>
              <w:rPr>
                <w:sz w:val="13"/>
                <w:szCs w:val="13"/>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Gross Realized Losses</w:t>
            </w:r>
          </w:p>
        </w:tc>
        <w:tc>
          <w:tcPr>
            <w:tcW w:w="120" w:type="dxa"/>
            <w:vAlign w:val="bottom"/>
            <w:vMerge w:val="restart"/>
          </w:tcPr>
          <w:p>
            <w:pPr>
              <w:spacing w:after="0"/>
              <w:rPr>
                <w:sz w:val="13"/>
                <w:szCs w:val="13"/>
                <w:color w:val="auto"/>
              </w:rPr>
            </w:pPr>
          </w:p>
        </w:tc>
        <w:tc>
          <w:tcPr>
            <w:tcW w:w="15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14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9"/>
              </w:rPr>
              <w:t>Maturities</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Interest income, net of the amortization and accretion of the premium and discount, was $0.1 million and $0.2 million for the three months ended March 31, 2020 and 2019,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March 31, 2020 and December 31, 2019 by level within the fair value hierarchy (in thousands):</w:t>
      </w:r>
    </w:p>
    <w:p>
      <w:pPr>
        <w:spacing w:after="0" w:line="200" w:lineRule="exact"/>
        <w:rPr>
          <w:sz w:val="20"/>
          <w:szCs w:val="20"/>
          <w:color w:val="auto"/>
        </w:rPr>
      </w:pPr>
    </w:p>
    <w:p>
      <w:pPr>
        <w:spacing w:after="0" w:line="205"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17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28,548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28,548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38,888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43,176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9,614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20,732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35,302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equivalents, restricted cash, accounts receivable, accounts payable and accrued liabilities approximate fair value because of the short maturity of these items.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estimated fair value of the $50.0 million term loan issued by Wells Fargo Bank, National Association ("Wells Fargo"), as administrative agent, and the lenders that are parties thereto ("Term Loan") and the $50.0 million revolving credit facility made available to us by Wells Fargo and the lenders that are parties thereto ("Revolving Facility," and together with the Term Loan, the "Credit Facility"), approximate their carrying values due to the variable interest rates. We consider the fair value of the Term Loan and the Revolving Facility to be Level 2 measurements as these debt instruments are not actively traded. We carry the Term Loan at face value less the unamortized discount. Refer to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Condensed Consolidated Financial Statements for more information about our Term Loan and Revolving Facility.</w:t>
      </w:r>
    </w:p>
    <w:p>
      <w:pPr>
        <w:spacing w:after="0" w:line="3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three months ended March 31, 2020. The valuation techniques for the financial assets in the tables above are as follows:</w:t>
      </w:r>
    </w:p>
    <w:p>
      <w:pPr>
        <w:sectPr>
          <w:pgSz w:w="11900" w:h="16838" w:orient="portrait"/>
          <w:cols w:equalWidth="0" w:num="1">
            <w:col w:w="11240"/>
          </w:cols>
          <w:pgMar w:left="320" w:top="179"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79"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and December 31, 2019, cash equivalents include cash invested in money market funds with a maturity of three months or less. Fair value is based on market prices for identical assets.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including goodwill, intangible assets and our note receivable with SecureDocs, Inc., are also subject to measurement at fair value on a non-recurring basis using Level 3 measurement, but only when they are deemed to be impaired. For the three months ended March 31, 2020 and 2019, no impairments were identified on those assets required to be measured at fair value on a non-recurring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Internal-Use Software Development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Internal-use software development costs as of March 31, 2020 and December 31,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gross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81,475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(51,452)</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30,023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Capitalized software development costs were $6.7 million and $5.0 million for the three months ended March 31, 2020 and 2019, respectively. Amortization expense with respect to software development costs totaled $4.2 million and $3.0 million for the three months ended March 31, 2020 and 2019,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with respect to capitalized software development costs as of March 31, 2020 is estimated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5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2021</w:t>
            </w:r>
          </w:p>
        </w:tc>
        <w:tc>
          <w:tcPr>
            <w:tcW w:w="5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2023</w:t>
            </w:r>
          </w:p>
        </w:tc>
        <w:tc>
          <w:tcPr>
            <w:tcW w:w="5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6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32,587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Arial" w:cs="Arial" w:eastAsia="Arial" w:hAnsi="Arial"/>
                <w:sz w:val="18"/>
                <w:szCs w:val="18"/>
                <w:color w:val="auto"/>
              </w:rPr>
              <w:t>14</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 as of March 31, 2020 and December 31, 2019 (in thousands, except years):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32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Useful Life in</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7,168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1,654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5,546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20,121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32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Useful Life in</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7,376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Trademarks &amp; trade names</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1,792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5,916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33,734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21,377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with respect to intangible assets totaled $1.3 million and $1.4 million for the three months ended March 31, 2020 and 2019, respectively. Future amortization expense with respect to intangible assets is estimated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4,727</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4,665</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3,060</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2,849</w:t>
            </w:r>
          </w:p>
        </w:tc>
      </w:tr>
      <w:tr>
        <w:trPr>
          <w:trHeight w:val="27"/>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20,121</w:t>
            </w: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operating leases for our corporate offices and data centers. Our leases have remaining lease terms ranging from one to twelve years, some of which include options to extend the leases by up to 10 years. These options to extend have not been recognized as part of our operating lease right-of-use assets and lease liabilities as it is not reasonably certain that we will exercise</w:t>
      </w:r>
    </w:p>
    <w:p>
      <w:pPr>
        <w:sectPr>
          <w:pgSz w:w="11900" w:h="16838" w:orient="portrait"/>
          <w:cols w:equalWidth="0" w:num="1">
            <w:col w:w="11240"/>
          </w:cols>
          <w:pgMar w:left="320" w:top="179"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79"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options. Our lease agreements do not contain any residual value guarantees or material restrictive covenants. We have lease agreements with lease and non-lease components, which we have elected to combine for all asset classes. The total lease cost associated with our operating leases for the three months ended March 31, 2020 and 2019 was $1.4 million and $1.2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at March 31, 2020 and December 31, 2019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3,908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27,803</w:t>
            </w:r>
          </w:p>
        </w:tc>
      </w:tr>
      <w:tr>
        <w:trPr>
          <w:trHeight w:val="324"/>
        </w:trPr>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2,826</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33,312</w:t>
            </w:r>
          </w:p>
        </w:tc>
      </w:tr>
      <w:tr>
        <w:trPr>
          <w:trHeight w:val="257"/>
        </w:trPr>
        <w:tc>
          <w:tcPr>
            <w:tcW w:w="7980" w:type="dxa"/>
            <w:vAlign w:val="bottom"/>
          </w:tcPr>
          <w:p>
            <w:pPr>
              <w:ind w:left="28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36,922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36,138</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35"/>
        </w:trPr>
        <w:tc>
          <w:tcPr>
            <w:tcW w:w="9680" w:type="dxa"/>
            <w:vAlign w:val="bottom"/>
            <w:gridSpan w:val="4"/>
          </w:tcPr>
          <w:p>
            <w:pPr>
              <w:ind w:left="660"/>
              <w:spacing w:after="0"/>
              <w:rPr>
                <w:sz w:val="20"/>
                <w:szCs w:val="20"/>
                <w:color w:val="auto"/>
              </w:rPr>
            </w:pPr>
            <w:r>
              <w:rPr>
                <w:rFonts w:ascii="Arial" w:cs="Arial" w:eastAsia="Arial" w:hAnsi="Arial"/>
                <w:sz w:val="18"/>
                <w:szCs w:val="18"/>
                <w:color w:val="auto"/>
                <w:w w:val="97"/>
              </w:rPr>
              <w:t>Future minimum lease payments under non-cancellable leases as of March 31, 2020 were as follows (in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5"/>
        </w:trPr>
        <w:tc>
          <w:tcPr>
            <w:tcW w:w="7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2020</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1,663</w:t>
            </w:r>
          </w:p>
        </w:tc>
      </w:tr>
      <w:tr>
        <w:trPr>
          <w:trHeight w:val="270"/>
        </w:trPr>
        <w:tc>
          <w:tcPr>
            <w:tcW w:w="7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2021</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4,085</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3,908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29,590</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45,606</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(11,802)</w:t>
            </w:r>
          </w:p>
        </w:tc>
      </w:tr>
      <w:tr>
        <w:trPr>
          <w:trHeight w:val="263"/>
        </w:trPr>
        <w:tc>
          <w:tcPr>
            <w:tcW w:w="7980" w:type="dxa"/>
            <w:vAlign w:val="bottom"/>
          </w:tcPr>
          <w:p>
            <w:pPr>
              <w:ind w:left="280"/>
              <w:spacing w:after="0" w:line="263"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33,804</w:t>
            </w:r>
          </w:p>
        </w:tc>
      </w:tr>
      <w:tr>
        <w:trPr>
          <w:trHeight w:val="20"/>
        </w:trPr>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Future minimum lease payments are presented net of tenant improvement allowances of $2.8 million and $2.3 million, respectively.</w:t>
      </w:r>
    </w:p>
    <w:p>
      <w:pPr>
        <w:spacing w:after="0" w:line="55" w:lineRule="exact"/>
        <w:rPr>
          <w:rFonts w:ascii="Arial" w:cs="Arial" w:eastAsia="Arial" w:hAnsi="Arial"/>
          <w:sz w:val="21"/>
          <w:szCs w:val="21"/>
          <w:color w:val="auto"/>
          <w:vertAlign w:val="superscript"/>
        </w:rPr>
      </w:pPr>
    </w:p>
    <w:p>
      <w:pPr>
        <w:jc w:val="both"/>
        <w:ind w:firstLine="8"/>
        <w:spacing w:after="0" w:line="253" w:lineRule="auto"/>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 xml:space="preserve">Total future minimum lease payments include the current portion of lease liabilities recorded in </w:t>
      </w:r>
      <w:r>
        <w:rPr>
          <w:rFonts w:ascii="Arial" w:cs="Arial" w:eastAsia="Arial" w:hAnsi="Arial"/>
          <w:sz w:val="16"/>
          <w:szCs w:val="16"/>
          <w:i w:val="1"/>
          <w:iCs w:val="1"/>
          <w:color w:val="auto"/>
        </w:rPr>
        <w:t>Prepaid expenses and other current assets</w:t>
      </w:r>
      <w:r>
        <w:rPr>
          <w:rFonts w:ascii="Arial" w:cs="Arial" w:eastAsia="Arial" w:hAnsi="Arial"/>
          <w:sz w:val="16"/>
          <w:szCs w:val="16"/>
          <w:color w:val="auto"/>
        </w:rPr>
        <w:t xml:space="preserve"> of $3.1 million which relates to certain of our leases for which the lease incentives to be received exceed the minimum lease payments to be paid over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24, 2018, we entered into Amendment Number Two to the Credit Agreement (the "Second Amendment") with Wells Fargo, as administrative agent, and the lenders that are parties thereto (as amended, the "Credit Agreement"). Under the terms of the Second Amendment, the lenders issued the Term Loan to us and increased the amount available under the Revolving Facility to $50.0 million. The maturity date of the Term Loan and Revolving Facility is December 24, 2023. In addition, pursuant to the Second Amendment, we are permitted to make certain restricted junior payments, including, without limitation, repurchases of our common stock, and to enter into acquisitions with no value limitation on such acquisitions, so long as we maintain specified liquidity requirements and maintain specified leverage ratios.</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Second Amendment also modified certain financial covenants by, among other things, requiring us to maintain (i) an EBITDA to interest expense ratio of not less than 3.0 to 1.0, and (ii) a funded indebtedness to EBITDA ratio of not more than 3.5 to 1.0 (the "Required Leverage Ratio") (decreasing by 0.25 per year until the Required Leverage Ratio is 2.5 to 1.0); provided, however, that we are not required to maintain the foregoing ratios if our liquidity (defined as the sum of the remaining borrowing capacity under the Credit Agreement and available cash) has equaled or exceeded the greater of $20.0 million and 20% of the sum of the outstanding principal amount of the Term Loan and commitments under the Revolving Facility. If we enter into an Acquisition</w:t>
      </w:r>
    </w:p>
    <w:p>
      <w:pPr>
        <w:sectPr>
          <w:pgSz w:w="11900" w:h="16838" w:orient="portrait"/>
          <w:cols w:equalWidth="0" w:num="1">
            <w:col w:w="11240"/>
          </w:cols>
          <w:pgMar w:left="320" w:top="179"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79"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 purchase price greater than or equal to $20.0 million, then the Required Leverage Ratio will be increased by 0.5 for the 12-month period immediately following the consummation of such Acquisition.</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customary affirmative, negative and financial covenants. The affirmative covenants require us to, among other things, disclose financial and other information to the lenders, maintain our business and properties, and maintain adequate insurance. The negative covenants restrict us from, among other things, incurring additional indebtedness, prepaying certain types of indebtedness, encumbering or disposing of our assets, making fundamental changes to our corporate structure, and making certain dividends and distributions. At March 31, 2020, we were in compliance with the financial covenants under the Credit Agreement.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Second Amendment, borrowings under the Credit Agreement will bear interest at a fluctuating rate per annum equal to, at our option, (i) the adjusted LIBOR or (ii) an alternate base rate, in each case plus the applicable interest rate margin. Borrowings will fluctuate between adjusted LIBOR plus 1.5% per annum and adjusted LIBOR plus 2.0% per annum (or between the alternate base rate plus 0.5% per annum and the alternate base rate plus 1.0% per annum), based upon our leverage ratio.</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Fees payable on the unused portion of the Revolving Facility will be 25 basis points per annum, unless the average usage of the Revolving Facility is equal to or less than $30.0 million for the applicable period, in which case the fees on the unused portion of the Revolving Facility will be 375 basis points per annum.</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and December 31, 2019 we had $1.0 million and $50.0 million, respectively, of available credit under our Revolving Facility. Outstanding borrowings under the Revolving Facility were $49.0 million at March 31, 2020 and there were no outstanding borrowings under the Revolving Facility at December 31, 2019.</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 Costs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Second Amendment, we incurred $0.4 million in financing fees that were capitalized and will be amortized over the remaining life of the related debt, $0.2 million of which was related to the Term Loan and $0.2 million of which was related to the Revolving Facility. Pursuant to GAAP, the Second Amendment is accounted for as a debt modification. As a result, the unamortized deferred debt financing costs related to the Revolving Facility prior to the Second Amendment were added to the $0.2 million of deferred debt financing costs related to the Second Amendment and will be amortized over the remaining life of the Revolving Facility.</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Debt financing costs are deferred and amortized, using the straight-line method, which approximates the effective interest method, for costs related to the Term Loan and the straight-line method for costs related to the Revolving Facility over the term of the debt arrangement; such amortization is included in interest expense in our Condensed Consolidated Statements of Operations. Amortization of deferred debt financing costs was not material for the three months ended March 31, 2020 or 2019. At March 31, 2020 and December 31, 2019, the remaining unamortized deferred debt financing costs were $0.4 million, of which $0.2 million was offset against debt. At March 31, 2020 and December 31, 2019, $0.2 million and $0.3 million, respectively, of the remaining unamortized deferred debt financing costs were recorded 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and other assets on our Condensed Consolidated Balance Sheets, as they pertained to the Revolving Facility.</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long-term debt at March 31, 2020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amounts due under 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48,750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Unamortized debt financing costs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unamortized debt financing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48,280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48,583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principal payments for the Term Loan at March 31, 2020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5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2021</w:t>
            </w:r>
          </w:p>
        </w:tc>
        <w:tc>
          <w:tcPr>
            <w:tcW w:w="5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2023</w:t>
            </w:r>
          </w:p>
        </w:tc>
        <w:tc>
          <w:tcPr>
            <w:tcW w:w="5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payments</w:t>
            </w:r>
          </w:p>
        </w:tc>
        <w:tc>
          <w:tcPr>
            <w:tcW w:w="6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17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March 31, 2020 and December 31, 2019 was $2.0 million and $1.8 million, respectively, and is included in other current liabilities on our Condensed Consolidated Balance Sheets.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Included in prepaid expenses and other current assets as of March 31, 2020 and December 31, 2019, are $1.6 million and $1.3 million, respectively, of deposits held with a third party related to requirements to maintain collateral for this insurance service.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received a Request for Information from the Civil Rights Division (Housing and Civil Enforcement Section) of the U.S. Department of Justice ("DOJ") requesting certain information relating to our compliance with the Servicemembers Civil Relief Act in connection with our tenant screening Value+ service. We continue to fully cooperate with the DOJ, and do not presently have sufficient information to predict the outcome of, or any potential costs or penalties associated with, the DOJ investigation.</w:t>
      </w:r>
    </w:p>
    <w:p>
      <w:pPr>
        <w:spacing w:after="0" w:line="2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2018, we received a Civil Investigative Demand from the Federal Trade Commission ("FTC") requesting certain information relating to our compliance with the Fair Credit Reporting Act (the “FCRA”) in connection with our tenant screening Value+ service. On April 30, 2020, the FTC staff informed us of its belief that there is a reasonable basis for asserting claims against us for our alleged failure to comply with certain sections of the FCRA that could result in monetary penalty and/or injunctive relief. We disagree with the stated belief of the FTC and will vigorously defend our position. We expect to continue to have discussions with the FTC with the goal of quickly resolving the matter. We are unable to predict the outcome of, or any potential costs or penalties associated with this matter at this time, although it is possible any costs or penalties could be material.</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from time to time, we are involved in various other investigatory inquiries or legal proceedings arising from or related to matters incident to the ordinary course of our business activities, including actions with respect to intellectual property, employment, regulatory and contractual issues. Although the results of such investigatory inquiries and legal proceedings cannot be predicted with certainty, we believe that we are not currently a party to any investigatory inquiries or legal proceedings which, if determined adversely to us, would, individually or taken together, have a material adverse effect on our business, operating results, financial condition or cash flows.</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ordinary course of business, we may provide indemnification of varying scope and terms to customers, vendors, investors, directors and officers with respect to certain matters, including, but not limited to, losses arising out of our breach of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may not be subject to maximum loss clauses and may therefore be indeterminable. We have never paid a material claim, nor have any legal claims been brought against us in connection with these indemnification arrangements. As of March 31, 2020 and December 31, 2019, we had not accrued a liability for these indemnification obligations because we determined that the likelihood of incurring any payment obligation in connection with these indemnification arrangements is not probable or reasonably possible, and the amount or range of amounts of any such liability is not reasonably estimable.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20, 2019, our Board of Directors authorized a $100.0 million share repurchase program (the "Program") relating to our outstanding shares of Class A common stock. Under the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 does not obligate us to repurchase any specific dollar amount or number of shares, there is no expiration date for the Program, and it may be modified, suspended or terminated at any time and for any reason.</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a total of 48,002 shares of our Class A common stock through open market repurchases, and recorded a $4.2 million reduction to stockholders' equity, which includes broker commissions. We did not repurchase any shares of our Class A common stock under the Program during the three months ended March 31, 2019.</w:t>
      </w:r>
    </w:p>
    <w:p>
      <w:pPr>
        <w:spacing w:after="0" w:line="396" w:lineRule="exact"/>
        <w:rPr>
          <w:sz w:val="20"/>
          <w:szCs w:val="20"/>
          <w:color w:val="auto"/>
        </w:rPr>
      </w:pPr>
    </w:p>
    <w:p>
      <w:pPr>
        <w:ind w:left="660" w:right="8860" w:hanging="652"/>
        <w:spacing w:after="0" w:line="453" w:lineRule="auto"/>
        <w:tabs>
          <w:tab w:leader="none" w:pos="27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activity in connection with our stock options for the three months ended March 31, 2020, is as follows (number of shares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8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1,342</w:t>
            </w:r>
          </w:p>
        </w:tc>
        <w:tc>
          <w:tcPr>
            <w:tcW w:w="12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Options cancelled/forfeited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23.80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2020</w:t>
            </w:r>
          </w:p>
        </w:tc>
        <w:tc>
          <w:tcPr>
            <w:tcW w:w="1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1,270</w:t>
            </w:r>
          </w:p>
        </w:tc>
        <w:tc>
          <w:tcPr>
            <w:tcW w:w="12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77,000 PSOs vested based on the achievement of 95% of the pre-established free cash flow performance target for the year ended December 31, 2019 and 40,000 PSOs vested based on the achievement of 115% of the pre-established gross margin target for the year ended December 31, 2019.</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stock-based compensation expense for stock options for the three months ended March 31, 2020 was not material and for the three months ended March 31, 2019 was $0.2 million. At March 31, 2020, the total estimated remaining stock-based compensation expense for unvested stock options was not material.</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three months ended March 31, 2020 or 2019.</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activity in connection with our RSUs for the three months ended March 31, 2020, is as follows (number of shares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7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Unvested at December 31, 2019</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March 31, 2020</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three months ended March 31, 2020, we granted 100,000 RSUs that are subject to time-based vesting in equal annual installments over four years, and 3,000 PSUs that are subject to vesting based on the achievement of a pre-established consolidated net revenue growth target for the year ending December 31, 2022,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 based cash bonus payment between 100% and 165% of the initial target awards.</w:t>
      </w:r>
    </w:p>
    <w:p>
      <w:pPr>
        <w:sectPr>
          <w:pgSz w:w="11900" w:h="16838" w:orient="portrait"/>
          <w:cols w:equalWidth="0" w:num="1">
            <w:col w:w="11240"/>
          </w:cols>
          <w:pgMar w:left="320" w:top="179"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79"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2020, 84,000 PSUs vested and 4,000 PSUs were cancelled based on the achievement of 95% of the pre-established free cash flow performance target for the year ended December 31, 2019.</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Included in the unvested RSUs as of March 31, 2020 are 37,000 and 95,000 PSUs granted in 2019 and 2018, respectively. Of these PSUs, 54,000 are subject to vesting based on the achievement of a pre-established consolidated net revenue growth target for the year ending December 31, 2020, 49,000 are subject to vesting based on the achievement of a pre-established consolidated net revenue growth target for the year ending December 31, 2021, and 29,000 are subject to vesting based on the achievement of a pre-established consolidated net revenue growth target for the year ending December 31, 2022.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 based cash bonus payment between 100% and 165% of the initial target awards.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March 31, 2020 and 2019 was $1.2 million and $1.6 million, respectively.</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2020, the total estimated remaining stock-based compensation expense for the RSUs and PSUs was $26.1 million, which is expected to be recognized over a weighted average period of 2.5 years.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52"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8"/>
          <w:szCs w:val="18"/>
          <w:color w:val="auto"/>
        </w:rPr>
        <w:t>A summary of activity in connection with our restricted stock awards for the three months ended March 31, 2020 is as follows (number of shares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6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2020</w:t>
            </w:r>
          </w:p>
        </w:tc>
        <w:tc>
          <w:tcPr>
            <w:tcW w:w="12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the right to repurchase any unvested restricted stock awards subject to certain conditions. Restricted stock awards vest over a one-year period. We recognized stock-based compensation expense for restricted stock awards of $0.1 million for each of the three months ended March 31, 2020 and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the total estimated remaining stock-based compensation expense for unvested restricted stock awards with a repurchase right was $0.2 million, which is expected to be recognized over a weighted average period of 0.5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provision for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we recorded income tax expense of $0.4 million. The income tax expense recorded and the difference between the U.S. federal statutory rate of 21% was primarily due to the tax impact associated with stock-based compensation expense and research and development credits.</w:t>
      </w:r>
    </w:p>
    <w:p>
      <w:pPr>
        <w:spacing w:after="0" w:line="7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the three months ended March 31, 2019, we recorded an income tax benefit of $4.3 million. The tax benefit recorded is primarily due to changes in the deferred tax asset valuation allowance resulting from $4.1 million of deferred tax liabilities acquired through the Dynasty acquisition. The acquired deferred tax liabilities are expected to provide a source of income to support realizability of our existing deferred tax assets.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the Company’s unrecognized tax benefits during the three months ended March 31, 2020 and the Company does not expect to have any significant changes to unrecognized tax benefits through the end of the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categories for the three months ended March 31, 2020 and 2019 (in thousands):</w:t>
      </w:r>
    </w:p>
    <w:p>
      <w:pPr>
        <w:spacing w:after="0" w:line="176"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13335</wp:posOffset>
            </wp:positionV>
            <wp:extent cx="162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49"/>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solutions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20,822</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Value+ services</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33,698</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2,571</w:t>
            </w:r>
          </w:p>
        </w:tc>
      </w:tr>
      <w:tr>
        <w:trPr>
          <w:trHeight w:val="236"/>
        </w:trPr>
        <w:tc>
          <w:tcPr>
            <w:tcW w:w="86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72,495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57,091</w:t>
            </w:r>
          </w:p>
        </w:tc>
      </w:tr>
      <w:tr>
        <w:trPr>
          <w:trHeight w:val="27"/>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2020 and 2019, we recognized $2.3 million and $1.7 million of revenue, respectively, that were included in the deferred revenue balances at December 31, 2019 and 2018, respectively.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revenue is generated primarily from customers in the United States. All of our property and equipment is located in the United States.</w:t>
      </w:r>
    </w:p>
    <w:p>
      <w:pPr>
        <w:sectPr>
          <w:pgSz w:w="11900" w:h="16838" w:orient="portrait"/>
          <w:cols w:equalWidth="0" w:num="1">
            <w:col w:w="11240"/>
          </w:cols>
          <w:pgMar w:left="320" w:top="179" w:right="3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mission is to revolutionize vertical industry businesses by providing great software and services. Today we offer industry-specific, cloud-based business software solutions, services and data analytics to the real estate market, which represents over 90% of our revenue, and, to a lesser extent, to the legal market. Although specific functionality varies by product, our core solutions address common business operations and interactions of businesses in our targeted verticals. In addition to our core solutions, we offer a range of optional, but often business-critical, Value+ services. Our Value+ services are built to enhance, automate and streamline processes and support workflows essential to our customers' businesses.</w:t>
      </w:r>
    </w:p>
    <w:p>
      <w:pPr>
        <w:spacing w:after="0" w:line="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real estate software solutions provide our property management customers (including third-party property managers and owner-operators who manage single- and multi-family residences, community associations, commercial properties, and student housing, as well as mixed real estate portfolios)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Our mobile-optimized software solutions are designed for use across multiple devices and operating systems. Our software solutions are all offered as a service for our customers and hosted using a modern cloud-based architecture. This architecture leads to rich data sets that have a consistent schema across our customer base and enables us to deploy data-powered products and services for our customers. We also provide software solutions to the legal market that enable law firms to administer their practice and manage their caseloads more efficiently by centralizing case details in a single system of record and system of engagement.</w:t>
      </w:r>
    </w:p>
    <w:p>
      <w:pPr>
        <w:spacing w:after="0" w:line="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focused on growing our revenue by increasing the size of our customer base in the markets we serve, increasing the number of units under management, introducing new or expanded Value+ services, retaining customers, and increasing the adoption and utilization of our Value+ services by new and existing customers. We evaluate the success of our business during the periods presented based on factors such as the development and launch of new and innovative core functionality and Value+ services, enhancements to user experience, customer satisfaction, growth in our revenue and customer base, fluctuations in costs and operating expenses as a percentage of revenue, operating loss or income and cash flows from operating activities.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4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date, we have experienced rapid revenue growth due to our investments in research and product development, sales and marketing, customer service and support, and infrastructure. We intend to continue to invest in growth across our organization as we expand in our current and adjacent markets and into new verticals. Over the long-term, these investments to grow our business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 term, but this trend may be interrupted from time to time as a result of accelerated investment opportunities occurring in advance of realization of revenue.</w:t>
      </w:r>
    </w:p>
    <w:p>
      <w:pPr>
        <w:spacing w:after="0" w:line="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managed, and plan to continue to manage, our business towards the achievement of long-term growth that we believe will positively impact long-term stockholder value, and not towards the realization of short-term financial or business metrics, or short-term stockholder value. We have invested, and intend to continue to invest, in our business to capitalize on our market opportunity. Accordingly, if opportunities arise that might cause us to sacrifice our performance with respect to short-term financial or business metrics, but that we believe are in the best interests of our stockholders in the long term, we will take those opportunities.</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2020, we had approximately 1,300 employees, and we consider our relationship with them to be very good. We also hire temporary employees and consultants, and feel similarly about our relationships with them. None of our employees is represented by a labor union or covered by a collective bargaining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Overview</w:t>
      </w:r>
    </w:p>
    <w:p>
      <w:pPr>
        <w:spacing w:after="0" w:line="1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2008, we entered the real estate market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One year later,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We expanded our electronic payment services in 2013 by allowing residents to pay rent by ECP and credit or debit card. In 2014, we launched a tenant-facing contact center solution to assist our property managers with resolving incoming maintenance requests. In 2015, we expanded the marketing services offered to our property management customers with a premium leads service built on technology acquired with our acquisition of RentLinx and expanded our electronic payment services to facilitate payments made between our customers and property owners and vendors. In 2016, we introduced a tenant debt collection Value+ service to assist our property managers with running a more efficient business. We expanded our insurance services in 2017 to enable tenants to purchase renters insurance from within APM, protecting both our property management customers and their tenants. In 2018, we acquired substantially all of the assets of WegoWise, Inc. ("WegoWise"), a provider of cloud-based utility analytics software solutions, and began offering AppFolio Utility Management as a Value+ service to our property management customers in mid-2019. That same year, we released AppFolio Property Manager PLUS ("APM PLUS"), a new tier of APM designed for larger businesses with more complex needs. APM PLUS builds upon the core functionality of APM and also offers data analytics, configurable workflows, and revenue management and optimization functionality for our customers. In January 2019, we acquired Dynasty, a provider of advanced artificial intelligence ("AI") solutions for the real estate market, and began offering an AI Leasing Assistant, which we refer to as "Lisa", as a Value+ service to our property management customers in mid-2019. In April 2019, we launched AppFolio Investment Management, which enables real estate investment managers to better manage their investor relationships by increasing transparency and streamlining certain business processes.</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Over 90% of our annual revenue is derived directly and indirectly from the software solutions, services and data analytics we offer to the real estate market. The significant majority of our customers in the real estate market use our property management solutions. We define our property management customer base as the number of customers subscribing to our property management core solutions. Customer count and property management units under management are presented in the table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Quarter Ended</w:t>
            </w:r>
          </w:p>
        </w:tc>
        <w:tc>
          <w:tcPr>
            <w:tcW w:w="1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3"/>
        </w:trPr>
        <w:tc>
          <w:tcPr>
            <w:tcW w:w="4620" w:type="dxa"/>
            <w:vAlign w:val="bottom"/>
          </w:tcPr>
          <w:p>
            <w:pPr>
              <w:spacing w:after="0"/>
              <w:rPr>
                <w:sz w:val="22"/>
                <w:szCs w:val="22"/>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130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jc w:val="right"/>
              <w:ind w:right="439"/>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6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4"/>
                <w:szCs w:val="14"/>
                <w:b w:val="1"/>
                <w:bCs w:val="1"/>
                <w:color w:val="auto"/>
                <w:w w:val="89"/>
              </w:rPr>
              <w:t>2019</w:t>
            </w:r>
          </w:p>
        </w:tc>
        <w:tc>
          <w:tcPr>
            <w:tcW w:w="1180" w:type="dxa"/>
            <w:vAlign w:val="bottom"/>
            <w:tcBorders>
              <w:top w:val="single" w:sz="8" w:color="auto"/>
              <w:bottom w:val="single" w:sz="8" w:color="auto"/>
            </w:tcBorders>
          </w:tcPr>
          <w:p>
            <w:pPr>
              <w:spacing w:after="0"/>
              <w:rPr>
                <w:sz w:val="21"/>
                <w:szCs w:val="2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manager customers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14,729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14,385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15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13,737</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13,409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Property manager units under management (in millions)</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4.64</w:t>
            </w:r>
          </w:p>
        </w:tc>
        <w:tc>
          <w:tcPr>
            <w:tcW w:w="1180" w:type="dxa"/>
            <w:vAlign w:val="bottom"/>
          </w:tcPr>
          <w:p>
            <w:pPr>
              <w:jc w:val="right"/>
              <w:spacing w:after="0"/>
              <w:rPr>
                <w:sz w:val="20"/>
                <w:szCs w:val="20"/>
                <w:color w:val="auto"/>
              </w:rPr>
            </w:pPr>
            <w:r>
              <w:rPr>
                <w:rFonts w:ascii="Arial" w:cs="Arial" w:eastAsia="Arial" w:hAnsi="Arial"/>
                <w:sz w:val="18"/>
                <w:szCs w:val="18"/>
                <w:color w:val="auto"/>
              </w:rPr>
              <w:t>4.41</w:t>
            </w:r>
          </w:p>
        </w:tc>
        <w:tc>
          <w:tcPr>
            <w:tcW w:w="1580" w:type="dxa"/>
            <w:vAlign w:val="bottom"/>
          </w:tcPr>
          <w:p>
            <w:pPr>
              <w:jc w:val="right"/>
              <w:ind w:right="179"/>
              <w:spacing w:after="0"/>
              <w:rPr>
                <w:sz w:val="20"/>
                <w:szCs w:val="20"/>
                <w:color w:val="auto"/>
              </w:rPr>
            </w:pPr>
            <w:r>
              <w:rPr>
                <w:rFonts w:ascii="Arial" w:cs="Arial" w:eastAsia="Arial" w:hAnsi="Arial"/>
                <w:sz w:val="18"/>
                <w:szCs w:val="18"/>
                <w:color w:val="auto"/>
              </w:rPr>
              <w:t>4.23</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4.08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Overview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the legal market with the acquisition of MyCase in 2012. In 2013, we introduced website design and hosting services, our first Value+ service for our legal market customers, designed to assist smaller law firms and solo practitioners with the marketing of their practices, electronic storage of case information and communications. In 2016, we launched electronic payments services for the legal market, which streamlined the billing and receivables process through MyCase.</w:t>
      </w:r>
    </w:p>
    <w:p>
      <w:pPr>
        <w:spacing w:after="0" w:line="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legal customers directly and indirectly account for less than 10% of our annual revenue. We define our legal customer base as the number of customers subscribing to MyCase core solutions, exclusive of free trial periods. Legal customer count is summarized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6"/>
              </w:rPr>
              <w:t>Quarter Ended</w:t>
            </w:r>
          </w:p>
        </w:tc>
        <w:tc>
          <w:tcPr>
            <w:tcW w:w="1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3"/>
        </w:trPr>
        <w:tc>
          <w:tcPr>
            <w:tcW w:w="4620" w:type="dxa"/>
            <w:vAlign w:val="bottom"/>
          </w:tcPr>
          <w:p>
            <w:pPr>
              <w:spacing w:after="0"/>
              <w:rPr>
                <w:sz w:val="22"/>
                <w:szCs w:val="2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September 30,</w:t>
            </w:r>
          </w:p>
        </w:tc>
        <w:tc>
          <w:tcPr>
            <w:tcW w:w="1580" w:type="dxa"/>
            <w:vAlign w:val="bottom"/>
          </w:tcPr>
          <w:p>
            <w:pPr>
              <w:jc w:val="right"/>
              <w:ind w:right="442"/>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6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1202"/>
              <w:spacing w:after="0"/>
              <w:rPr>
                <w:sz w:val="20"/>
                <w:szCs w:val="20"/>
                <w:color w:val="auto"/>
              </w:rPr>
            </w:pPr>
            <w:r>
              <w:rPr>
                <w:rFonts w:ascii="Arial" w:cs="Arial" w:eastAsia="Arial" w:hAnsi="Arial"/>
                <w:sz w:val="14"/>
                <w:szCs w:val="14"/>
                <w:b w:val="1"/>
                <w:bCs w:val="1"/>
                <w:color w:val="auto"/>
                <w:w w:val="89"/>
              </w:rPr>
              <w:t>2019</w:t>
            </w:r>
          </w:p>
        </w:tc>
        <w:tc>
          <w:tcPr>
            <w:tcW w:w="1180" w:type="dxa"/>
            <w:vAlign w:val="bottom"/>
            <w:tcBorders>
              <w:top w:val="single" w:sz="8" w:color="auto"/>
              <w:bottom w:val="single" w:sz="8" w:color="auto"/>
            </w:tcBorders>
          </w:tcPr>
          <w:p>
            <w:pPr>
              <w:spacing w:after="0"/>
              <w:rPr>
                <w:sz w:val="21"/>
                <w:szCs w:val="21"/>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Law firm customers</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11,115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10,971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w:t>
            </w:r>
          </w:p>
        </w:tc>
        <w:tc>
          <w:tcPr>
            <w:tcW w:w="15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10,631</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10,485</w:t>
            </w:r>
          </w:p>
        </w:tc>
      </w:tr>
      <w:tr>
        <w:trPr>
          <w:trHeight w:val="27"/>
        </w:trPr>
        <w:tc>
          <w:tcPr>
            <w:tcW w:w="46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 Related to the COVID-19 Pandemic</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2019, a novel coronavirus disease, referred to as COVID-19, was reported and has spread globally, including to every state in the United States. On March 11, 2020, the World Health Organization declared COVID-19 a pandemic, and on March 13, 2020, the United States government declared a national emergency with respect to COVID-19.</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the cancellation or postponement of events.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in March 2020, in an effort to protect our employees and comply with applicable government orders, we restricted non-essential employee travel and transitioned our employees to a remote work environment. Although we have not experienced a material impact from shifting our employees to a remote work environment, which we primarily attribute to the professionalism of our workforce and our extensive use of technology throughout our business, if the COVID-19 pandemic requires remote working conditions for a prolonged period of time, it could negatively impact the productivity of our workforce.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began fiscal year 2020 with healthy demand for our products and services, many of which are designed to enable our customers to manage their businesses virtually. During the three months ended March 31, 2020, we did experience some variability in demand for certain Value+ services after certain government restrictions were put in place. We expect demand variability for our products and services could continue as a result of the COVID-19 pandemic, although it is presently unclear whether the cumulative impacts will be positive or negative. We continue to stay close with and listen to our customers to best ensure that we are responding to their needs in the current environment with innovative solutions that will not only be beneficial now but over the long term as well.</w:t>
      </w:r>
    </w:p>
    <w:p>
      <w:pPr>
        <w:spacing w:after="0" w:line="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continue to monitor developments related to COVID-19 and remain flexible in our response to the challenges presented by the pandemic. To mitigate the adverse impact COVID-19 may have on our business and operations, we have implemented a number of measures to protect the health and safety of our employees, as well as to strengthen our financial position. These efforts include increasing our cash position and eliminating, reducing, or deferring non-essential expenditures, as well as complying with local and state government recommendations to protect our workforce.</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reported results for the three month period ended March 31, 2020 may not be reflective of current market conditions, or of our results for any future periods, which may be negatively impacted by the COVID-19 pandemic to a greater extent than the reported period. The impact of the COVID-19 pandemic may also exacerbate other risks discussed in this Quarterly Report. Refer to Item 1A. “Risk Factors” in this Quarterly Report on Form 10-Q for a complete description of the material risks that the Company currently faces.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subscription services is impacted by a number of factors, including the change in the number and type of our customers, the size and needs of our customers’ businesses, our customer renewal rates, pricing for our solutions, and the level of adoption of our Value+ subscription services by new and existing customers.</w:t>
      </w:r>
    </w:p>
    <w:p>
      <w:pPr>
        <w:spacing w:after="0" w:line="14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Revenue from usage-based services is impacted by a number of factors, including the number of new and existing customers that adopt and utilize our Value+ services, the size and needs of our customers, and our customer renewal rates.</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and new tenant applications which impact electronic payment services revenue. Our property management customers historically have processed fewer applications for new tenants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w:t>
      </w:r>
    </w:p>
    <w:p>
      <w:pPr>
        <w:spacing w:after="0" w:line="13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RentLinx, WegoWise, and Dynasty stand-alone customers by providing services outside of our property management core solution platform. Revenue derived from customers using these services is recorded in Other revenue.</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consists of fees paid to third-party service providers associated with delivering certain of our Value+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legal fees and costs associated with the delivery and provision of those services, as well as loss reserves and other costs associated with our legal liability to landlord insurance services), personnel-related costs (including salaries, incentive-based compensation, benefits, and stock-based compensation) for our employees focused on customer service and the support of our operations, platform infrastructure costs (such as data center operations and hosting-related costs), payment processing fees and allocated shared and other costs. Cost of revenue excludes depreciation of property and equipment, and amortization of capitalized software development costs and intangible assets. We intend to continue to invest in customer service and support, and the expansion of our technology infrastructure as we grow the number of our customers, enter new markets, and offer additional Value+ services. These investments could impact cost of revenue both in absolute dollars and as an overall percentage of revenue.</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consists of personnel-related costs (including salaries, sales commissions, incentive-based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that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to increase our customer base in new and existing markets, and increase the adoption and utilization of Value+ services by our new and existing customers.</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Research and Product Development. </w:t>
      </w:r>
      <w:r>
        <w:rPr>
          <w:rFonts w:ascii="Arial" w:cs="Arial" w:eastAsia="Arial" w:hAnsi="Arial"/>
          <w:sz w:val="17"/>
          <w:szCs w:val="17"/>
          <w:color w:val="auto"/>
        </w:rPr>
        <w:t>Research and product development expense consists of personnel-related costs (including salaries, incentive-based compensation, benefits, and stock-based compensation) for our employees focused on research and product development, fees for third-party development resources, and allocated shared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of personnel-related costs (including salaries, a majority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incentive-based compensation, benefits, and stock-based compensation) for employees in our executive, finance, information technology, human resources, corporate development, legal, and administrative organizations. In addition, general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administrative expense includes fees for third-party professional services (including audit, legal, tax, and consulting services), transaction costs related to business combinations, other corporate expenses, and allocated shared costs. We intend to continue to incur incremental general and administrative costs associated with supporting the growth of our business.</w:t>
      </w:r>
    </w:p>
    <w:p>
      <w:pPr>
        <w:spacing w:after="0" w:line="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includes depreciation of property and equipment,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we enter into additional arrangements to acquire or invest in new technologies or markets adjacent to those we serve today or entirely new verticals. Finally, as we expand our facilities footprint and increase our base of employees, we expect to have increased property and equipment expenditures and incremental depreciation expense.</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includes interest paid on outstanding borrowings under our Credit Agreement with Wells Fargo Bank,</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Association ("Wells Fargo"), as administrative agent, and the lenders that are parties thereto (the "Credit Agreement"). Interest income includes interest earned on investment securities, amortization and accretion of the premium and discounts paid from the purchase of investment securities, and interest earned on notes receivable and on cash deposited in our bank accounts.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Provision for </w:t>
      </w:r>
      <w:r>
        <w:rPr>
          <w:rFonts w:ascii="Arial" w:cs="Arial" w:eastAsia="Arial" w:hAnsi="Arial"/>
          <w:sz w:val="17"/>
          <w:szCs w:val="17"/>
          <w:color w:val="auto"/>
        </w:rPr>
        <w:t>(</w:t>
      </w: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Provision for (benefit from) income taxes consists of federal and state income taxes in the United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7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13335</wp:posOffset>
            </wp:positionV>
            <wp:extent cx="2905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72,495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57,091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Cost of revenue (exclusive of depreciation and amortization)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28,961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24,181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0"/>
        </w:trPr>
        <w:tc>
          <w:tcPr>
            <w:tcW w:w="66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Research and product development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11,212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8,192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57,149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stock-based compensation expense as follows (in thousands):</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Cost of revenue (exclusive of depreciation and amortization)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55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solutions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24,902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20,822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Value+ services</w:t>
            </w:r>
          </w:p>
        </w:tc>
        <w:tc>
          <w:tcPr>
            <w:tcW w:w="2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33,698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8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72,495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57,091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15,404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and 2019, we derived over 90% of our revenue directly and indirectly from the software solutions, services and data analytics we offer to our real estate market customers. The significant majority of our customers in the real estate market use our property management solutions.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revenue was $72.5 million for the three months ended March 31, 2020 compared to $57.1 million for the three months ended March 31, 2019, an increase of $15.4 million, or 27%. Core solutions revenue was $24.9 million for the three months ended March 31, 2020 compared to $20.8 million for the three months ended March 31, 2019, an increase of $4.1 million, or 20%. Value+ services revenue was $44.1 million for the three months ended March 31, 2020 compared to $33.7 million for the three months ended March 31, 2019, an increase of $10.4 million, or 31%. Other revenue was $3.5 million for the three months ended March 31, 2020, compared to $2.6 million for the three months ended March 31, 2019, an increase of $0.9 million or 34%.</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majority of our revenue is derived from our property management core solutions and Value+ services utilized by property managers, residents, applicants and owners. The increase in core solutions and Value+ services revenue was mainly attributed to a growing base of property management customers. During this period, we experienced an 18% year over year increase in the number of property management units under management resulting from a 10% year over year increase in the number of property management customers. In addition, our property managers, residents, applicants and owners increased their usage of our Value+ services. A significant majority of our Value+ services revenue comes directly and indirectly from our customers' use of our electronic payment services, tenant screening services, and insurance services. During the period, we also introduced new Value+ services and expanded the functionality of others, which resulted in incremental revenue. The increase in Other revenue was primarily attributed to revenue generated from our real estate-related acquisitions and from an increase in fees associated with our property management customers upgrading to a new website hosting platform.</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 (exclusive of 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28,961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24,181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4,780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39.9%</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revenue (exclusive of depreciation and amortization) was $29.0 million for the three months ended March 31, 2020 compared to $24.2 million for the three months ended March 31, 2019, an increase of $4.8 million, or 20%. This increase in cost of revenue (exclusive of depreciation and amortization) was primarily attributed to the 27% increase in revenue over the same period.</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Expenditures to third-party service providers, related to the delivery of our Value+ services, increased $3.5 million directly associated with the increased adoption and utilization of our Value+ services, as evidenced by the 31% increase in Value+ services revenue. Our third-party service provider expenses include costs associated with the delivery and provision of Value+ services, as well as loss reserves, legal fees and other costs associated with our insurance services. This increase was primarily due to a $1.7 million increase in personnel-related costs necessary to support growth and key investments in the business, partially offset by a $0.5 million decrease in estimated incentive-based employee bonuses and stock-based compensation costs due to the potential impact of the COVID-19 pandemic. Allocated and other costs increased by $0.7 million primarily driven by an increase in facilities, platform infrastructure, payment processing and other costs incurred in support of our overall growth, as well as costs associated with the delivery and provision of our Value+ services.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79"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percentage of revenue, cost of revenue (exclusive of depreciation and amortization) fluctuates primarily based on the mix and prices of Value+ services utilized during the period, and investments made in advance of expected revenue generation. For the three months ended March 31, 2020 cost of revenue (exclusive of depreciation and amortization), as a percentage of revenue, was 39.9% compared to 42.4% for the three months ended March 31, 2019. This improvement in cost as a percentage of revenue was primarily driven by our ability to increase revenue with a more moderate increase in personnel-related costs.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4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7"/>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14,506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3,287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 was $14.5 million for the three months ended March 31, 2020 compared to $11.2 million for the three months ended March 31, 2019, an increase of $3.3 million, or 29%. This increase was primarily due to a $2.9 million increase in personnel-related costs necessary to support growth and key investments in the business, partially offset by a $0.4 million decrease in estimated incentive-based employee bonuses and stock-based compensation costs due to the potential impact of the COVID-19 pandemic. Advertising and promotion costs increased by $0.5 million related to our new and expanded service offerings. In addition, there was an increase in allocated and other costs of $0.3 million driven by an increase in IT and other costs incurred in support of our overall growth in personnel.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percentage of revenue, sales and marketing expense increased to 20.0% from 19.7% for the three months ended March 31, 2020 compared to the three months ended March 31, 2019. This increase was primarily driven by personnel-related investments made in advance of expected revenue generation associated with growth initiatives in the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4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7"/>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11,212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8,481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2,731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product development expense was $11.2 million for the three months ended March 31, 2020 compared to $8.5 million for the three months ended March 31, 2019, an increase of $2.7 million, or 32%. This increase was the result of an increase in personnel-related costs, net of capitalized software development costs, of $2.9 million due to investments in headcount growth within our research and product development organization, partially offset by a $0.6 million decrease in estimated incentive-based employee bonuses and stock-based compensation costs due to the potential impact of the COVID-19 pandemic. There was also an increase in allocated and other costs of $0.4 million driven by an increase in facilities, IT and other costs incurred in support of our overall growth in personnel.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4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7"/>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8,572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8,192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380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was $8.6 million for the three months ended March 31, 2020 compared to $8.2 million for the three months ended March 31, 2019, a net increase of $0.4 million, or 5%. This increase was primarily due to a $1.8 million increase in personnel-related costs necessary to support growth and key investments in the business, partially offset by a $1.1 million decrease in estimated incentive-based employee bonuses and stock-based compensation costs due to the potential impact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COVID-19 pandemic. There was also a decrease in allocated and other costs of $0.4 million primarily due to a decrease in third-party professional services costs.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stock-based compensation expense will continue to decrease for certain executives with our adoption of a Long-Term Cash Bonus Plan in 2018. No accrual has yet been made under this plan as a result of the high degree of uncertainty regarding potential future payments under the plan.</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4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7"/>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6,414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1,338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amortization expense was $6.4 million for the three months ended March 31, 2020 compared to $5.1 million for the three months ended March 31, 2019, an increase of $1.3 million, or 26%. This increase was primarily due to increased amortization expense associated with higher accumulated capitalized software development balances.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vMerge w:val="restart"/>
          </w:tcPr>
          <w:p>
            <w:pPr>
              <w:jc w:val="right"/>
              <w:ind w:right="78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8"/>
              </w:rPr>
              <w:t>(dollars in thousands)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375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8"/>
              </w:rPr>
              <w:t>(4,281)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provision for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we recorded income tax expense of $0.4 million. The income tax expense recorded and the difference between the U.S. federal statutory rate of 21% was primarily due to the tax impact associated with stock-based compensation expense and research and development credits.</w:t>
      </w:r>
    </w:p>
    <w:p>
      <w:pPr>
        <w:spacing w:after="0" w:line="7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the three months ended March 31, 2019, we recorded an income tax benefit of $4.3 million. The tax benefit recorded is primarily due to changes in the deferred tax asset valuation allowance resulting from $4.1 million of deferred tax liabilities acquired through the Dynasty acquisition. The acquired deferred tax liabilities are expected to provide a source of income to support realizability of our existing deferred tax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As of March 31, 2020, our principal sources of liquidity were cash and cash equivalents and investment securities, which had an aggregate balance of $71.4 million. Our available cash is subject to our ongoing compliance with the financial covenants set forth in the Credit Agreement. For additional information regarding the Credit Agreement, refer to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Condensed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we had working capital of $54.1 million, compared to working capital of $14.3 million as of December 31, 2019. The increase in our working capital was primarily due to an increase in cash and cash equivalents as a result of our borrowing under the Revolving Facility, a decrease in accrued employee expenses and a decrease in other current liabilities due to the payment of contingent consideration related to the Dynasty acquisition. The increase in our working capital was partially offset by a decrease in investment securities-current and increases in deferred revenue, accrued expenses and accounts payable.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March 31, 2020, we had a $50.0 million revolving credit facility (the "Revolving Facility") under the terms of the Credit Agreement. During the three months ended March 31, 2020, we borrowed $49.0 million under our Revolving Facility to provide additional liquidity in light of the uncertainty caused by the COVID-19 pandemic. For additional information regarding the Credit Agreement,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existing cash and cash equivalents, investment securities, and cash generated from operating activities will be sufficient to meet our working capital and capital expenditure requirements for at least the next 12 months.</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future capital requirements will depend on many factors, including continued market acceptance of our software solutions, change in the number of our customers, adoption and utilization of our Value+ services by new and existing customers, the timing and extent of the introduction of new core functionality, products and Value+ services, the timing and extent of our expansion into adjacent or new markets, and the timing and extent of our investments across our organization.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from time to time. For additional information regarding our share repurchase program, refer to Note 10,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xml:space="preserve"> of our Condensed Consolidated Financial Statements.</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63"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(55,692)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(57,294)</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3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March 31, 2020, net cash provided by operating activities was $3.1 million resulting from net income of $2.0 million, adjusted by non-cash charges of $8.8 million and a net decrease in our operating assets and liabilities of $7.7 million. The non-cash charges primarily consist of $6.4 million of depreciation and amortization costs, $1.1 million of amortization of operating lease right-of-use ("ROU") assets, stock-based compensation expense of $1.0 million, and a decrease in deferred taxes of $0.4 million. The net decrease in our operating assets and liabilities was mostly attributable to a $5.4 million decrease in accrued employee expenses primarily due to the payout of accrued employee bonuses and commissions, an increase of $2.8 million in prepaid expenses and other current assets, and a $1.6 million increase in accounts receivable primarily driven by growth of our Value+ services. These decreases were partially offset by a $0.8 million increase in operating lease liabilities, a $0.7 million increase in accrued expenses and a $0.7 million increase in deferred revenue.</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2019, cash provided by operating activities was $0.3 million resulting from net income of $3.7 million, adjusted by non-cash charges of $3.3 million and a net decrease in our operating assets and liabilities of $6.7 million. The non-cash charges primarily consist of $5.1 million of depreciation and amortization costs, a tax benefit of $4.3</w:t>
      </w:r>
    </w:p>
    <w:p>
      <w:pPr>
        <w:sectPr>
          <w:pgSz w:w="11900" w:h="16838" w:orient="portrait"/>
          <w:cols w:equalWidth="0" w:num="1">
            <w:col w:w="11240"/>
          </w:cols>
          <w:pgMar w:left="320" w:top="179"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79"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million related to changes in the deferred tax asset valuation allowance resulting from deferred tax liabilities acquired through the Dynasty acquisition, $1.6 million of stock-based compensation, and $0.9 million of amortization of ROU assets. The net decrease in our operating assets and liabilities was mostly attributable to an increase of $3.6 million in prepaid expenses and other current assets, a $2.9 million decrease in accrued employee expenses due to the payout of accrued employee bonuses and commissions, and a $2.1 million increase in accounts receivable primarily driven by growth in our Value+ services. These decreases were partially offset by a $1.6 million increase in accrued expenses, a $0.7 million decrease in other assets, and a $0.3 million increase in deferred revenue.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provided by (used in) investing activities is generally comprised of purchases, maturities and sales of investment securities, purchases of property and equipment, additions to capitalized software development, and cash paid for business acquisitions.</w:t>
      </w:r>
    </w:p>
    <w:p>
      <w:pPr>
        <w:spacing w:after="0" w:line="3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investing activities provided $5.7 million in cash primarily due to sales and maturities of investment securities of $13.9 million and $7.3 million, respectively. These sources of cash were partially offset by capital expenditures of $8.0 million to purchase property and equipment for the continued growth and expansion of our business, capitalized software development costs of $6.8 million for the continued investment in our software development, and purchases of investment securities of $0.6 million.</w:t>
      </w:r>
    </w:p>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2019, investing activities used $55.7 million in cash primarily due to $54.0 million used to acquire Dynasty, as well as capitalized software development costs of $4.7 million for the continued investment in our software development, and capital expenditures of $1.0 million to purchase property and equipment for the continued growth and expansion of our business. These uses were partially offset by sales and maturities of investment securities of $1.8 million and $2.3 million, respectively.</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Cash provided by (used in) financing activities is generally comprised of proceeds from the exercise of stock options, net share settlements for employee tax withholdings associated with the vesting of RSUs, the payment of contingent consideration under acquisition arrangements, activities associated with our Revolving Facility and a $50.0 million term loan issued by Wells Fargo, as administrative agent, and the lenders that are parties thereto (the"'Term Loan," and together with the Revolving Facility, the "Credit Facility"), and activities related to the repurchase of our Class A common stock.</w:t>
      </w:r>
    </w:p>
    <w:p>
      <w:pPr>
        <w:spacing w:after="0" w:line="2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financing activities provided $32.2 million in cash primarily as a result of proceeds from the Revolving Facility of $49.4 million, partially offset by net share settlements for employee tax withholdings associated with the vesting of RSUs of $6.5 million, payment of contingent consideration related to the Dynasty acquisition of $6.0 million, and the repurchase of outstanding shares of Class A common stock in the amount of $4.2 million.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2019, financing activities used $1.9 million in cash primarily as a result of net share settlements for employee tax withholdings associated with the vesting of RSUs of $1.3 million, as well as principal payments on debt of $0.9 million and payments of debt issuance costs of $0.4 million, partially offset by proceeds from issuance of debt of $0.6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COVID-19 has created and may continue to create significant uncertainty in global financial markets, which may reduce demand for our core solutions and/or Value+ services, impact the productivity of our workforce, reduce our access to capital, and harm our business and results of operations. As of the date of our Condensed Consolidated Financial Statements, we are not aware of any specific event or circumstance that would require us to update our estimates or judgments, or to revise the carrying value of our assets or liabilities. However, these estimates may change as new events occur and additional information is obtained, which may result in changes being recognized in our consolidated financial statements in future periods. While we considered the effects of COVID-19 in our estimates and assumptions, due to the current level of uncertainty over the economic and operational impacts of COVID-19 on our business, there may be other judgments and assumptions that were not currently considered. Such judgments and assumptions could result in a meaningful impact to our financial statements in future periods. Actual results could differ from those estimates and any such differences may have a material impact on our financial statements.</w:t>
      </w:r>
    </w:p>
    <w:p>
      <w:pPr>
        <w:sectPr>
          <w:pgSz w:w="11900" w:h="16838" w:orient="portrait"/>
          <w:cols w:equalWidth="0" w:num="1">
            <w:col w:w="11240"/>
          </w:cols>
          <w:pgMar w:left="320" w:top="179"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79"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March 31, 2020, we had cash and cash equivalents of $56.8 million consisting of bank deposits and money market funds and $14.6 million of investment securities consisting of corporate bonds, United States government agency securities and treasury securities. The primary objective of our investment policy is to invest in securities to support our liquidity and capital needs. We have not purchased investments for trading or speculative purposes and have not used any derivative financial instruments to manage our interest rate risk exposure.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At March 31, 2020 a hypothetical 100 basis point change in interest rates would not have resulted in a material change in the fair value of our investment securities. This estimate is based on a sensitivity model which measured an instant change in interest rates by 100 basis points at March 31, 2020.</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exposed to interest rate risk as a result of our Credit Facility. Outstanding borrowings under the Credit Facility accrue interest as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Our borrowings under the Credit Facility are subject to interest rate fluctuations, which could have a material impact on our cash flows and results of operations depending on the magnitude of the fluctuations and the outstanding borrowings. In order to determine the potential impact of changes in interest rates on our cash flows and result of operations, we performed a sensitivity analysis. A hypothetical 100 basis point increase in interest rates during the period ended March 31, 2020 would not have had a material impact on our cash flows or results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We have not experienced any material changes to our internal controls over financial reporting despite the fact that all non-essential employees are working remotely due to the COVID-19 pandemic. We are continually monitoring the impact of COVID-19 on the operating effectiveness of our internal control over financial reporting.</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we are involved in various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legal proceedings which, if determined adversely to us, would, individually or taken together, have a material adverse effect on our business, operating results, financial condition or cash flows. However, regardless of the merit of any claims raised or the ultimate outcome, legal proceedings may generally have an adverse impact on us as a result of defense and settlement costs, diversion of management resources, and other factors.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legal proceedings, refer to Note 9, Commitments and Contingencies, of our Condensed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investment in our Class A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1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2019, a novel coronavirus disease, referred to as COVID-19, was reported and has spread globally, including to every state in the United States. On March 11, 2020, the World Health Organization declared COVID-19 a pandemic, and on March 13, 2020, the United States government declared a national emergency with respect to COVID-19.</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March 2020, we restricted non-essential employee travel and transitioned our employees to a remote work environment. Although we have not experienced a material impact from shifting our employees to a remote work environment, there is no guarantee that our employees will be as effective while working remotely due to a number of factors, including the inability of team members to communicate as effectively in a remote environment, the reality that employees may have additional personal needs to attend to (such as looking after children as a result of school closures or family members who become sick), and employees may become sick themselves and unable to work. If the COVID-19 pandemic requires remote working conditions for a prolonged period of time, it could have an adverse impact on the productivity of our employees, which would harm our business and impede our ability to achieve our strategic plan. In addition, in an effort to manage the financial uncertainty involved with the COVID-19 pandemic, we have delayed the hiring of certain non-essential employees.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COVID-19 pandemic has resulted in a rapid rise in unemployment and a sudden decrease in global economic activity, and many businesses have experienced, or are anticipating that they may experience, a significant negative impact on their operating results. While we did not experience a significant impact on the demand for our core products and Value+ services during the period ended March 31, 2020, we anticipate greater demand impacts in future periods, although the timing and magnitude of these impacts is difficult to estimate. In addition,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Furthermore, the demand for our products and services, as well as our operating results, could be adversely impacted due to number of other factors, including the following:</w:t>
      </w:r>
    </w:p>
    <w:p>
      <w:pPr>
        <w:spacing w:after="0" w:line="103" w:lineRule="exact"/>
        <w:rPr>
          <w:sz w:val="20"/>
          <w:szCs w:val="20"/>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customers delaying decisions to adopt our core products, or expand the use of our Value+ services, as they seek to reduce or delay spending in response to the impacts of COVID-19 on their own businesses;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properties owned by our customers resulting from government restrictions or orders;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deterioration in our ability, or the ability of our customers, to operate in affected geographic areas;</w:t>
      </w:r>
    </w:p>
    <w:p>
      <w:pPr>
        <w:spacing w:after="0" w:line="157"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the reliability or availability of our core products or Value+ services, as a result of service interruptions caused by the remote work environment; and</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of the factors described above, or any number of other risks related to the COVID-19 pandemic, could disrupt our business, which could have a material adverse impact on our business, operations and financial results. The global impact of COVID-19 continues to rapidly evolve, and it is not currently possible to ascertain all of the current or future impacts to our business. The ultimate impact of the COVID-19 pandemic, or a similar public health crisis in the future, on our business is highly uncertain and subject to change. Further, we expect any further spread of the COVID-19 pandemic, or even the threat or perception that this could occur, could further exacerbate any negative impacts on our business,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towards the achievement of long-term growth, which may not be consistent with the short-term expectations of some investors.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plan to continue to manage our business towards the achievement of long-term growth that we believe will positively impact long-term stockholder value, and not towards the realization of short-term financial or business metrics, or short-term stockholder value. If opportunities arise that might cause us to sacrifice our performance with respect to short-term financial or business metrics, but that we believe are in the best interests of our stockholders, we will take those opportunities.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growing our customer base by developing and launching new and innovative core functionality and/or Value+ services to address our customers’ evolving business needs, developing and/or acquiring new products for adjacent markets and additional verticals consistent with our strategic plan, and improving the experience of our users across our targeted verticals. We prioritize product innovation and user experience over short-term financial or business metrics. We will make product decisions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stockholder value, the decisions we make may not produce the long-term benefits we expect.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executive officers, directors and principal stockholders control a majority of the combined voting power of our outstanding capital stock. As a result, they are able to exercise significant influence and control over the establishment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implementation of our future business plans and strategic objectives, as well as control all matters submitted to our stockholders for approval. These persons may manage our business in ways with which you disagree and which may be adverse to your interests.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growth effectively, it could adversely affect our operating results and preclude us from achieving our strategic objectives.</w:t>
      </w:r>
    </w:p>
    <w:p>
      <w:pPr>
        <w:spacing w:after="0" w:line="2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experienced significant growth since our formation in 2006, and we anticipate that we will continue to experience growth and expansion of our operations, although the rate of growth may be negatively impacted by the COVID-19 pandemic.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respond to the uncertainty and disruption caused by the COVID-19 pandemic.</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and limited experience selling our solutions. We expect to make substantial investments across our organization to grow our business and, as a result, we expect our financial results may fluctuate significantly from period to period and we may not sustain profitability.</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formed in 2006 and in 2008 entered the real estate vertical with our first product, APM, to serve property managers. We expanded our real estate offerings with the launch of APM PLUS in late 2018 and AppFolio Investment Management in April 2019. In 2012, we entered the legal vertical through the acquisition of MyCase, which represents less than 10% of our total revenue for the three months ended March 31, 2020. As a result, we have a limited operating history and limited experience selling our software solutions in two dynamic vertical markets.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We expect this uncertainty will continue to exist in our business for the foreseeable future, and the future impacts of the COVID-19 pandemic may be significantly worse than we currently expect.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made substantial investments across our organization to develop our software solutions and capitalize on our market opportunity. In order to implement our business strategy, we intend to continue to make substantial investments in, among other things:</w:t>
      </w:r>
    </w:p>
    <w:p>
      <w:pPr>
        <w:spacing w:after="0" w:line="103" w:lineRule="exact"/>
        <w:rPr>
          <w:sz w:val="20"/>
          <w:szCs w:val="20"/>
          <w:color w:val="auto"/>
        </w:rPr>
      </w:pPr>
    </w:p>
    <w:p>
      <w:pPr>
        <w:jc w:val="both"/>
        <w:ind w:left="1140" w:hanging="484"/>
        <w:spacing w:after="0" w:line="26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product development organization to enhance the ease of use and functionality of our software solutions by adding new core functionality, Value+ services and/or other improvements to address the evolving needs of our customers, as well as to develop new products for adjacent markets and new verticals consistent with our strategic plan;</w:t>
      </w:r>
    </w:p>
    <w:p>
      <w:pPr>
        <w:spacing w:after="0" w:line="116"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efforts to identify acquisition targets that enhance the depth or functionality of our software solutions or Value+ services, or that enable our expansion into adjacent markets or new vertical markets consistent with our strategic plan;</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 service organization to deepen our relationships with our customers, assist our customers in achieving success through the use of our software solutions, and promote customer retention;</w:t>
      </w:r>
    </w:p>
    <w:p>
      <w:pPr>
        <w:spacing w:after="0" w:line="102"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and marketing organization, including expansion of our direct sales organization and marketing programs, to increase the size of our customer base, increase adoption and utilization of new and existing Value+ services by our new and existing customers, and enter adjacent markets and new verticals consistent with our strategic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1140" w:right="2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 expanding our technology infrastructure and operational support to promote the security and availability of our software solutions, and support our growth;</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general and administrative functions, to support our growth and assist us in maintaining compliance with legal, regulatory and other compliance-related obligations; and</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expansion of our existing facilities, including leasing and building out additional office space, to support our growth and strategic development.</w:t>
      </w:r>
    </w:p>
    <w:p>
      <w:pPr>
        <w:spacing w:after="0" w:line="3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of our continuing investments to grow our business in these and other areas, we expect our expenses to increase significantly, and we may not be consistently profitable. Even if we are successful in growing our customer base and increasing revenue from new and existing customers, we may not be able to generate additional revenue in an amount that is sufficient to cover our expenses. We may incur significant losses in a particular period for a number of reasons, and may experience significant fluctuations in our operating results from period to period. We cannot assure you that we will continue to achieve profitability in the near term or that we will sustain profitability on a sequential quarterly basis or over any particular period of time. Any additional operating losses will have a negative impact on our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In addition, our quarterly results may not fully reflect the underlying performance of our business. Factors that may cause fluctuations in our quarterly results include, but are not limited to:</w:t>
      </w:r>
    </w:p>
    <w:p>
      <w:pPr>
        <w:spacing w:after="0" w:line="119" w:lineRule="exact"/>
        <w:rPr>
          <w:sz w:val="20"/>
          <w:szCs w:val="20"/>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expand adoption and utilization of our core solutions and Value+ services by our existing customers;</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new customers, the type of customers we are able to attract, the size and needs of their businesses, and the cost of acquiring these customers;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our core solutions and Value+ services sold during the period;</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impact of security breaches, service outages or other performance issues with our technology infrastructure and software solutions;</w:t>
      </w:r>
    </w:p>
    <w:p>
      <w:pPr>
        <w:spacing w:after="0" w:line="102" w:lineRule="exact"/>
        <w:rPr>
          <w:rFonts w:ascii="Arial" w:cs="Arial" w:eastAsia="Arial" w:hAnsi="Arial"/>
          <w:sz w:val="18"/>
          <w:szCs w:val="18"/>
          <w:color w:val="auto"/>
        </w:rPr>
      </w:pPr>
    </w:p>
    <w:p>
      <w:pPr>
        <w:ind w:left="1060" w:right="2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the timing of sales of our core solutions and Value+ services as a result of trends impacting the verticals in which we sell our software solutions;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market acceptance of new core functionality, Value+ services and other products introduced by us and our competitors;</w:t>
      </w:r>
    </w:p>
    <w:p>
      <w:pPr>
        <w:spacing w:after="0" w:line="169" w:lineRule="exact"/>
        <w:rPr>
          <w:rFonts w:ascii="Arial" w:cs="Arial" w:eastAsia="Arial" w:hAnsi="Arial"/>
          <w:sz w:val="17"/>
          <w:szCs w:val="17"/>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our recognition of revenue;</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maintenance and expansion of our business, infrastructure and operations;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and timing of costs and operating expenses associated with assessing or entering adjacent markets or new verticals;</w:t>
      </w:r>
    </w:p>
    <w:p>
      <w:pPr>
        <w:spacing w:after="0" w:line="169" w:lineRule="exact"/>
        <w:rPr>
          <w:rFonts w:ascii="Arial" w:cs="Arial" w:eastAsia="Arial" w:hAnsi="Arial"/>
          <w:sz w:val="17"/>
          <w:szCs w:val="17"/>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development or acquisition of businesses, services, technologies or intellectual property rights, and potential future charges for impairment of goodwill from these acquisitions;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associated with legal proceedings, enforcement actions, regulatory inquiries or similar matters;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strategic partners or customers;</w:t>
      </w:r>
    </w:p>
    <w:p>
      <w:pPr>
        <w:spacing w:after="0" w:line="169" w:lineRule="exact"/>
        <w:rPr>
          <w:rFonts w:ascii="Arial" w:cs="Arial" w:eastAsia="Arial" w:hAnsi="Arial"/>
          <w:sz w:val="17"/>
          <w:szCs w:val="17"/>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our executive officers or other key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conditions and trends that are specific to the verticals in which we sell or intend to sell our software solutions; and</w:t>
      </w:r>
    </w:p>
    <w:p>
      <w:pPr>
        <w:spacing w:after="0" w:line="157" w:lineRule="exact"/>
        <w:rPr>
          <w:rFonts w:ascii="Arial" w:cs="Arial" w:eastAsia="Arial" w:hAnsi="Arial"/>
          <w:sz w:val="18"/>
          <w:szCs w:val="18"/>
          <w:color w:val="auto"/>
        </w:rPr>
      </w:pPr>
    </w:p>
    <w:p>
      <w:pPr>
        <w:ind w:left="1060" w:right="20" w:hanging="485"/>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market conditions, including the impacts and disruptions caused by the COVID-19 pandemic, which could increase the negative impacts to our business of any of the factors discussed above.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managing our business towards the achievement of long-term growth, rather than the realization of short-term financial or business metrics, may also serve to exacerbate the fluctuations in our quarterly results, which could result in downward pressure on the market price of our Class A common stock. In addition, fluctuations in quarterly results may negatively impact the value of our Class A common stock, regardless of whether they impact or reflect the overall performance of our business. Furthermore, if our quarterly results fall below the expectations of investors or any securities analysts who follow our stock, or below any financial guidance we may provide, the price of our Class A common stock could decline substantially.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favorable terms, or at all, which may adversely affect our business and financial condition.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need additional capital to grow our business and meet our strategic objectives. Our ability to obtain additional capital, if and when required, will depend on numerous factors, including investor and lender demand, our compliance with debt obligations, our historical and forecasted financial and operating performance, our liquidity position, the overall condition of the capital markets, and the global economy as a whole. The capital markets have been negatively impacted by the COVID-19 pandemic, and the impacts may continue for the foreseeable future.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We determine the level of our investment in various aspects of the business, in part, based on our market opportunity estimates. If we had made different assumptions, our estimates of market opportunity, and/or our related investment determinations, could be materially different. The disruptions and impacts caused by the COVID-19 pandemic may ultimately require us to reduce, potentially by a significant margin, our estimates of the market opportunities in certain markets or industry verticals, which could negatively impact our prospects for long-term growth.</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even if the markets in which we compete meet or exceed our size estimates, our software solutions could fail to gain market acceptance and our business may not grow in line with our forecasts, or at all, which would have a material adverse impact on our financial condition and operating results.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companies or technologies, which could divert our management’s attention, result in additional dilution to our stockholders and otherwise disrupt our operations.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in our real estate vertical, we acquired substantially all of the assets of WegoWise in 2018 and completed the acquisition of Dynasty in 2019. The pursuit of acquisitions may divert the attention of management and cause us to incur various expenses in identifying, investigating and pursuing suitable acquisitions, whether or not they are consummated.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limited experience acquiring other businesses. We may not be able to integrate acquired assets, technologies, personnel and operations successfully or achieve the anticipated synergies or other benefits from the acquired business due to a number of risks associated with acquisitions, including:</w:t>
      </w:r>
    </w:p>
    <w:p>
      <w:pPr>
        <w:spacing w:after="0" w:line="116"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cost, whether in the form of cash or equity securities, to acquire the business;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assets, technologies, personnel or operations of the acquired business in a cost-effective manner;</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services of the acquired business;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converting the customers of the acquired business to our software solutions and contract terms;</w:t>
      </w:r>
    </w:p>
    <w:p>
      <w:pPr>
        <w:spacing w:after="0" w:line="157"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 to address acquisition and integration challenges, as well as post-acquisition disputes;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our existing business relationships with customers and strategic partners as a result of the acquisition;</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organization into our company;</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and exposure to new or enhanced legal, regulatory or other compliance-based and/or operational risks implicit in the acquired business;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resources to consummate the acquisition or pay acquisition-related expenses; and</w:t>
      </w:r>
    </w:p>
    <w:p>
      <w:pPr>
        <w:spacing w:after="0" w:line="169" w:lineRule="exact"/>
        <w:rPr>
          <w:rFonts w:ascii="Arial" w:cs="Arial" w:eastAsia="Arial" w:hAnsi="Arial"/>
          <w:sz w:val="17"/>
          <w:szCs w:val="17"/>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and sensitive information, which could harm our relationships with customers or employees, expose us to litigation or regulatory proceedings, or harm our reputation, any of which could negatively impact our business and operating results.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Cyber attacks and other malicious Internet-based activities continue on a regular basis. Like many other businesses, we have experienced, and are continually at risk of being subject to, attacks and data security incidents. As our business grows, the number of users of our software solutions, as well as the amount of information we collect and store, is increasing, and our brands are becoming more widely recognized. We believe these factors combine to make us an even greater target for this type of malicious activity. Although we take data security seriously, there can be no assurance that the security measures we employ will prevent malicious or unauthorized access to our systems and information. Techniques used to sabotage, or to obtain unauthorized access to, systems or networks change frequently and may not be recognized until launched against a target. Furthermore, no security program can eliminate entirely the risk of non-malicious human error, such as an employee or contractor’s failure to follow one or more security protocols. Therefore,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our significant efforts to keep our systems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any security breaches could result in reputational damage, adversely affect our ability to attract new customers and cause existing customers to reduce or discontinue the use of our software solutions, any of which could harm our business and operating results.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 outages due to malicious activities or performance problems associated with our technology infrastructure could harm our reputation, adversely affect our ability to attract new customers and cause us to lose existing customers.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experienced significant growth in the number of users and the amount of data that our technology infrastructure supports, and we expect this growth to continue. We seek to maintain sufficient excess capacity in our technology infrastructure to meet the needs of all of our customers, including facilitating the expansion of existing customer deployments and the provisioning of new customer deployments. In addition, we need to properly manage our technology infrastructure in order to support version control, changes in hardware and software parameters, and the evolution of our software solutions.</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In some instances, we may not be able to identify the cause or causes of these service outages and performance problems within an acceptable period of time.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while our software updates undergo extensive testing prior to their release,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in order to address customer service or reputational concerns,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 is evolving and unfavorable changes could adversely affect our operating results, subject us to litigation or governmental investigation, or otherwise harm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general business regulations and laws, as well as regulations and laws specifically governing the highly regulated real estate and legal markets, electronic payment, background screening and insurance services markets, the Internet itself, the use of mobile devices to conduct business and communicate, and many other products and services we provide. Existing and future laws and regulations may impede our growth. These regulations and laws may cover privacy, data protection, artificial intelligence and related technologies, pricing, content, intellectual property, mobile communications, electronic contracts and other communications, competition, consumer protection, employment, trade and protectionist measures, web services, the provision of online payment and tenant screening services, information reporting requirements, unencumbered Internet access to our products or services, and the design and operation of websites. It is not clear how existing laws governing issues such as property ownership, management, rental and investment, data protection, and personal privacy apply to the Internet, digital content,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data security laws and regulations could impose additional costs on us and reduce the demand for our software solutions.</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store and transmit personal information relating to our employees and other individuals, and our customers use our technology platform to store and transmit a significant amount of personal information relating to their clients, vendors, employees and other industry participants. Privacy and data security have become significant issues in the United States and in other jurisdictions where we may operate or offer our software solutions. The regulatory framework relating to privacy and data security worldwide is rapidly evolving, and is likely to remain uncertain for the foreseeable future.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which went into effect on January 1, 2020, creates new data privacy and security rights for California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new laws, regulations and industry standards take effect, and as we expand into new jurisdictions, adjacent markets or verticals consistent with our strategic plan, we will need to understand and comply with various new requirements, which may result in significant additional costs.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the extent applicable to our business or the businesses of our customers, these laws, regulations and industry standards could have negative effects on our business, including by increasing our costs and operating expenses, and/or delaying or impeding our deployment of new or existing core functionality or Value+ services. Compliance with these laws, regulations and industry standards requires significant management time and attention, and failure to comply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Even the perception of privacy and data security concerns, whether or not valid, may inhibit market acceptance of our software solutions.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number of risks in our electronic payment services business that could adversely affect our business or operating results.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electronic payments services business, we facilitate the processing of both inbound and outbound payments for our customers. These payments are settled through our sponsoring clearing bank, card payment processors, and other third-party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electronic payment services providers that we may contract with from time to time. Our electronic payment services subject us to a number of risks, including, but not limited to:</w:t>
      </w:r>
    </w:p>
    <w:p>
      <w:pPr>
        <w:spacing w:after="0" w:line="103" w:lineRule="exact"/>
        <w:rPr>
          <w:sz w:val="20"/>
          <w:szCs w:val="20"/>
          <w:color w:val="auto"/>
        </w:rPr>
      </w:pPr>
    </w:p>
    <w:p>
      <w:pPr>
        <w:ind w:left="1140" w:hanging="48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for customer costs related to disputed or fraudulent transactions if those costs exceed the amount of the customer reserves we have, if any, during the clearing period or after payments have been settled to our customers;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electronic processing limits on the amounts that any single electronic payment services provider, or collectively all of our electronic payment services providers, will underwrite;</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sponsoring clearing banks, card payment processors and other electronic payment providers to process electronic transactions;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us, our electronic payment services providers or our customers to adhere to applicable laws, regulations and standards that apply to the provision of electronic payment services;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continually evolving laws and regulations governing money transmission and anti-money laundering, the application or interpretation of which is not clear in some jurisdictions;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incidences of fraud in our electronic payment services ecosystem, security breaches, errors, defects, failures, vulnerabilities or bugs in our electronic payment services business, or our failure to comply with required external audit standards; and</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increase our fees as the business evolves in a sufficient amount to maintain our existing margins.</w:t>
      </w:r>
    </w:p>
    <w:p>
      <w:pPr>
        <w:spacing w:after="0" w:line="3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these risks related to our electronic payment services were to materialize, our business or operating results could be negatively affected. Although we attempt to structure and adapt our electronic payment services to comply with complex and evolving laws, regulations and standards, our underwriting efforts do not guarantee compliance. In the event that we are found to be in violation of our legal, regulatory or contractual requirements, we may be subject to monetary fines or penalties, cease and desist orders, mandatory product changes, or other liabilities that could have an adverse effect on our operating results.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(such as if the customer is illegitimate, or if the customer refuses or is unable to reimburse us for the amounts charged back), we bear the ultimate risk of loss for the transaction amount. While we have not experienced material losses resulting from amounts charged back in the past, there can be no assurance that we will not experience these types of losses in the future.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or change the transaction costs associated with or potential revenue derived from those payments, thereby reducing our revenue and increasing our associated expenses, which could materially impact our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in our tenant screening services business that could adversely affect our business or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tenant screening services business is subject to a number of complex laws that are subject to varying interpretations, including without limitation the Fair Credit Reporting Act (the "FCRA") and related regulations. The FCRA has recently been the subject of multiple class-based litigation proceedings, as well as numerous regulatory inquiries and enforcement actions. In addition, entities such as the Federal Trade Commission (the "FTC") and the Consumer Financial Protection Bureau ("CFPB") have the authority to promulgate rules and regulations that may impact our customers and our business. Although we attempt to structure and adapt our tenant screening services to comply with these and other relevant laws and regulations, we may from time to time be found to be in violation of them. Further, regardless of our compliance with applicable laws and regulations, we may from time to time be subject to regulatory inquiries, enforcement actions, class-based litigation or indemnity demands.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previously disclosed, we received a Civil Investigative Demand from the FTC in December 2018 requesting certain information relating to our compliance with the FCRA in connection with our tenant screening services business. On April 30, 2020, the FTC staff informed us of its belief that there is a reasonable basis for asserting claims against us for our alleged failure to comply with certain sections of the FCRA that could result in monetary penalty and injunctive relief. We are unable to predict the outcome of, or any potential costs or penalties associated with, this matter at this time.</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we completed the settlement of a class action lawsuit related to alleged violations of the FCRA in 2019. Further, we received a Request for Information from the Civil Rights Division (Housing and Civil Enforcement Section) of the U.S. Department of Justice in July 2019 requesting certain information relating to our compliance with the Servicemembers Civil Relief Act in connection with our tenant screening services business.</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Due to the large number of tenant screening transactions in which we participate, our potential liability in an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 Any of the foregoing events may have a material adverse impact on our business, financial condition, and operating results.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third-party service providers for important electronic payment and tenant screening services, and their failure to fulfill their contractual obligations could harm our reputation, disrupt our business and adversely affect our operating results.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to our customers, and third-party tenant screening services providers to enable us to provide tenant screening services, such as background and credit checks, to our customers. We rely on these service providers to provide us with accurate and timely information, and therefore have significantly less control over our electronic payment and tenant screening services than if we were to maintain and operate them ourselves. In some cases, functions necessary to our business are performed on proprietary third-party systems and software to which we have no access. We also generally do not have long-term contracts with these service providers. In addition, some of these service providers compete with us directly or indirectly in the markets we serve. The failure of these service providers to provide us with accurate and timely information, to fulfill their contractual obligations to us, or to renew their contracts with us, all of which may be more likely in light of the impacts and disruptions caused by the COVID-19 pandemic, could result in direct liability to us, harm our reputation, result in significant disruptions to our business, and adversely affect our operating results.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key members of our management team, our business may be harmed.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and future growth depend, in part, upon the continued services of our executive officers and other key employees. From time to time, there may be changes in our executive officers or other key employees resulting from the hiring or departure of these personnel, which may disrupt our business. Our executive officers and other key employees are generally employed on an at-will basis, which means that these personnel could terminate their employment with us at any time. Additionally, the equity awards held by many of our executive officers and other key employees are close to fully vested, and these employees may not have sufficient financial incentive to stay with us. The loss of one or more of our executive officers or other key employees, or the failure by our executive team to work effectively with our employees and lead our company, could have an adverse effect on our business.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we may not be able to achieve our strategic objectives.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In addition, in order for us to achieve broader market acceptance of our software solutions, grow our customer base, and pursue adjacent markets and new verticals, we will need to continue to increase the size of our sales and marketing and customer service and support organizations. Identifying and recruiting qualified personnel, training them in the use of our software solutions, and ensuring they are well-equipped to provide great service to our customers, requires a significant investment of time and resources, and it can be particularly difficult to retain these individuals.</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2020, in an effort to manage the financial uncertainty involved with the COVID-19 pandemic, we have delayed the hiring of certain non-essential employees and deferred the retention of certain contractors. The timeline for when we may resume ordinary hiring activities is highly uncertain and subject to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intensely competitive and, if we do not compete effectively, our business could be harmed.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overall market for business management software is global, highly competitive and continually evolving in response to a number of factors, including changes in technology, operational requirements, and laws and regulations. The market for cloud-based business management software is also highly competitive and subject to similar market factors.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we focus on providing industry-specific, cloud-based business management software solutions in our targeted verticals,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the domain expertise required to successfully develop, market and sell cloud-based business management software solutions in the real estate and legal verticals may hinder new entrants that are unable to invest the necessary resources to develop and deploy cloud-based solutions with the same level of functionality as ours, many of our competitors and potential competitors are larger and have greater name recognition, longer operating histories, and significantly greater resources than we do. As a result, our competitors may be able to respond more quickly and effectively to new or changing opportunities, technologies,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operational requirements and industry standards, as well as to new challenges such as those resulting from the COVID-19 pandemic. Some of these competitors may have more established customer relationships or strategic partnerships with third parties that enhance their products and services. Other competitors may offer products or services that address one or a number of business functions on a standalone basis at lower prices or bundled as part of a broader product sale, or with greater depth than our software solutions. In addition, our current and potential competitors may develop, market and sell new technologies with comparable functionality to our software solutions, which could cause us to lose customers, slow the rate of growth of new customers and cause us to decrease our prices in order to remain competitive. For all of these reasons, we may not be able to compete effectively against our current and future competitors, which could harm our business.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management software for small and medium-sized businesses ("SMBs") is a relatively new and developing market and, if the market is smaller than we estimate or develops more slowly than we expect, our operating results could be adversely affected.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provide cloud-based business management software for SMBs in the real estate and, to a lesser extent, legal markets and will assess entry into new or adjacent markets consistent with our strategic plan. Our success will depend, in part, on the continued widespread adoption by SMBs of cloud computing in general and of cloud-based business management software in particular.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market for industry-specific, cloud-based business management software for SMBs, both generally, and specifically within the real estate and legal markets, is evolving and, in comparison to the overall market for cloud-based solutions, is relatively small. The continued expansion of this market depends on numerous factors, including:</w:t>
      </w:r>
    </w:p>
    <w:p>
      <w:pPr>
        <w:spacing w:after="0" w:line="116" w:lineRule="exact"/>
        <w:rPr>
          <w:sz w:val="20"/>
          <w:szCs w:val="20"/>
          <w:color w:val="auto"/>
        </w:rPr>
      </w:pPr>
    </w:p>
    <w:p>
      <w:pPr>
        <w:ind w:left="1060" w:hanging="485"/>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perceived value associated with cloud-based business management software relative to on-premise software applications and disparate point solutions;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cloud-based solution providers to offer SMBs the functionality they need to operate and grow their businesses;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SMBs to transition from their existing software systems, or otherwise alter their existing businesses practices, to migrate their businesses to a vertical cloud-based business management software solution; and</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cloud-based solution providers to address security, privacy, availability and other concerns.</w:t>
      </w:r>
    </w:p>
    <w:p>
      <w:pPr>
        <w:spacing w:after="0" w:line="3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our efforts to increase sales of our software solutions to larger customers, if cloud-based business management software does not continue to achieve widespread market acceptance among SMBs, our revenue may increase at a 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for SMBs at any given point in time or to forecast growth in our revenue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software industry in general, and our targeted verticals in particular, are characterized by rapid technological advances, changing industry standards, evolving customer requirements and intense competition. Our ability to attract new customers, increase revenue from our existing customers, and expand into adjacent markets or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 term depends, in part, on our ability to introduce new products for adjacent markets and, potentially, additional verticals that we identify through our market validation process. Market acceptance of our current and future software solutions will depend on numerous factors, including:</w:t>
      </w:r>
    </w:p>
    <w:p>
      <w:pPr>
        <w:spacing w:after="0" w:line="127" w:lineRule="exact"/>
        <w:rPr>
          <w:sz w:val="20"/>
          <w:szCs w:val="20"/>
          <w:color w:val="auto"/>
        </w:rPr>
      </w:pPr>
    </w:p>
    <w:p>
      <w:pPr>
        <w:ind w:left="1060" w:hanging="4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unique functionality and ease of use of our software solutions and the extent to which our software solutions meet the business needs of our customers;</w:t>
      </w:r>
    </w:p>
    <w:p>
      <w:pPr>
        <w:spacing w:after="0" w:line="102" w:lineRule="exact"/>
        <w:rPr>
          <w:rFonts w:ascii="Arial" w:cs="Arial" w:eastAsia="Arial" w:hAnsi="Arial"/>
          <w:sz w:val="18"/>
          <w:szCs w:val="18"/>
          <w:color w:val="auto"/>
        </w:rPr>
      </w:pPr>
    </w:p>
    <w:p>
      <w:pPr>
        <w:ind w:left="1060" w:right="20" w:hanging="4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perceived benefits and security of our cloud-based business management software solutions relative to on-premise software applications or other competitive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pricing of our software solutions relative to competitive products;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of financial resources to new and existing customers to allow them to acquire or expand the use of our software solutions;</w:t>
      </w:r>
    </w:p>
    <w:p>
      <w:pPr>
        <w:spacing w:after="0" w:line="180" w:lineRule="exact"/>
        <w:rPr>
          <w:rFonts w:ascii="Arial" w:cs="Arial" w:eastAsia="Arial" w:hAnsi="Arial"/>
          <w:sz w:val="16"/>
          <w:szCs w:val="16"/>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about the security, privacy and availability of our software solutions relative to competitive products;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time-to-market of the updates and enhancements to our core functionality, Value+ services and new products;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about the quality and responsiveness of our customer service organization.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are unable to successfully enhance the functionality of our existing software solutions, including our core solutions and Value+ services,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 These efforts to enhance our existing software solutions and develop new products, as well as our overall research and product development efforts, may be negatively impacted by the COVID-19 pandemic.</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customer renewal rates, or failure to convince existing customers to adopt and utilize our Value+ services, could adversely impact our operating results.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Our customers have no obligation to renew their subscriptions with us upon expiration of their subscription periods, which typically range from one month to one year. We cannot assure you that our customers will renew their subscriptions with us. In addition, our law firm customers that start their accounts using a 10-day free trial have no obligation to begin a paid subscription. Furthermore, although a significant portion of our revenue growth has historically resulted from the adoption and utilization of our Value+ services by our existing customers, we cannot assure you that our existing customers will continue to broaden their adoption and utilization of our Value+ services, or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We may experience lower rates of subscription renewals, as well as lower rates of adoption and utilization of Value+ services, as a result of the COVID-19 pandemic as customers may seek to reduce or delay spending within their businesses.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Word-of-mouth referrals represent a significant source of new customers for us and provide us with an opportunity to cost-effectively market and sell our software solutions. The loss of our existing customers could have a significant impact on our reputation in our targeted verticals and our ability to acquire new customers cost-effectively. A reduction in the number of our existing customers, even if offset by an increase in new customers, could have the impact of reducing our revenue and operating margins.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an effort to retain our customers and to expand our customers’ adoption and utilization of our Value+ services, we may choose to use increasingly costly sales and marketing efforts. In addition, we may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Pricing pressure may cause us to change our pricing model, which could hurt our renewal rates and our ability to attract new customers, as well as our ability to increase adoption and usage of our Value+ services, which could adversely affect our operating results.</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If this were to occur, it is possible that we would have to change our pricing model, offer pricing incentives, or generally reduce our prices, which may adversely affect our revenue even if adoption and utilization remain constant. In addition, many of our customers are smaller companies or firms, which are typically more cost sensitive than larger enterprises. Changes to our pricing model could harm our customer retention rates and our ability to attract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customers, whether in connection with our core solutions or our Value+ services, which could adversely affect our operating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to continue to derive a significant portion of our revenue from our real estate customers, and factors resulting in a loss of these customers could adversely affect our operating results.</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Historically, more than 90% of our revenue has been derived from real estate customers, and we expect that our real estate customers will continue to account for a significant portion of our revenue for the foreseeable future. We could lose real estate customers as a result of numerous factors, including:</w:t>
      </w:r>
    </w:p>
    <w:p>
      <w:pPr>
        <w:spacing w:after="0" w:line="56" w:lineRule="exact"/>
        <w:rPr>
          <w:sz w:val="20"/>
          <w:szCs w:val="20"/>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expiration and non-renewal of subscriptions or termination of subscription agreements;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competitive products or technologies;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provide updates and enhancements to our core functionality and/or Value+ services, and to introduce new Value+ services to our customers;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pricing policies by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consolidations within the real estate vertical;</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bankruptcies or other financial difficulties facing our real estate customers, especially in light of the impacts and disruptions caused by the COVID-19 pandemic;</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or enhanced legal or regulatory regimes that negatively impact the real estate vertical;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or trends that are specific to the real estate vertical such as the economic factors that impact the rental market.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loss of a significant number of our real estate customers, or the loss of even a small number of our larger real estate customers, could cause our revenue to increase at a slower rate than we expect or even decline. In addition, even if we are able to retain our real estate customers, we may be unable to grow revenue from these real estate customers by increasing their adoption and utilization of our Value+ services. Any of these outcomes could adversely affect our operating results.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While we plan to continue to market and sell our software solutions to smaller companies or firms, our growth strategy is dependent, in part, upon increasing sales of our software solutions to larger customers within the real estate and legal markets.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than we have in selling our software solutions to smaller businesses. Although we generally have not configured our software solutions or negotiated our pricing for specific customers, which has historically resulted in reduced upfront selling costs, our ability to successfully sell our software solutions to larger customers may be dependent, in part, on our ability to develop functionality, or to implement pricing policies, that are unique to particular customers or are necessary for success in a market segment dominated by larger customers. It may also be dependent on our ability to attract and retain sales personnel with experience selling to larger organizations. Also, because security breaches or other performance problems with respect to larger customers may result in greater economic harm to these customers and more adverse publicity, there is increased financial and reputational risk associated with serving such customers. Further, our ability to sell our software solutions to larger customers may depend largely upon our successful acquisition and integration of synergistic businesses and, if we are unable to acquire and integrate such businesses successfully, our business and operating results may be negatively impacted. If we are unable to increase sales of our software solutions to larger customers, while mitigating the risks associated with serving such customers, our business and operating results may suffer.</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growth depends in part on the success of our strategic relationships with third parties, and if we are unsuccessful in establishing or maintaining these relationships, our ability to compete in our targeted markets or grow our revenue could be impaired.</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order to grow our business, we anticipate that we will continue to depend on our relationships with third parties, including our data center operators, cloud computing service providers, electronic payment, tenant screening and insurance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 Even if we are successful, we cannot assure you that these relationships will result in increased customer adoption and usage of our software solutions or improved operating results. Furthermore, if our partners fail to perform as expected, we may be subjected to litigation, our reputation may be harmed, and our business and operating results could be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data centers and computing infrastructure operated by third parties and any disruption in these operations could adversely affect our operating results.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serve our customers through a combination of our own servers located in third party data center facilities, and computing resources operated by Amazon and other third party cloud computing service providers. While we control and have access to our own servers and the other components of our network that are located in our third party data centers, we do not control the operation of any of these third party data center facilities. The owners of our data center facilities have no obligation to renew their agreements with us on commercially reasonable terms, or at all. If we are unable to renew these agreements on commercially reasonable terms, or if one of our third party data center operators is acquired, we may be required to transfer our servers and other infrastructure to new data center facilities, and we may incur significant costs and possible service interruptions in connection with doing so. Further, our third party data center providers could experience significant outages outside of our control that could adversely affect our business.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Problems faced by our third party data center operators, or with any of the service providers with whom we or they contract, could adversely affect the experience of our customers. Our third party data center operators could decide to close their facilities without adequate notice. In addition, any financial difficulties or bankruptcies, faced by our third party data center operators, or any of the service providers with whom we or they contract, including as a result of the impacts and disruptions caused by the COVID-19 pandemic, may have a negative effect on our business. Additionally, if our data centers are unable to keep up with our growing needs for capacity or any spikes in customer demand, this could have an adverse effect on our business. Any changes in third party service levels at our data centers could result in loss of or damage to our customers’ stored information and service interruptions, which could harm our reputation. These issues could also cause us to lose customers, harm our ability to attract new customers, and subject us to potential liability, any of which could adversely affect our operating results.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cloud computing service providers with which we contract may experience service interruptions across multiple regions that are outside of our control.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Although our infrastructure is redundant across multiple geographic regions, it might require significant effort to migrate all of our services to a different region if we are forced to recover from a data center’s severe impairment or total destruction, or from a regional, or multi-regional, outage by any of our cloud computing service providers. Any changes in service levels by our cloud computing service providers could result in loss of or damage to our customers’ stored information and service interruptions, which could harm our reputation, subject us to potential liability, and adversely affect our operating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offer our software solutions across a variety of operating systems and through the Internet. We are dependent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it is difficult for our customers to access and use our software solutions, our software solutions may become less competitive, and our operating results could be adversely affected.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our legal liability to landlord insurance policies are underwritten by us, and we are required by our insurance partner to maintain a reserve to cover potential claims under the policies. While our policies have a limit of $100,000 per occurrence, there is no limit on the dollar amount of claims that could be made against us in any particular period or in the aggregate. In the event that claims by the insureds increase unexpectedly, our reserve may not be sufficient to cover our resulting liability under the policies. To the extent we are required to pay out amounts to insureds that are significantly higher than our current reserves, this could have a material adverse impact on our operating results.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This state governmental supervision could limit the growth of our insurance business by increasing the costs of regulatory compliance, limiting or restricting the products or services we provide or the methods by which we provide them, and subjecting us to the possibility of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state insurance departments conduct periodic examinations, audits and investigations of the affairs of insurance companies and agencies, any of which could result in the expenditure of significant management time or financial resources.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all jurisdictions, the applicable laws and regulations are subject to amendment and interpretation by regulatory authorities.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in a given jurisdiction. No assurances can be given that our insurance business can continue to be conducted in any given jurisdiction as it has been conducted in the past or that we will be able to expand our insurance business in the future.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enter new verticals, or if our software solution for any new vertical fails to achieve market acceptance, our operating results could be adversely affected and we may be required to reconsider our growth strategy.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growth strategy is dependent, in part, on our ability to expand into new verticals, beyond the real estate and legal markets. However, we may be unable to identify new verticals that meet our criteria for selecting industries that cloud-based solutions are ideally suited to address. In addition, our market validation process may not support entry into selected verticals due to our perception of the overall market opportunity or of the willingness of market participants within those verticals to adopt our software solutions. Further, instead of pursuing new verticals, we may prefer for various reasons to pursue alternative growth strategies, such as entry into markets that are adjacent to the markets in which we currently participate within our existing verticals, or the development of additional products or services for our existing markets.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develop a software solution for a new vertical or, in the event that we enter a new vertical by way of a strategic acquisition, we may be unable to leverage the acquired software solution in time to take advantage of the identified market opportunity, and any delay in our time-to-market could expose us to additional competition or other factors that could impede our success. In addition, any software solution we develop or acquire for a new vertical may not provide the functionality required by potential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as a result, may not achieve widespread market acceptance within the new vertical. To the extent we choose to enter new verticals, whether organically or via strategic acquisition, we may invest significant resources to develop and expand the functionality of our software solutions to meet the needs of customers in those verticals, which investments will occur in advance of our realization of revenue from them.</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while we expedited our entry into the legal vertical through the acquisition of MyCase in 2012, our practice and case management solution is in an earlier stage of development than APM, our property management solution, and we are at an earlier stage in the process of expanding the core functionality and Value+ services associated with our legal software. We face significant competition in the legal market from both vertical software vendors and cloud-based solution providers that offer one or more point solutions. There can be no assurance that we will be able to achieve market acceptance for our legal software at or near the levels achieved by our property management software.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All of our revenues are generated by sales to customers in our targeted verticals, and factors that adversely affect the applicable industry could also adversely affect us.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Currently, all of our sales are to customers in the real estate market and, to a lesser extent, the legal market. Demand for our software solutions and services could be affected by factors that are unique to and adversely affect our targeted verticals. In particular, the real estate and legal markets, as well as many of the software solutions and services we offer in those markets, are highly regulated across multiple federal, state and local jurisdictions, subject to intense competition and impacted by changes in general economic and market conditions. For example, changes in applicable laws and regulations could significantly impact the features and functionality demanded by our customers and require us to expend significant resources to ensure our software solutions continue to meet their evolving needs. In addition, other industry-specific factors, such as industry consolidation or the introduction of competing or disruptive technology, could lead to a significant reduction in the number of customers that use our software solutions or the Value+ services demanded by these customers. Further, if the real estate or legal markets decline, our customers may decide not to renew their subscriptions or they may cease using our Value+ services in order to reduce costs to remain competitive. It is possible that the significant increase in unemployment rates and financial uncertainty caused by the COVID-19 pandemic could have a disproportionate impact on businesses within the real estate and legal markets. As a result, our ability to generate revenue from our real estate and legal market customers could be adversely affected, which could have a material adverse impact on our business, financial condition and operating results.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foregoing risks associated with our targeted verticals themselves, there is an overarching risk stemming from potential widespread adoption of quickly evolving financial or other disruptive technology products that could significantly impact our targeted verticals, even if that technology is not specifically designed to apply directly to our targeted verticals. The adoption of these new technologies could significantly reduce the volume or demand of customers in our targeted verticals, thereby reducing our revenue, which could materially impact our business, financial condition and operating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deliver effective customer service, it could harm our relationships with our existing customers and adversely affect our ability to attract new customers.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depends, in part, on our ability to satisfy our customers, both by providing software solutions that address their business needs, and by providing onboarding services and ongoing customer service, which contributes to retaining customers and increasing adoption and utilization of our Value+ services by our existing customers. Once our software solutions are deployed, our customers depend on our customer service organization to resolve technical issues relating to their use of our solutions. We may be unable to respond quickly to accommodate short-term increases in customer demand for support services or may otherwise encounter a customer issue that is difficult to resolve. If a customer is not satisfied with the quality or responsiveness of our customer service, we could incur additional costs to address the situation. As we do not separately charge our customers for support services, increased demand for our support services would increase costs without corresponding revenue, which could adversely affect our operating results. In addition, regardless of the quality or responsiveness of our customer service efforts, a customer that is not satisfied with an outcome may choose to terminate, or not to renew, their relationship with us.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 Challenges associated with maintaining a responsive customer service organization may be exacerbated as a result of the COVID-19 pandemic, especially as we transition to a remote work environment.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address functions within the heavily regulated real estate and legal markets, and our customers’ failure to comply with applicable laws and regulations could subject us to litigation.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sell our software solutions to customers within the real estate market and, to a lesser extent, the legal market. Our customers use our software solutions for business activities that are subject to a number of laws and regulations, including without limitation federal, state and local real property laws and legal ethics rules. Any failure by our customers to comply with laws and regulations applicable to their businesses could result in fines, penalties or claims for substantial damages against our customers. To the extent our customers believe, or any other potentially aggrieved stakeholder believes, that our software solutions or our customer service and support organization caused or contributed to such failures, our customers and/or other third parties may make claims for damages against us, regardless of whether we are responsible for the failure. As a result, we may be subject to lawsuits or other proceedings that, even if unsuccessful, could divert our resources and our management’s attention and adversely affect our business, and our insurance coverage may not be sufficient to cover such claims against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promote our brands, or to do so in a cost-effective manner, our ability to maintain and expand our customer base will be impaired, and our operating results could be adversely affected.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Our inability to meet in person with prospective or existing customers during the COVID-19 pandemic may have an adverse impact on our relationships with current or prospective customers, and reduce the demand for our software solutions. Additionally, the actions of third parties which are out of our control may affect our brands and reputation if customers do not have a positive experience using the services of our third party partners that support our software solutions.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is considerable patent, trademark, copyright, trade secret and other intellectual property development activity in our industry. 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 that which we acquire. From time to time, our competitors or other third parties may claim that we are infringing upon their intellectual property rights. However, we may be unaware of the intellectual property rights that others may claim cover some or all of our technology or software solutions.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significant costs as a result of operating as a public company, and our management is required to devote substantial time to compliance with legal requirements and corporate governance initiatives.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a public company, we have incurred and expect to continue to incur significant legal, accounting, compliance and other expenses. We are subject to the reporting requirements of the Securities Exchange Act of 1934, as amended, the Sarbanes-Oxley Act of 2002, the listing requirements of the NASDAQ Global Market, and other applicable securities rules and regulations. Compliance with these rules and regulations will continue to increase our legal and financial compliance costs, make some activities more difficult, time-consuming or costly, and increase demand on our systems and resources.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requirements are creating uncertainty for public companies, increasing legal and financial compliance costs, and making some activities more difficult and time consuming. These laws, regulations and standards are subject to varying interpretations and their application in practice may evolve over time as new guidance is provided by regulatory and governing bodies. This could result in continuing uncertainty regarding compliance matters and higher costs necessitated by ongoing revisions to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which could result in a material adverse impact on our business.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software solutions over the term of each subscription agreement, downturns or upturns in new business may not be immediately reflected in our operating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recognize revenue from customers ratably over the term of each subscription agreement, which typically ranges from one month to one year. As a result, some of the revenue we report in each period is derived from the recognition of deferred revenue relating to subscription agreements entered into during previous periods. Consequently, a decline in new or renewed subscriptions in any one period may not be reflected in our revenue results for that period. However,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These risks could be difficult to eliminate or manage, and could have a negative impact on our business and operating results.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our outstanding and future indebtedness that could adversely affect our financial condition.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2020, we had $48.3 million of outstanding indebtedness under a term loan that will mature on December 24, 2023 (the "Term Loan"), pursuant to our Credit Agreement with Wells Fargo, and we may incur additional indebtedness in the future and/or enter into new financing arrangements. In addition, as of March 31, 2020, we had $49.0 million outstanding under our Revolving Facility with Wells Fargo. Our ability to meet expenses, to remain in compliance with the covenants under our debt instruments, and to pay fees, interest and principal on our substantial level of indebtedness depends on, among other things, our operating performance and market conditions, which are likely to be impacted by the significant disruptions caused by the COVID-19 pandemic. Accordingly, our cash flow may not be sufficient to allow us to pay principal and interest on our debt and meet our other obligations.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level of indebtedness could have important consequences, including the following:</w:t>
      </w:r>
    </w:p>
    <w:p>
      <w:pPr>
        <w:spacing w:after="0" w:line="158" w:lineRule="exact"/>
        <w:rPr>
          <w:sz w:val="20"/>
          <w:szCs w:val="20"/>
          <w:color w:val="auto"/>
        </w:rPr>
      </w:pPr>
    </w:p>
    <w:p>
      <w:pPr>
        <w:jc w:val="both"/>
        <w:ind w:left="1060" w:hanging="485"/>
        <w:spacing w:after="0" w:line="263"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use a portion of our cash flow from operations to pay fees, interest and principal on the Term Loan and Revolving Facility which reduces funds available to us for other purposes such as working capital, capital expenditures, other general corporate purposes, and potential acquisitions;</w:t>
      </w:r>
    </w:p>
    <w:p>
      <w:pPr>
        <w:spacing w:after="0" w:line="116"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refinance our indebtedness or to obtain additional financing for working capital, capital expenditures, acquisitions, or general corporate purposes;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exposed to fluctuations in interest rates because borrowings under our credit facilities bear interest at variable rates;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leverage may be greater than that of some of our competitors, which may put us at a competitive disadvantage and reduce our flexibility in responding to current and changing industry and financial market conditions;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more vulnerable to an economic downturn and adverse developments in our business; and</w:t>
      </w:r>
    </w:p>
    <w:p>
      <w:pPr>
        <w:spacing w:after="0" w:line="157" w:lineRule="exact"/>
        <w:rPr>
          <w:rFonts w:ascii="Arial" w:cs="Arial" w:eastAsia="Arial" w:hAnsi="Arial"/>
          <w:sz w:val="18"/>
          <w:szCs w:val="18"/>
          <w:color w:val="auto"/>
        </w:rPr>
      </w:pPr>
    </w:p>
    <w:p>
      <w:pPr>
        <w:jc w:val="both"/>
        <w:ind w:left="1060" w:hanging="485"/>
        <w:spacing w:after="0" w:line="263"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comply with financial and other covenants in our debt agreements, which could result in an event of default that, if not cured or waived, may result in acceleration of certain of our debt, have an adverse effect on our business and prospects and force us into bankruptcy or liquidation.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we will be able to manage any of these risks successfully.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conduct a portion of our operations through our subsidiaries. Accordingly, repayment of our indebtedness will be dependent in part on the generation of cash flow by our subsidiaries and their ability to make such cash available to us by dividend, distribution or otherwise.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In the event that we do not receive distributions from our subsidiaries, we may be unable to make the required fee, interest and principal payments on our indebtedness.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Financing agreements that we are party to or may become party to may contain operating and financial covenants that restrict our business and financing activities. Failure to comply with these covenants, or other restrictions, could result in default under these agreements.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existing Credit Agreement with Wells Fargo as administrative agent, and the lenders that are parties thereto, which we refer to as the Second Amendment of our Original Credit Agreement, contains certain operating and financial restrictions and covenants, including limitations on dividends, dispositions of all or substantially all of our assets, mergers or consolidations, incurrence of indebtedness and liens, and other corporate activities. These restrictions and covenants, as well as those contained in any future financing agreements that we may enter into, may restrict our ability to finance our operations, and to engage in, expand or otherwise pursue our business activities and strategic objectives. The substantial uncertainty and financial impacts caused by the COVID-19 pandemic may cause Wells Fargo to seek to amend the Second Amendment of our Original Credit Agreement, which could, among other things, result in greater operational or financial restrictions on our business. Our ability to comply with these restrictions and covenants may be affected by events beyond our control, including disruptions to our business relating to the COVID-19 pandemic, and breaches of these covenants could result in a default under the Second Amendment of our Original Credit Agreement and any future financing agreements that we may enter into. If not waived, defaults could cause any outstanding indebtedness under the Second Amendment of our Original Credit Agreement and any future financing agreements that we may enter into to become immediately due and payable, and allow the lenders to proceed against any collateral securing that indebtedness.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of December 31, 2019, the date of our most recent audited financial statements, we had federal net operating loss carryforwards of $82.1 million, which will begin to expire in 2031. At December 31, 2019, we had state net operating loss carryforwards of $65.9 million, which will begin to expire in 2028. At December 31, 2019, we also had federal and state research and development credit carryforwards of $11.4 million and $10.8 million, respectively. The federal credit carryforwards will begin to expire in 2027, while the majority state credits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 In addition, under the Tax Cuts and Jobs Act, the amount of net operating loss carryforwards from taxable years beginning after December 31, 2017 that we are permitted to deduct in any taxable year is limited to 80% of our taxable income in such year, where taxable income is determined without regard to the net operating loss carryforward deduction itself. However, the Coronavirus Aid, Relief, and Economic Security Act (also known as the "CARES Act') suspended this limitation for taxable years beginning before January 1, 2021. Nonetheless, for aforementioned reasons, we may not be able to realize a tax benefit, or may realize less tax benefit, from the use of our net operating loss carryforwards. Any such limitations on our ability to use our net operating loss carryforwards and other tax assets could adversely impact our business, financial condition and operating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 laws or regulations could be enacted or changed and existing tax laws or regulations could be applied to us or to our customers in a manner that could increase the costs of our software solutions and adversely impact our operating results.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the taxes would represent and could ultimately result in a negative impact on our operating results.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expansion of our sales to customers outside the United States, our business will be susceptible to the risks associated with international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component of our growth strategy involves the expansion of our international operations and worldwide customer base. To date, we have realized an immaterial amount of revenue from customers outside the United States. Operating in international markets will require significant resources and management attention and will subject us to regulatory, economic, geographic and political risks, including but not limited to the risk of disruptions caused by regional natural disasters or health epidemics, that are different from those in the United States. Because of our limited experience with international operations and significant differences between the United States and international markets, our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market price of our Class A common stock has been, and is likely to continue to be, highly volatile, and fluctuations in the price of our Class A common stock could cause you to lose all or part of your investment. For example, from March 31, 2019 to March 31, 2020, the share price of our Class A common stock on the NASDAQ Global Market fluctuated between $77.74 and $148.07.</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numerous factors that could cause fluctuations in the market price of our Class A common stock, including:</w:t>
      </w:r>
    </w:p>
    <w:p>
      <w:pPr>
        <w:spacing w:after="0" w:line="158" w:lineRule="exact"/>
        <w:rPr>
          <w:sz w:val="20"/>
          <w:szCs w:val="20"/>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trading volume of our Class A common stock;</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market prices and trading volumes of securities issued by software companies;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software companies generally or those in our markets in particular;</w:t>
      </w:r>
    </w:p>
    <w:p>
      <w:pPr>
        <w:spacing w:after="0" w:line="169" w:lineRule="exact"/>
        <w:rPr>
          <w:rFonts w:ascii="Arial" w:cs="Arial" w:eastAsia="Arial" w:hAnsi="Arial"/>
          <w:sz w:val="17"/>
          <w:szCs w:val="17"/>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or perceptions that such sales may occur;</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future announcements to repurchase our Class A common stock, and any actual share repurchases that we may undertake from time to time;</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us, or our failure to meet these estimates or the expectations of investors;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guidance we may provide to the public, any changes in that guidance, and our performance relative to that guidance;</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reaction to our press releases, filings with the SEC and other public announcements;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software companies;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impacts from widespread public health crises, including the COVID-19 global pandemic;</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legal proceedings, enforcement actions or regulatory inquiries relating to us or our competitors or to the markets in which we operate;</w:t>
      </w:r>
    </w:p>
    <w:p>
      <w:pPr>
        <w:spacing w:after="0" w:line="169" w:lineRule="exact"/>
        <w:rPr>
          <w:rFonts w:ascii="Arial" w:cs="Arial" w:eastAsia="Arial" w:hAnsi="Arial"/>
          <w:sz w:val="17"/>
          <w:szCs w:val="17"/>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or the markets in which we operate;</w:t>
      </w:r>
    </w:p>
    <w:p>
      <w:pPr>
        <w:spacing w:after="0" w:line="180" w:lineRule="exact"/>
        <w:rPr>
          <w:rFonts w:ascii="Arial" w:cs="Arial" w:eastAsia="Arial" w:hAnsi="Arial"/>
          <w:sz w:val="16"/>
          <w:szCs w:val="16"/>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trends, including the impacts and disruptions caused by the COVID-19 pandemic.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 potentially, the price of our Class A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a limited number of stockholders, including our executive officers, directors and principal stockholders, which will limit your ability to influence corporate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At December 31, 2019, the holders of the outstanding shares of our Class B common stock, including our executive officers, directors, and principal stockholders, collectively hold approximately 91%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 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At March 31, 2020, the holders of the outstanding shares of our Class B common stock, including our executive officers, directors, and principal stockholders, collectively hold approximately 91% of the combined voting power of our outstanding capital stock. Many investment funds are precluded from investing in companies that are not included in such indices, and these funds would be unable to purchase our Class A common stock. We cannot assure you that other stock indices will not take a similar approach in the future. Exclusion from indices could make our Class A common stock less attractive to investors and, as a result, the market price of our Class A common stock could be adversely affected.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2018, our Board of Directors adopted a $30.0 million Share Repurchase Program relating to our outstanding shares of our Class A common stock. In February 2019, our Board of Directors adopted a $100.0 million Share Repurchase Program relating to our outstanding shares of our Class A common stock, which is inclusive of, and not in addition to, the remaining availability under the October 2018 authorization. Although our Board of Directors has authorized the Repurchase Program, it does not obligate us to repurchase any specific dollar amount or number of shares, there is no expiration date for the Repurchase Program, and the Repurchase Program may be modified, suspended or terminated at any time and for any reason. The timing and actual number of shares repurchased under the Repurchase Program will depend on a variety of factors, including the acquisition price of the shares, our liquidity position, general market and economic conditions, legal and regulatory requirements and other considerations. Our ability to repurchase shares may also be limited by restrictive covenants in our existing Credit Agreement or in future borrowing arrangements we may enter into from time to time.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Repurchases of our shares could increase the volatility of the trading price of our shares, which could have a negative impact on the trading price of our shares. Similarly, the future announcement of the termination or suspension of the Repurchase Program, or our decision not to utilize the full authorized repurchase amount under the Repurchase Program, could result in a decrease in the trading price of our shares. In addition, the Repurchase Program could have the impact of diminishing our cash reserves, which may impact our ability to finance our growth, complete acquisitions and execute our strategic plan. There can be no assurance that any share repurchases we do elect to make will enhance stockholder value because the market price of our common stock may decline below the levels at which we repurchased our shares. Although our share repurchase program is intended to enhance long-term stockholder value, we cannot guarantee that it will do so and short-term stock price fluctuations could reduce the effectiveness of the Repurchase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w:t>
      </w:r>
    </w:p>
    <w:p>
      <w:pPr>
        <w:spacing w:after="0" w:line="116" w:lineRule="exact"/>
        <w:rPr>
          <w:sz w:val="20"/>
          <w:szCs w:val="20"/>
          <w:color w:val="auto"/>
        </w:rPr>
      </w:pPr>
    </w:p>
    <w:p>
      <w:pPr>
        <w:ind w:left="1060" w:hanging="485"/>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our Board of Directors without prior stockholder approval;</w:t>
      </w:r>
    </w:p>
    <w:p>
      <w:pPr>
        <w:spacing w:after="0" w:line="102" w:lineRule="exact"/>
        <w:rPr>
          <w:rFonts w:ascii="Arial" w:cs="Arial" w:eastAsia="Arial" w:hAnsi="Arial"/>
          <w:sz w:val="18"/>
          <w:szCs w:val="18"/>
          <w:color w:val="auto"/>
        </w:rPr>
      </w:pPr>
    </w:p>
    <w:p>
      <w:pPr>
        <w:ind w:left="1060" w:right="20" w:hanging="485"/>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our board is divided into three classes, each of which has a different three-year term;</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the number of directors will be fixed by our Board of Directors;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our stockholders from filling vacancies on our Board of Directors;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the removal of a director only for cause and then only by the affirmative vote of the holders of a majority of the combined voting power of our outstanding capital stock;</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vote of at least two-thirds of the combined voting power of our outstanding capital stock to approve amendments to our certificate of incorporation or bylaws;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 dual-class common stock structure, as discussed above; and</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approval of the holders of at least a majority of the outstanding shares of our Class B common stock, voting as a separate class, prior to consummating a change-in-control transaction.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March 31, 2020, we had an aggregate of 1.3 million options outstanding that, if fully exercised, would result in the issuance of additional shares of Class A common stock or Class B common stock, as applicable. Our Class B common stock converts into Class A common stock on a one-for-one basis. In addition, at March 31, 2020, we had 0.6 million restricted stock units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our market or our competitors, or if they adversely change their recommendations regarding our Class A common stock, the market price and trading volume of our Class A common stock could decline.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Class A common stock is influenced, to some extent, by the research and reports that securities or industry analysts may publish about us, our business, our market or our competitors. If any of the analysts who cover us adversely change their recommendations regarding our Class A common stock or provide more favorable recommendations about our competitors, the market price of our Class A common stock may decline. If any of the analysts who cover us were to cease coverage of us or fail to regularly publish reports, we could lose visibility in the financial markets, which in turn could cause the market price and trading volume of our Class A common stock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any cash dividends on our existing common stock. We do not anticipate declaring or paying any cash dividends to holders of our Class A common stock in the foreseeable future and intend to retain all future earnings for use in the growth of our business. In addition, the terms of our Credit Agreement restrict our ability to pay 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20, 2019, the Board of Directors authorized a $100.0 million Share Repurchase Program (the "Program") of our outstanding Class A Common Stock. Share repurchases made under the Program were made through open market transactions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w w:val="91"/>
              </w:rPr>
              <w:t>Total Number of Shares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w w:val="95"/>
              </w:rPr>
              <w:t>Purchased as Part of</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37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w w:val="91"/>
              </w:rPr>
              <w:t>Total Number of Shares</w:t>
            </w:r>
          </w:p>
        </w:tc>
        <w:tc>
          <w:tcPr>
            <w:tcW w:w="19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Average Price Paid per</w:t>
            </w: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Publicly Announced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Under the Plans or</w:t>
            </w:r>
          </w:p>
        </w:tc>
      </w:tr>
      <w:tr>
        <w:trPr>
          <w:trHeight w:val="257"/>
        </w:trPr>
        <w:tc>
          <w:tcPr>
            <w:tcW w:w="3700" w:type="dxa"/>
            <w:vAlign w:val="bottom"/>
          </w:tcPr>
          <w:p>
            <w:pPr>
              <w:spacing w:after="0"/>
              <w:rPr>
                <w:sz w:val="22"/>
                <w:szCs w:val="22"/>
                <w:color w:val="auto"/>
              </w:rPr>
            </w:pPr>
          </w:p>
        </w:tc>
        <w:tc>
          <w:tcPr>
            <w:tcW w:w="1840" w:type="dxa"/>
            <w:vAlign w:val="bottom"/>
          </w:tcPr>
          <w:p>
            <w:pPr>
              <w:jc w:val="right"/>
              <w:ind w:right="310"/>
              <w:spacing w:after="0" w:line="257" w:lineRule="exact"/>
              <w:rPr>
                <w:sz w:val="20"/>
                <w:szCs w:val="20"/>
                <w:color w:val="auto"/>
              </w:rPr>
            </w:pPr>
            <w:r>
              <w:rPr>
                <w:rFonts w:ascii="Arial" w:cs="Arial" w:eastAsia="Arial" w:hAnsi="Arial"/>
                <w:sz w:val="18"/>
                <w:szCs w:val="18"/>
                <w:color w:val="auto"/>
              </w:rPr>
              <w:t>Repurchased</w:t>
            </w:r>
            <w:r>
              <w:rPr>
                <w:rFonts w:ascii="Arial" w:cs="Arial" w:eastAsia="Arial" w:hAnsi="Arial"/>
                <w:sz w:val="25"/>
                <w:szCs w:val="25"/>
                <w:color w:val="auto"/>
                <w:vertAlign w:val="superscript"/>
              </w:rPr>
              <w:t>(1)</w:t>
            </w:r>
          </w:p>
        </w:tc>
        <w:tc>
          <w:tcPr>
            <w:tcW w:w="440" w:type="dxa"/>
            <w:vAlign w:val="bottom"/>
          </w:tcPr>
          <w:p>
            <w:pPr>
              <w:spacing w:after="0"/>
              <w:rPr>
                <w:sz w:val="22"/>
                <w:szCs w:val="22"/>
                <w:color w:val="auto"/>
              </w:rPr>
            </w:pPr>
          </w:p>
        </w:tc>
        <w:tc>
          <w:tcPr>
            <w:tcW w:w="1520" w:type="dxa"/>
            <w:vAlign w:val="bottom"/>
            <w:gridSpan w:val="2"/>
          </w:tcPr>
          <w:p>
            <w:pPr>
              <w:jc w:val="center"/>
              <w:ind w:right="480"/>
              <w:spacing w:after="0" w:line="257" w:lineRule="exact"/>
              <w:rPr>
                <w:sz w:val="20"/>
                <w:szCs w:val="20"/>
                <w:color w:val="auto"/>
              </w:rPr>
            </w:pPr>
            <w:r>
              <w:rPr>
                <w:rFonts w:ascii="Arial" w:cs="Arial" w:eastAsia="Arial" w:hAnsi="Arial"/>
                <w:sz w:val="18"/>
                <w:szCs w:val="18"/>
                <w:color w:val="auto"/>
                <w:w w:val="81"/>
              </w:rPr>
              <w:t>Share</w:t>
            </w:r>
            <w:r>
              <w:rPr>
                <w:rFonts w:ascii="Arial" w:cs="Arial" w:eastAsia="Arial" w:hAnsi="Arial"/>
                <w:sz w:val="25"/>
                <w:szCs w:val="25"/>
                <w:color w:val="auto"/>
                <w:w w:val="81"/>
                <w:vertAlign w:val="superscript"/>
              </w:rPr>
              <w:t>(2)</w:t>
            </w:r>
          </w:p>
        </w:tc>
        <w:tc>
          <w:tcPr>
            <w:tcW w:w="1860" w:type="dxa"/>
            <w:vAlign w:val="bottom"/>
          </w:tcPr>
          <w:p>
            <w:pPr>
              <w:jc w:val="right"/>
              <w:ind w:right="150"/>
              <w:spacing w:after="0" w:line="257" w:lineRule="exact"/>
              <w:rPr>
                <w:sz w:val="20"/>
                <w:szCs w:val="20"/>
                <w:color w:val="auto"/>
              </w:rPr>
            </w:pPr>
            <w:r>
              <w:rPr>
                <w:rFonts w:ascii="Arial" w:cs="Arial" w:eastAsia="Arial" w:hAnsi="Arial"/>
                <w:sz w:val="18"/>
                <w:szCs w:val="18"/>
                <w:color w:val="auto"/>
                <w:w w:val="94"/>
              </w:rPr>
              <w:t>Plans or Programs</w:t>
            </w:r>
            <w:r>
              <w:rPr>
                <w:rFonts w:ascii="Arial" w:cs="Arial" w:eastAsia="Arial" w:hAnsi="Arial"/>
                <w:sz w:val="25"/>
                <w:szCs w:val="25"/>
                <w:color w:val="auto"/>
                <w:w w:val="94"/>
                <w:vertAlign w:val="superscript"/>
              </w:rPr>
              <w:t>(1)</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37"/>
        </w:trPr>
        <w:tc>
          <w:tcPr>
            <w:tcW w:w="37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(in thousands)</w:t>
            </w:r>
          </w:p>
        </w:tc>
      </w:tr>
      <w:tr>
        <w:trPr>
          <w:trHeight w:val="27"/>
        </w:trPr>
        <w:tc>
          <w:tcPr>
            <w:tcW w:w="3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2020 to January 31, 2020</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February 1, 2020 to February 29, 2020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2020 to March 31, 2020</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48,002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87.35</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48,002</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95,807</w:t>
            </w:r>
          </w:p>
        </w:tc>
      </w:tr>
      <w:tr>
        <w:trPr>
          <w:trHeight w:val="27"/>
        </w:trPr>
        <w:tc>
          <w:tcPr>
            <w:tcW w:w="37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60" w:right="36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These repurchased shares of common stock were recorded as treasury stock and were accounted for under the cost method. None of the repurchased shares of common stock have been retired.</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Excludes broker commissions.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Exhibit Index immediately following the signature page of this Quarterly Report, which is incorporated herein by reference.</w:t>
      </w: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140"/>
          </w:cols>
          <w:pgMar w:left="320" w:top="179" w:right="1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AppFolio,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700" w:val="left"/>
          <w:tab w:leader="none" w:pos="406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263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0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8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2"/>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8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60" w:type="dxa"/>
            <w:vAlign w:val="bottom"/>
            <w:tcBorders>
              <w:top w:val="single" w:sz="8" w:color="auto"/>
            </w:tcBorders>
            <w:gridSpan w:val="6"/>
          </w:tcPr>
          <w:p>
            <w:pPr>
              <w:spacing w:after="0" w:line="202" w:lineRule="exact"/>
              <w:rPr>
                <w:rFonts w:ascii="Arial" w:cs="Arial" w:eastAsia="Arial" w:hAnsi="Arial"/>
                <w:sz w:val="18"/>
                <w:szCs w:val="18"/>
                <w:color w:val="0000FF"/>
                <w:w w:val="93"/>
              </w:rPr>
            </w:pPr>
            <w:hyperlink w:anchor="page65">
              <w:r>
                <w:rPr>
                  <w:rFonts w:ascii="Arial" w:cs="Arial" w:eastAsia="Arial" w:hAnsi="Arial"/>
                  <w:sz w:val="18"/>
                  <w:szCs w:val="18"/>
                  <w:color w:val="0000FF"/>
                  <w:w w:val="93"/>
                </w:rPr>
                <w:t>Certification of Chief Executive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w:anchor="page65">
              <w:r>
                <w:rPr>
                  <w:rFonts w:ascii="Arial" w:cs="Arial" w:eastAsia="Arial" w:hAnsi="Arial"/>
                  <w:sz w:val="18"/>
                  <w:szCs w:val="18"/>
                  <w:color w:val="0000FF"/>
                  <w:w w:val="87"/>
                </w:rPr>
                <w:t>of 1934, as amended.</w:t>
              </w:r>
            </w:hyperlink>
          </w:p>
        </w:tc>
        <w:tc>
          <w:tcPr>
            <w:tcW w:w="828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6"/>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Certification of Chief Financial Officer pursuant to Rule 13a-14(a) or Rule 15d-14(a) promulgated under the Securities Exchange Act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1934, as amended.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6"/>
          </w:tcPr>
          <w:p>
            <w:pPr>
              <w:spacing w:after="0"/>
              <w:rPr>
                <w:rFonts w:ascii="Arial" w:cs="Arial" w:eastAsia="Arial" w:hAnsi="Arial"/>
                <w:sz w:val="18"/>
                <w:szCs w:val="18"/>
                <w:color w:val="0000FF"/>
                <w:w w:val="96"/>
              </w:rPr>
            </w:pPr>
            <w:hyperlink w:anchor="page67">
              <w:r>
                <w:rPr>
                  <w:rFonts w:ascii="Arial" w:cs="Arial" w:eastAsia="Arial" w:hAnsi="Arial"/>
                  <w:sz w:val="18"/>
                  <w:szCs w:val="18"/>
                  <w:color w:val="0000FF"/>
                  <w:w w:val="96"/>
                </w:rPr>
                <w:t>Certifications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Section 906 of the Sarbanes-Oxley Act of 2002.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4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6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380" w:right="20" w:hanging="1143"/>
        <w:spacing w:after="0" w:line="250" w:lineRule="auto"/>
        <w:tabs>
          <w:tab w:leader="none" w:pos="138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ectPr>
          <w:pgSz w:w="11900" w:h="16838" w:orient="portrait"/>
          <w:cols w:equalWidth="0" w:num="1">
            <w:col w:w="11240"/>
          </w:cols>
          <w:pgMar w:left="320" w:top="17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71" w:lineRule="exact"/>
        <w:rPr>
          <w:sz w:val="20"/>
          <w:szCs w:val="20"/>
          <w:color w:val="auto"/>
        </w:rPr>
      </w:pPr>
    </w:p>
    <w:p>
      <w:pPr>
        <w:ind w:left="1160" w:hanging="112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98" w:lineRule="exact"/>
        <w:rPr>
          <w:rFonts w:ascii="Arial" w:cs="Arial" w:eastAsia="Arial" w:hAnsi="Arial"/>
          <w:sz w:val="18"/>
          <w:szCs w:val="18"/>
          <w:color w:val="auto"/>
        </w:rPr>
      </w:pPr>
    </w:p>
    <w:p>
      <w:pPr>
        <w:jc w:val="both"/>
        <w:ind w:left="1160" w:right="40" w:hanging="1125"/>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160" w:right="40" w:hanging="1125"/>
        <w:spacing w:after="0" w:line="342"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jc w:val="both"/>
        <w:ind w:left="1160" w:right="20" w:hanging="1125"/>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56" w:lineRule="exact"/>
        <w:rPr>
          <w:rFonts w:ascii="Arial" w:cs="Arial" w:eastAsia="Arial" w:hAnsi="Arial"/>
          <w:sz w:val="18"/>
          <w:szCs w:val="18"/>
          <w:color w:val="auto"/>
        </w:rPr>
      </w:pPr>
    </w:p>
    <w:p>
      <w:pPr>
        <w:jc w:val="both"/>
        <w:ind w:left="2280" w:right="40" w:hanging="544"/>
        <w:spacing w:after="0" w:line="311" w:lineRule="auto"/>
        <w:tabs>
          <w:tab w:leader="none" w:pos="22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6"/>
          <w:szCs w:val="16"/>
          <w:color w:val="auto"/>
        </w:rPr>
      </w:pPr>
    </w:p>
    <w:p>
      <w:pPr>
        <w:ind w:left="2280" w:right="420" w:hanging="544"/>
        <w:spacing w:after="0" w:line="311" w:lineRule="auto"/>
        <w:tabs>
          <w:tab w:leader="none" w:pos="22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7" w:lineRule="exact"/>
        <w:rPr>
          <w:rFonts w:ascii="Arial" w:cs="Arial" w:eastAsia="Arial" w:hAnsi="Arial"/>
          <w:sz w:val="16"/>
          <w:szCs w:val="16"/>
          <w:color w:val="auto"/>
        </w:rPr>
      </w:pPr>
    </w:p>
    <w:p>
      <w:pPr>
        <w:jc w:val="both"/>
        <w:ind w:left="2280" w:right="40" w:hanging="544"/>
        <w:spacing w:after="0" w:line="263" w:lineRule="auto"/>
        <w:tabs>
          <w:tab w:leader="none" w:pos="22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left="2280" w:right="40" w:hanging="544"/>
        <w:spacing w:after="0" w:line="311" w:lineRule="auto"/>
        <w:tabs>
          <w:tab w:leader="none" w:pos="22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jc w:val="both"/>
        <w:ind w:left="1160" w:right="40" w:hanging="1125"/>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jc w:val="both"/>
        <w:ind w:left="2280" w:right="20" w:hanging="558"/>
        <w:spacing w:after="0" w:line="263"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2280" w:right="20" w:hanging="558"/>
        <w:spacing w:after="0" w:line="277"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70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34029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71" w:lineRule="exact"/>
        <w:rPr>
          <w:sz w:val="20"/>
          <w:szCs w:val="20"/>
          <w:color w:val="auto"/>
        </w:rPr>
      </w:pPr>
    </w:p>
    <w:p>
      <w:pPr>
        <w:ind w:left="1160" w:hanging="112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AppFolio, Inc.;</w:t>
      </w:r>
    </w:p>
    <w:p>
      <w:pPr>
        <w:spacing w:after="0" w:line="198" w:lineRule="exact"/>
        <w:rPr>
          <w:rFonts w:ascii="Arial" w:cs="Arial" w:eastAsia="Arial" w:hAnsi="Arial"/>
          <w:sz w:val="18"/>
          <w:szCs w:val="18"/>
          <w:color w:val="auto"/>
        </w:rPr>
      </w:pPr>
    </w:p>
    <w:p>
      <w:pPr>
        <w:jc w:val="both"/>
        <w:ind w:left="1160" w:right="40" w:hanging="1125"/>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160" w:right="40" w:hanging="1125"/>
        <w:spacing w:after="0" w:line="342"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jc w:val="both"/>
        <w:ind w:left="1160" w:right="20" w:hanging="1125"/>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jc w:val="both"/>
        <w:ind w:left="2280" w:right="40" w:hanging="558"/>
        <w:spacing w:after="0" w:line="311" w:lineRule="auto"/>
        <w:tabs>
          <w:tab w:leader="none" w:pos="2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6"/>
          <w:szCs w:val="16"/>
          <w:color w:val="auto"/>
        </w:rPr>
      </w:pPr>
    </w:p>
    <w:p>
      <w:pPr>
        <w:ind w:left="2280" w:right="420" w:hanging="558"/>
        <w:spacing w:after="0" w:line="311" w:lineRule="auto"/>
        <w:tabs>
          <w:tab w:leader="none" w:pos="2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7" w:lineRule="exact"/>
        <w:rPr>
          <w:rFonts w:ascii="Arial" w:cs="Arial" w:eastAsia="Arial" w:hAnsi="Arial"/>
          <w:sz w:val="16"/>
          <w:szCs w:val="16"/>
          <w:color w:val="auto"/>
        </w:rPr>
      </w:pPr>
    </w:p>
    <w:p>
      <w:pPr>
        <w:jc w:val="both"/>
        <w:ind w:left="2280" w:right="20" w:hanging="558"/>
        <w:spacing w:after="0" w:line="263"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left="2280" w:right="20" w:hanging="558"/>
        <w:spacing w:after="0" w:line="311" w:lineRule="auto"/>
        <w:tabs>
          <w:tab w:leader="none" w:pos="2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jc w:val="both"/>
        <w:ind w:left="1160" w:right="40" w:hanging="1125"/>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jc w:val="both"/>
        <w:ind w:left="2400" w:right="20" w:hanging="678"/>
        <w:spacing w:after="0" w:line="263" w:lineRule="auto"/>
        <w:tabs>
          <w:tab w:leader="none" w:pos="2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2520" w:right="20" w:hanging="798"/>
        <w:spacing w:after="0" w:line="277" w:lineRule="auto"/>
        <w:tabs>
          <w:tab w:leader="none" w:pos="2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tabs>
          <w:tab w:leader="none" w:pos="700" w:val="left"/>
          <w:tab w:leader="none" w:pos="5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March 31, 2020, as filed with the Securities and Exchange Commission on the date hereof (the “Report”):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117" w:lineRule="exact"/>
        <w:rPr>
          <w:sz w:val="20"/>
          <w:szCs w:val="20"/>
          <w:color w:val="auto"/>
        </w:rPr>
      </w:pPr>
    </w:p>
    <w:p>
      <w:pPr>
        <w:ind w:left="40"/>
        <w:spacing w:after="0"/>
        <w:tabs>
          <w:tab w:leader="none" w:pos="920" w:val="left"/>
          <w:tab w:leader="none" w:pos="5200" w:val="left"/>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 w:leader="none" w:pos="5200" w:val="left"/>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4"/>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2020-05-04T15:08:05Z</dcterms:created>
  <dcterms:modified xsi:type="dcterms:W3CDTF">2020-05-04T15:08:05Z</dcterms:modified>
</cp:coreProperties>
</file>