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417"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417"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June 12, 2026 </w:t>
      </w:r>
    </w:p>
    <w:p>
      <w:pPr>
        <w:pStyle w:val="TextBody"/>
        <w:bidi w:val="0"/>
        <w:spacing w:lineRule="auto" w:line="417" w:before="0" w:after="0"/>
        <w:jc w:val="center"/>
        <w:rPr>
          <w:rFonts w:ascii="Times New Roman;serif" w:hAnsi="Times New Roman;serif"/>
          <w:b/>
          <w:color w:val="000000"/>
          <w:sz w:val="48"/>
        </w:rPr>
      </w:pPr>
      <w:r>
        <w:rPr>
          <w:rFonts w:ascii="Times New Roman;serif" w:hAnsi="Times New Roman;serif"/>
          <w:b/>
          <w:color w:val="000000"/>
          <w:sz w:val="48"/>
        </w:rPr>
        <w:t xml:space="preserve">AppFolio, Inc. </w:t>
      </w:r>
    </w:p>
    <w:p>
      <w:pPr>
        <w:pStyle w:val="TextBody"/>
        <w:bidi w:val="0"/>
        <w:spacing w:lineRule="auto" w:line="417"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 xml:space="preserve">Delaware </w:t>
      </w:r>
    </w:p>
    <w:p>
      <w:pPr>
        <w:pStyle w:val="TextBody"/>
        <w:bidi w:val="0"/>
        <w:spacing w:lineRule="auto" w:line="417"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bl>
      <w:tblPr>
        <w:tblW w:w="4978" w:type="dxa"/>
        <w:jc w:val="center"/>
        <w:tblInd w:w="0" w:type="dxa"/>
        <w:tblLayout w:type="fixed"/>
        <w:tblCellMar>
          <w:top w:w="28" w:type="dxa"/>
          <w:left w:w="28" w:type="dxa"/>
          <w:bottom w:w="28" w:type="dxa"/>
          <w:right w:w="28" w:type="dxa"/>
        </w:tblCellMar>
      </w:tblPr>
      <w:tblGrid>
        <w:gridCol w:w="754"/>
        <w:gridCol w:w="659"/>
        <w:gridCol w:w="671"/>
        <w:gridCol w:w="843"/>
        <w:gridCol w:w="843"/>
        <w:gridCol w:w="1208"/>
      </w:tblGrid>
      <w:tr>
        <w:trPr/>
        <w:tc>
          <w:tcPr>
            <w:tcW w:w="7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001-37468</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26-0359894</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 xml:space="preserve">70 Castilian Drive </w:t>
      </w:r>
    </w:p>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 xml:space="preserve">Santa Barbara, CA 93117 </w:t>
      </w:r>
    </w:p>
    <w:p>
      <w:pPr>
        <w:pStyle w:val="TextBody"/>
        <w:bidi w:val="0"/>
        <w:spacing w:lineRule="auto" w:line="417"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p>
      <w:pPr>
        <w:pStyle w:val="TextBody"/>
        <w:bidi w:val="0"/>
        <w:spacing w:lineRule="auto" w:line="417" w:before="0" w:after="0"/>
        <w:jc w:val="center"/>
        <w:rPr/>
      </w:pPr>
      <w:r>
        <w:rPr>
          <w:rFonts w:ascii="Times New Roman;serif" w:hAnsi="Times New Roman;serif"/>
          <w:b w:val="false"/>
          <w:color w:val="000000"/>
          <w:sz w:val="18"/>
        </w:rPr>
        <w:t xml:space="preserve">Registrant’s telephone number, including area code: </w:t>
      </w:r>
      <w:r>
        <w:rPr>
          <w:rFonts w:ascii="Times New Roman;serif" w:hAnsi="Times New Roman;serif"/>
          <w:b/>
          <w:color w:val="000000"/>
          <w:sz w:val="18"/>
        </w:rPr>
        <w:t xml:space="preserve">(805) 364-6093 </w:t>
      </w:r>
    </w:p>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417"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center"/>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052" w:type="dxa"/>
        <w:jc w:val="center"/>
        <w:tblInd w:w="0" w:type="dxa"/>
        <w:tblLayout w:type="fixed"/>
        <w:tblCellMar>
          <w:top w:w="28" w:type="dxa"/>
          <w:left w:w="28" w:type="dxa"/>
          <w:bottom w:w="28" w:type="dxa"/>
          <w:right w:w="28" w:type="dxa"/>
        </w:tblCellMar>
      </w:tblPr>
      <w:tblGrid>
        <w:gridCol w:w="1160"/>
        <w:gridCol w:w="1021"/>
        <w:gridCol w:w="1028"/>
        <w:gridCol w:w="454"/>
        <w:gridCol w:w="454"/>
        <w:gridCol w:w="456"/>
        <w:gridCol w:w="1019"/>
        <w:gridCol w:w="1019"/>
        <w:gridCol w:w="1441"/>
      </w:tblGrid>
      <w:tr>
        <w:trPr/>
        <w:tc>
          <w:tcPr>
            <w:tcW w:w="1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$0.0001 par value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APPF</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Market</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417" w:before="100" w:after="10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AppFolio, Inc. 2026 Annual Meeting of Stockholders (the “Annual Meeting”) was held on June 12, 2026. As of April 16, 2026, the record date for the Annual Meeting (the “Record Date”), AppFolio, Inc. (the "Company") had outstanding </w:t>
      </w:r>
      <w:r>
        <w:rPr>
          <w:rFonts w:ascii="Times New Roman;serif" w:hAnsi="Times New Roman;serif"/>
          <w:b w:val="false"/>
          <w:color w:val="000000"/>
          <w:sz w:val="20"/>
          <w:shd w:fill="FFFFFF" w:val="clear"/>
        </w:rPr>
        <w:t>24,028,908</w:t>
      </w:r>
      <w:r>
        <w:rPr>
          <w:color w:val="000000"/>
        </w:rPr>
        <w:t xml:space="preserve"> </w:t>
      </w:r>
      <w:r>
        <w:rPr>
          <w:rFonts w:ascii="Times New Roman;serif" w:hAnsi="Times New Roman;serif"/>
          <w:b w:val="false"/>
          <w:color w:val="000000"/>
          <w:sz w:val="20"/>
        </w:rPr>
        <w:t>shares of Class A Common Stock and 11,329,625 shares of Class B Common Stock. At the Annual Meeting, 20,842,533 shares of Class A Common Stock and 11,235,106 shares of Class B Common Stock were present virtually or represented by proxy. Each share of Class A Common Stock outstanding on the Record Date was entitled to one vote on each proposal presented at the Annual Meeting, and each share of Class B Common Stock outstanding on the Record Date was entitled to ten votes on each proposal presented at the Annual Meeting.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is a brief description of, and the final results of the voting on, each of the proposals voted upon at the Annual Meeting. The proposals are described in more detail in the Company's Definitive Proxy Statement on Schedule 14A, which was filed with the Securities and Exchange Commission on April 28, 2026.</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Proposal 1 – Election of Class II Directors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first proposal voted upon at the Annual Meeting was the election of two Class II directors, Olivia Nottebohm and Saori Casey, to a three-year term to hold office until the Company’s 2029 Annual Meeting of Stockholders, and until the date on which their respective successors are duly elected and qualified. </w:t>
      </w:r>
    </w:p>
    <w:p>
      <w:pPr>
        <w:pStyle w:val="TextBody"/>
        <w:bidi w:val="0"/>
        <w:spacing w:before="0" w:after="0"/>
        <w:ind w:left="0" w:right="0" w:firstLine="945"/>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Annual Meeting, the Class II directors were elected by the following votes:</w:t>
      </w:r>
    </w:p>
    <w:tbl>
      <w:tblPr>
        <w:tblW w:w="6323" w:type="dxa"/>
        <w:jc w:val="center"/>
        <w:tblInd w:w="0" w:type="dxa"/>
        <w:tblLayout w:type="fixed"/>
        <w:tblCellMar>
          <w:top w:w="28" w:type="dxa"/>
          <w:left w:w="28" w:type="dxa"/>
          <w:bottom w:w="28" w:type="dxa"/>
          <w:right w:w="28" w:type="dxa"/>
        </w:tblCellMar>
      </w:tblPr>
      <w:tblGrid>
        <w:gridCol w:w="575"/>
        <w:gridCol w:w="507"/>
        <w:gridCol w:w="508"/>
        <w:gridCol w:w="109"/>
        <w:gridCol w:w="109"/>
        <w:gridCol w:w="109"/>
        <w:gridCol w:w="379"/>
        <w:gridCol w:w="379"/>
        <w:gridCol w:w="383"/>
        <w:gridCol w:w="109"/>
        <w:gridCol w:w="109"/>
        <w:gridCol w:w="109"/>
        <w:gridCol w:w="309"/>
        <w:gridCol w:w="309"/>
        <w:gridCol w:w="313"/>
        <w:gridCol w:w="109"/>
        <w:gridCol w:w="109"/>
        <w:gridCol w:w="109"/>
        <w:gridCol w:w="492"/>
        <w:gridCol w:w="492"/>
        <w:gridCol w:w="696"/>
      </w:tblGrid>
      <w:tr>
        <w:trPr/>
        <w:tc>
          <w:tcPr>
            <w:tcW w:w="57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Olivia Nottebohm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125,033,431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6,146,417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2,013,745</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Saori Casey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130,956,960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2,013,745</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Proposal 2 – Ratification of Appointment of Independent Registered Public Accounting Firm</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proposal voted upon at the Annual Meeting was the ratification of the appointment of PricewaterhouseCoopers LLP as the Company's independent registered public accounting firm for the fiscal year ending December 31, 2026.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Annual Meeting, the proposal was approved by the following vote:</w:t>
      </w:r>
    </w:p>
    <w:p>
      <w:pPr>
        <w:pStyle w:val="TextBody"/>
        <w:bidi w:val="0"/>
        <w:spacing w:lineRule="auto" w:line="288" w:before="0" w:after="0"/>
        <w:jc w:val="left"/>
        <w:rPr>
          <w:color w:val="000000"/>
        </w:rPr>
      </w:pPr>
      <w:r>
        <w:rPr>
          <w:color w:val="000000"/>
        </w:rPr>
        <w:t> </w:t>
      </w:r>
    </w:p>
    <w:tbl>
      <w:tblPr>
        <w:tblW w:w="5319"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250"/>
        <w:gridCol w:w="250"/>
        <w:gridCol w:w="251"/>
        <w:gridCol w:w="109"/>
        <w:gridCol w:w="109"/>
        <w:gridCol w:w="109"/>
        <w:gridCol w:w="250"/>
        <w:gridCol w:w="250"/>
        <w:gridCol w:w="25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133,132,040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Proposal 3 – Advisory Vote on Named Executive Officer Compensation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The third proposal voted upon at the Annual Meeting was the approval, on a non-binding, advisory basis, of the compensation of the Company's named executive officers.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At the Annual Meeting, the proposal was approved by the following vote: </w:t>
      </w:r>
    </w:p>
    <w:p>
      <w:pPr>
        <w:pStyle w:val="TextBody"/>
        <w:bidi w:val="0"/>
        <w:spacing w:before="0" w:after="0"/>
        <w:jc w:val="left"/>
        <w:rPr/>
      </w:pPr>
      <w:r>
        <w:rPr/>
      </w:r>
    </w:p>
    <w:tbl>
      <w:tblPr>
        <w:tblW w:w="5349" w:type="dxa"/>
        <w:jc w:val="center"/>
        <w:tblInd w:w="0" w:type="dxa"/>
        <w:tblLayout w:type="fixed"/>
        <w:tblCellMar>
          <w:top w:w="28" w:type="dxa"/>
          <w:left w:w="28" w:type="dxa"/>
          <w:bottom w:w="28" w:type="dxa"/>
          <w:right w:w="28" w:type="dxa"/>
        </w:tblCellMar>
      </w:tblPr>
      <w:tblGrid>
        <w:gridCol w:w="418"/>
        <w:gridCol w:w="365"/>
        <w:gridCol w:w="373"/>
        <w:gridCol w:w="109"/>
        <w:gridCol w:w="109"/>
        <w:gridCol w:w="109"/>
        <w:gridCol w:w="259"/>
        <w:gridCol w:w="259"/>
        <w:gridCol w:w="263"/>
        <w:gridCol w:w="109"/>
        <w:gridCol w:w="109"/>
        <w:gridCol w:w="109"/>
        <w:gridCol w:w="250"/>
        <w:gridCol w:w="250"/>
        <w:gridCol w:w="25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130,615,480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546,022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2,013,745</w:t>
            </w:r>
          </w:p>
        </w:tc>
      </w:tr>
    </w:tbl>
    <w:p>
      <w:pPr>
        <w:pStyle w:val="TextBody"/>
        <w:bidi w:val="0"/>
        <w:spacing w:before="60" w:after="60"/>
        <w:ind w:left="0" w:right="0" w:firstLine="360"/>
        <w:jc w:val="both"/>
        <w:rPr/>
      </w:pPr>
      <w:r>
        <w:rPr/>
      </w:r>
    </w:p>
    <w:p>
      <w:pPr>
        <w:pStyle w:val="TextBody"/>
        <w:bidi w:val="0"/>
        <w:spacing w:before="60" w:after="60"/>
        <w:ind w:left="0" w:right="0" w:firstLine="360"/>
        <w:jc w:val="both"/>
        <w:rPr/>
      </w:pPr>
      <w:r>
        <w:rPr/>
      </w:r>
    </w:p>
    <w:p>
      <w:pPr>
        <w:pStyle w:val="TextBody"/>
        <w:bidi w:val="0"/>
        <w:spacing w:before="60" w:after="60"/>
        <w:ind w:left="0" w:right="0" w:firstLine="360"/>
        <w:jc w:val="both"/>
        <w:rPr/>
      </w:pPr>
      <w:r>
        <w:rPr/>
      </w:r>
    </w:p>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417" w:before="0" w:after="6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60" w:after="60"/>
        <w:jc w:val="left"/>
        <w:rPr/>
      </w:pPr>
      <w:r>
        <w:rPr/>
      </w:r>
    </w:p>
    <w:p>
      <w:pPr>
        <w:pStyle w:val="TextBody"/>
        <w:bidi w:val="0"/>
        <w:spacing w:lineRule="auto" w:line="417" w:before="6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60" w:after="200"/>
        <w:jc w:val="left"/>
        <w:rPr/>
      </w:pPr>
      <w:r>
        <w:rPr/>
      </w:r>
    </w:p>
    <w:tbl>
      <w:tblPr>
        <w:tblW w:w="4107" w:type="dxa"/>
        <w:jc w:val="center"/>
        <w:tblInd w:w="0" w:type="dxa"/>
        <w:tblLayout w:type="fixed"/>
        <w:tblCellMar>
          <w:top w:w="28" w:type="dxa"/>
          <w:left w:w="28" w:type="dxa"/>
          <w:bottom w:w="28" w:type="dxa"/>
          <w:right w:w="28" w:type="dxa"/>
        </w:tblCellMar>
      </w:tblPr>
      <w:tblGrid>
        <w:gridCol w:w="629"/>
        <w:gridCol w:w="554"/>
        <w:gridCol w:w="557"/>
        <w:gridCol w:w="331"/>
        <w:gridCol w:w="331"/>
        <w:gridCol w:w="331"/>
        <w:gridCol w:w="331"/>
        <w:gridCol w:w="331"/>
        <w:gridCol w:w="340"/>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AppFolio,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June 15, 2026</w:t>
            </w:r>
          </w:p>
        </w:tc>
        <w:tc>
          <w:tcPr>
            <w:tcW w:w="199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Evan Pickering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Evan Pickering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General Counsel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60" w:after="283"/>
        <w:jc w:val="left"/>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748</Words>
  <Characters>4040</Characters>
  <CharactersWithSpaces>4738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