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340" w:firstLine="8"/>
        <w:spacing w:after="0" w:line="34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2020.</w:t>
      </w:r>
    </w:p>
    <w:p>
      <w:pPr>
        <w:ind w:right="232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408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481"/>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50 Castilian Drive</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93117</w:t>
            </w:r>
          </w:p>
        </w:tc>
      </w:tr>
      <w:tr>
        <w:trPr>
          <w:trHeight w:val="234"/>
        </w:trPr>
        <w:tc>
          <w:tcPr>
            <w:tcW w:w="43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Santa Barbara, California</w:t>
            </w:r>
          </w:p>
        </w:tc>
        <w:tc>
          <w:tcPr>
            <w:tcW w:w="4080" w:type="dxa"/>
            <w:vAlign w:val="bottom"/>
          </w:tcPr>
          <w:p>
            <w:pPr>
              <w:spacing w:after="0"/>
              <w:rPr>
                <w:sz w:val="20"/>
                <w:szCs w:val="20"/>
                <w:color w:val="auto"/>
              </w:rPr>
            </w:pPr>
          </w:p>
        </w:tc>
      </w:tr>
      <w:tr>
        <w:trPr>
          <w:trHeight w:val="230"/>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(805) 364-6093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(Registrant’s telephone number, including area code)</w:t>
      </w:r>
    </w:p>
    <w:p>
      <w:pPr>
        <w:spacing w:after="0" w:line="204"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N/A</w:t>
      </w:r>
    </w:p>
    <w:p>
      <w:pPr>
        <w:spacing w:after="0" w:line="171" w:lineRule="exact"/>
        <w:rPr>
          <w:sz w:val="24"/>
          <w:szCs w:val="24"/>
          <w:color w:val="auto"/>
        </w:rPr>
      </w:pPr>
    </w:p>
    <w:p>
      <w:pPr>
        <w:ind w:left="2860"/>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4"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2"/>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color w:val="auto"/>
                <w:w w:val="96"/>
              </w:rPr>
              <w:t>NASDAQ Global Market</w:t>
            </w:r>
          </w:p>
        </w:tc>
      </w:tr>
    </w:tbl>
    <w:p>
      <w:pPr>
        <w:spacing w:after="0" w:line="8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01" w:lineRule="exact"/>
        <w:rPr>
          <w:sz w:val="24"/>
          <w:szCs w:val="24"/>
          <w:color w:val="auto"/>
        </w:rPr>
      </w:pPr>
    </w:p>
    <w:p>
      <w:pPr>
        <w:ind w:right="240"/>
        <w:spacing w:after="0" w:line="275" w:lineRule="auto"/>
        <w:rPr>
          <w:sz w:val="20"/>
          <w:szCs w:val="20"/>
          <w:color w:val="auto"/>
        </w:rPr>
      </w:pPr>
      <w:r>
        <w:rPr>
          <w:rFonts w:ascii="Arial" w:cs="Arial" w:eastAsia="Arial" w:hAnsi="Arial"/>
          <w:sz w:val="16"/>
          <w:szCs w:val="16"/>
          <w:color w:val="auto"/>
        </w:rPr>
        <w:t>As of November 2, 2020, the number of shares of the registrant’s Class A common stock outstanding was 18,098,284 and the number of shares of the registrant’s Class B common stock outstanding was 16,229,904.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80" w:type="dxa"/>
            <w:vAlign w:val="bottom"/>
            <w:gridSpan w:val="4"/>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80" w:type="dxa"/>
            <w:vAlign w:val="bottom"/>
            <w:gridSpan w:val="4"/>
          </w:tcPr>
          <w:p>
            <w:pPr>
              <w:ind w:left="3100"/>
              <w:spacing w:after="0"/>
              <w:rPr>
                <w:sz w:val="20"/>
                <w:szCs w:val="20"/>
                <w:color w:val="auto"/>
              </w:rPr>
            </w:pPr>
            <w:r>
              <w:rPr>
                <w:rFonts w:ascii="Arial" w:cs="Arial" w:eastAsia="Arial" w:hAnsi="Arial"/>
                <w:sz w:val="18"/>
                <w:szCs w:val="18"/>
                <w:b w:val="1"/>
                <w:bCs w:val="1"/>
                <w:color w:val="auto"/>
              </w:rPr>
              <w:t>Section</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22"/>
        </w:trPr>
        <w:tc>
          <w:tcPr>
            <w:tcW w:w="9820" w:type="dxa"/>
            <w:vAlign w:val="bottom"/>
            <w:tcBorders>
              <w:top w:val="single" w:sz="8" w:color="auto"/>
            </w:tcBorders>
            <w:gridSpan w:val="5"/>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Cautionary Note Regarding Forward-Looking Statements</w:t>
              </w:r>
            </w:hyperlink>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20" w:type="dxa"/>
            <w:vAlign w:val="bottom"/>
            <w:gridSpan w:val="6"/>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Financial Information</w:t>
              </w:r>
            </w:hyperlink>
          </w:p>
        </w:tc>
        <w:tc>
          <w:tcPr>
            <w:tcW w:w="120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20" w:type="dxa"/>
            <w:vAlign w:val="bottom"/>
            <w:gridSpan w:val="6"/>
          </w:tcPr>
          <w:p>
            <w:pPr>
              <w:ind w:left="6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Condensed Consolidated Financial Statements (Unaudited)</w:t>
              </w:r>
            </w:hyperlink>
          </w:p>
        </w:tc>
        <w:tc>
          <w:tcPr>
            <w:tcW w:w="120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14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September 30, 2020 and December 31, 2019</w:t>
              </w:r>
            </w:hyperlink>
          </w:p>
        </w:tc>
        <w:tc>
          <w:tcPr>
            <w:tcW w:w="120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140" w:type="dxa"/>
            <w:vAlign w:val="bottom"/>
            <w:gridSpan w:val="5"/>
          </w:tcPr>
          <w:p>
            <w:pPr>
              <w:spacing w:after="0"/>
              <w:rPr>
                <w:rFonts w:ascii="Arial" w:cs="Arial" w:eastAsia="Arial" w:hAnsi="Arial"/>
                <w:sz w:val="18"/>
                <w:szCs w:val="18"/>
                <w:u w:val="single" w:color="auto"/>
                <w:color w:val="0000FF"/>
                <w:w w:val="94"/>
              </w:rPr>
            </w:pPr>
            <w:hyperlink w:anchor="page5">
              <w:r>
                <w:rPr>
                  <w:rFonts w:ascii="Arial" w:cs="Arial" w:eastAsia="Arial" w:hAnsi="Arial"/>
                  <w:sz w:val="18"/>
                  <w:szCs w:val="18"/>
                  <w:u w:val="single" w:color="auto"/>
                  <w:color w:val="0000FF"/>
                  <w:w w:val="94"/>
                </w:rPr>
                <w:t>Condensed Consolidated Statements of Operations for the Three and Nine Months Ended September 30, 2020 and 2019</w:t>
              </w:r>
            </w:hyperlink>
          </w:p>
        </w:tc>
        <w:tc>
          <w:tcPr>
            <w:tcW w:w="120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9140" w:type="dxa"/>
            <w:vAlign w:val="bottom"/>
            <w:gridSpan w:val="5"/>
          </w:tcPr>
          <w:p>
            <w:pPr>
              <w:spacing w:after="0" w:line="190"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Comprehensive Income for the Three and Nine Months Ended September 30, 2020</w:t>
              </w:r>
            </w:hyperlink>
          </w:p>
        </w:tc>
        <w:tc>
          <w:tcPr>
            <w:tcW w:w="1200" w:type="dxa"/>
            <w:vAlign w:val="bottom"/>
            <w:vMerge w:val="restart"/>
          </w:tcPr>
          <w:p>
            <w:pPr>
              <w:jc w:val="center"/>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8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2019</w:t>
              </w:r>
            </w:hyperlink>
          </w:p>
        </w:tc>
        <w:tc>
          <w:tcPr>
            <w:tcW w:w="280" w:type="dxa"/>
            <w:vAlign w:val="bottom"/>
            <w:gridSpan w:val="2"/>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9140" w:type="dxa"/>
            <w:vAlign w:val="bottom"/>
            <w:gridSpan w:val="5"/>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Stockholders' Equity for the Three and Nine Months Ended September 30, 2020</w:t>
              </w:r>
            </w:hyperlink>
          </w:p>
        </w:tc>
        <w:tc>
          <w:tcPr>
            <w:tcW w:w="1200" w:type="dxa"/>
            <w:vAlign w:val="bottom"/>
            <w:vMerge w:val="restart"/>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6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and 2019</w:t>
              </w:r>
            </w:hyperlink>
          </w:p>
        </w:tc>
        <w:tc>
          <w:tcPr>
            <w:tcW w:w="500" w:type="dxa"/>
            <w:vAlign w:val="bottom"/>
            <w:gridSpan w:val="3"/>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spacing w:after="0"/>
              <w:rPr>
                <w:sz w:val="21"/>
                <w:szCs w:val="21"/>
                <w:color w:val="auto"/>
              </w:rPr>
            </w:pPr>
          </w:p>
        </w:tc>
        <w:tc>
          <w:tcPr>
            <w:tcW w:w="9140" w:type="dxa"/>
            <w:vAlign w:val="bottom"/>
            <w:gridSpan w:val="5"/>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Statements of Cash Flows for the Nine Months Ended September 30, 2020 and 2019</w:t>
              </w:r>
            </w:hyperlink>
          </w:p>
        </w:tc>
        <w:tc>
          <w:tcPr>
            <w:tcW w:w="1200" w:type="dxa"/>
            <w:vAlign w:val="bottom"/>
          </w:tcPr>
          <w:p>
            <w:pPr>
              <w:jc w:val="center"/>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140" w:type="dxa"/>
            <w:vAlign w:val="bottom"/>
            <w:gridSpan w:val="5"/>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Condensed Consolidated Unaudited Financial Statements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20" w:type="dxa"/>
            <w:vAlign w:val="bottom"/>
            <w:gridSpan w:val="6"/>
          </w:tcPr>
          <w:p>
            <w:pPr>
              <w:ind w:left="6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 Management’s Discussion and Analysis of Financial Condition and Results of Operations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20" w:type="dxa"/>
            <w:vAlign w:val="bottom"/>
            <w:gridSpan w:val="6"/>
          </w:tcPr>
          <w:p>
            <w:pPr>
              <w:ind w:left="6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 Qualitative and Quantitative Disclosure about Market Risk</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20" w:type="dxa"/>
            <w:vAlign w:val="bottom"/>
            <w:gridSpan w:val="6"/>
          </w:tcPr>
          <w:p>
            <w:pPr>
              <w:ind w:left="6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 Controls and Procedures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20" w:type="dxa"/>
            <w:vAlign w:val="bottom"/>
            <w:gridSpan w:val="6"/>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Part II. Other Information</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20" w:type="dxa"/>
            <w:vAlign w:val="bottom"/>
            <w:gridSpan w:val="6"/>
          </w:tcPr>
          <w:p>
            <w:pPr>
              <w:ind w:left="6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 Legal Proceedings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20" w:type="dxa"/>
            <w:vAlign w:val="bottom"/>
            <w:gridSpan w:val="6"/>
          </w:tcPr>
          <w:p>
            <w:pPr>
              <w:ind w:left="6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 Risk Factors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20" w:type="dxa"/>
            <w:vAlign w:val="bottom"/>
            <w:gridSpan w:val="6"/>
          </w:tcPr>
          <w:p>
            <w:pPr>
              <w:ind w:left="6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6. Exhibits</w:t>
              </w:r>
            </w:hyperlink>
          </w:p>
        </w:tc>
        <w:tc>
          <w:tcPr>
            <w:tcW w:w="120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20" w:type="dxa"/>
            <w:vAlign w:val="bottom"/>
            <w:gridSpan w:val="6"/>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Signatures</w:t>
              </w:r>
            </w:hyperlink>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5"/>
        </w:trPr>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Quarterly Report on Form 10-Q for the fiscal quarter ended September 30, 2020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Forward-looking statements include all statements that are not statements of historical facts and can be identified by words such as “anticipates,” “believes,” “could,” “estimates,” “expects,” “intends,” “may,” “plans,” “potential,” “predicts, “projects,” “seeks,” “should,” “will,” “would” or similar expressions and the negatives of those expressions. Forward-looking statements also include the assumptions underlying or relating to such statements. In particular, forward-looking statements contained in this Quarterly Report relate to, among other things:</w:t>
      </w:r>
    </w:p>
    <w:p>
      <w:pPr>
        <w:spacing w:after="0" w:line="69"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acquisitions, investments and divestitures;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commitments and contingencies, including with respect to the outcome of legal proceedings or regulatory matters;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application of accounting guidance, including the impact from adoption of recent accounting pronouncements;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of, and our response to, the novel coronavirus ("COVID-19") pandemic.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include all of the forward-looking statements made in this Quarterly Report.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financial performance or liquidity.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2019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144,028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Investment securities—current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22,876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15,540</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61,791</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12,089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14,744</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24,645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27,803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30,023</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58,425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27,574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207"/>
        </w:trPr>
        <w:tc>
          <w:tcPr>
            <w:tcW w:w="790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386,272</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260,102</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Accrued employee expenses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17,758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10,833</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4,586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11,139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Term loan, net—current portion</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7"/>
        </w:trPr>
        <w:tc>
          <w:tcPr>
            <w:tcW w:w="790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56,151</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47,451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47,375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101,756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128,152</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1"/>
              </w:rPr>
              <w:t>Preferred stock, $0.0001 par value, 25,000 shares authorized and no shares issued and outstanding as of September 30,</w:t>
            </w:r>
          </w:p>
        </w:tc>
        <w:tc>
          <w:tcPr>
            <w:tcW w:w="200" w:type="dxa"/>
            <w:vAlign w:val="bottom"/>
          </w:tcPr>
          <w:p>
            <w:pPr>
              <w:spacing w:after="0"/>
              <w:rPr>
                <w:sz w:val="14"/>
                <w:szCs w:val="14"/>
                <w:color w:val="auto"/>
              </w:rPr>
            </w:pP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2020 and December 31, 2019</w:t>
            </w:r>
          </w:p>
        </w:tc>
        <w:tc>
          <w:tcPr>
            <w:tcW w:w="2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Class A common stock, $0.0001 par value, 250,000 shares authorized as of September 30, 2020 and December 31,</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2019; 18,450 and 16,923 shares issued as of September 30, 2020 and December 31, 2019, respectively; 18,031 and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16,552 shares outstanding as of September 30, 2020 and December 31, 2019,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6"/>
              </w:rPr>
              <w:t>Class B common stock, $0.0001 par value, 50,000 shares authorized as of September 30, 2020 and December 31,</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w w:val="91"/>
              </w:rPr>
              <w:t>2019; 16,282 and 17,594 shares issued and outstanding as of September 30, 2020 and December 31, 2019, 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159,296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161,509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Treasury stock, at cost, 419 and 371 shares of Class A common stock as of September 30, 2020 and December 31,</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150,882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284,516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0" w:type="dxa"/>
            <w:vAlign w:val="bottom"/>
          </w:tcPr>
          <w:p>
            <w:pPr>
              <w:spacing w:after="0"/>
              <w:rPr>
                <w:sz w:val="1"/>
                <w:szCs w:val="1"/>
                <w:color w:val="auto"/>
              </w:rPr>
            </w:pPr>
          </w:p>
        </w:tc>
      </w:tr>
      <w:tr>
        <w:trPr>
          <w:trHeight w:val="207"/>
        </w:trPr>
        <w:tc>
          <w:tcPr>
            <w:tcW w:w="7900" w:type="dxa"/>
            <w:vAlign w:val="bottom"/>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386,272</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260,102</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188,650</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 (exclusive of 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75,239</w:t>
            </w:r>
          </w:p>
        </w:tc>
      </w:tr>
      <w:tr>
        <w:trPr>
          <w:trHeight w:val="230"/>
        </w:trPr>
        <w:tc>
          <w:tcPr>
            <w:tcW w:w="59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37,087</w:t>
            </w:r>
          </w:p>
        </w:tc>
      </w:tr>
      <w:tr>
        <w:trPr>
          <w:trHeight w:val="22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w:t>
            </w:r>
          </w:p>
        </w:tc>
      </w:tr>
      <w:tr>
        <w:trPr>
          <w:trHeight w:val="229"/>
        </w:trPr>
        <w:tc>
          <w:tcPr>
            <w:tcW w:w="59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25,361</w:t>
            </w:r>
          </w:p>
        </w:tc>
      </w:tr>
      <w:tr>
        <w:trPr>
          <w:trHeight w:val="23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16,169</w:t>
            </w:r>
          </w:p>
        </w:tc>
      </w:tr>
      <w:tr>
        <w:trPr>
          <w:trHeight w:val="223"/>
        </w:trPr>
        <w:tc>
          <w:tcPr>
            <w:tcW w:w="59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182,278</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187,747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187,759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4"/>
              </w:rPr>
              <w:t>(1,909)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Income before provision for (benefit from)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190,254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198,385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30"/>
        </w:trPr>
        <w:tc>
          <w:tcPr>
            <w:tcW w:w="59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94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33,991</w:t>
            </w:r>
          </w:p>
        </w:tc>
      </w:tr>
      <w:tr>
        <w:trPr>
          <w:trHeight w:val="22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31,854</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unrealized (losses) gains on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32,070</w:t>
            </w:r>
          </w:p>
        </w:tc>
      </w:tr>
      <w:tr>
        <w:trPr>
          <w:trHeight w:val="21"/>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8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Balance as of December 31, 2019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66"/>
        </w:trPr>
        <w:tc>
          <w:tcPr>
            <w:tcW w:w="2460" w:type="dxa"/>
            <w:vAlign w:val="bottom"/>
          </w:tcPr>
          <w:p>
            <w:pPr>
              <w:spacing w:after="0" w:line="166" w:lineRule="exact"/>
              <w:rPr>
                <w:sz w:val="20"/>
                <w:szCs w:val="20"/>
                <w:color w:val="auto"/>
              </w:rPr>
            </w:pPr>
            <w:r>
              <w:rPr>
                <w:rFonts w:ascii="Arial" w:cs="Arial" w:eastAsia="Arial" w:hAnsi="Arial"/>
                <w:sz w:val="16"/>
                <w:szCs w:val="16"/>
                <w:color w:val="auto"/>
                <w:w w:val="96"/>
              </w:rPr>
              <w:t>Vesting of restricted stock units, net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3"/>
              </w:rPr>
              <w:t>Conversion of Class B stock to Class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A stock</w:t>
            </w: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26"/>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156,513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124,875</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166"/>
        </w:trPr>
        <w:tc>
          <w:tcPr>
            <w:tcW w:w="2460" w:type="dxa"/>
            <w:vAlign w:val="bottom"/>
          </w:tcPr>
          <w:p>
            <w:pPr>
              <w:spacing w:after="0" w:line="166" w:lineRule="exact"/>
              <w:rPr>
                <w:sz w:val="20"/>
                <w:szCs w:val="20"/>
                <w:color w:val="auto"/>
              </w:rPr>
            </w:pPr>
            <w:r>
              <w:rPr>
                <w:rFonts w:ascii="Arial" w:cs="Arial" w:eastAsia="Arial" w:hAnsi="Arial"/>
                <w:sz w:val="16"/>
                <w:szCs w:val="16"/>
                <w:color w:val="auto"/>
                <w:w w:val="96"/>
              </w:rPr>
              <w:t>Vesting of restricted stock units, net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3"/>
              </w:rPr>
              <w:t>Conversion of Class B stock to Class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A stock</w:t>
            </w: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w w:val="97"/>
              </w:rPr>
              <w:t>Issuance of restricted stock awards</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19,257</w:t>
            </w:r>
          </w:p>
        </w:tc>
        <w:tc>
          <w:tcPr>
            <w:tcW w:w="0" w:type="dxa"/>
            <w:vAlign w:val="bottom"/>
          </w:tcPr>
          <w:p>
            <w:pPr>
              <w:spacing w:after="0"/>
              <w:rPr>
                <w:sz w:val="1"/>
                <w:szCs w:val="1"/>
                <w:color w:val="auto"/>
              </w:rPr>
            </w:pPr>
          </w:p>
        </w:tc>
      </w:tr>
      <w:tr>
        <w:trPr>
          <w:trHeight w:val="226"/>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144,504</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166"/>
        </w:trPr>
        <w:tc>
          <w:tcPr>
            <w:tcW w:w="2460" w:type="dxa"/>
            <w:vAlign w:val="bottom"/>
          </w:tcPr>
          <w:p>
            <w:pPr>
              <w:spacing w:after="0" w:line="166" w:lineRule="exact"/>
              <w:rPr>
                <w:sz w:val="20"/>
                <w:szCs w:val="20"/>
                <w:color w:val="auto"/>
              </w:rPr>
            </w:pPr>
            <w:r>
              <w:rPr>
                <w:rFonts w:ascii="Arial" w:cs="Arial" w:eastAsia="Arial" w:hAnsi="Arial"/>
                <w:sz w:val="16"/>
                <w:szCs w:val="16"/>
                <w:color w:val="auto"/>
                <w:w w:val="96"/>
              </w:rPr>
              <w:t>Vesting of restricted stock units, net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3"/>
              </w:rPr>
              <w:t>Conversion of Class B stock to Class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A stock</w:t>
            </w: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137,676</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b w:val="1"/>
                <w:bCs w:val="1"/>
                <w:color w:val="auto"/>
                <w:w w:val="94"/>
              </w:rPr>
              <w:t>Balance as of September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18,031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16,282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159,296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284,516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8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2"/>
              </w:rPr>
              <w:t>Balance as of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3"/>
              </w:rPr>
              <w:t>(21,562)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91,846</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line="166" w:lineRule="exact"/>
              <w:rPr>
                <w:sz w:val="20"/>
                <w:szCs w:val="20"/>
                <w:color w:val="auto"/>
              </w:rPr>
            </w:pPr>
            <w:r>
              <w:rPr>
                <w:rFonts w:ascii="Arial" w:cs="Arial" w:eastAsia="Arial" w:hAnsi="Arial"/>
                <w:sz w:val="16"/>
                <w:szCs w:val="16"/>
                <w:color w:val="auto"/>
                <w:w w:val="92"/>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Vesting of early exercised shares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line="166"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3"/>
              </w:rPr>
              <w:t>(21,562)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95,055</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line="166" w:lineRule="exact"/>
              <w:rPr>
                <w:sz w:val="20"/>
                <w:szCs w:val="20"/>
                <w:color w:val="auto"/>
              </w:rPr>
            </w:pPr>
            <w:r>
              <w:rPr>
                <w:rFonts w:ascii="Arial" w:cs="Arial" w:eastAsia="Arial" w:hAnsi="Arial"/>
                <w:sz w:val="16"/>
                <w:szCs w:val="16"/>
                <w:color w:val="auto"/>
                <w:w w:val="92"/>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w w:val="93"/>
              </w:rPr>
              <w:t>Issuance of restricted stock awards</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23,151</w:t>
            </w:r>
          </w:p>
        </w:tc>
        <w:tc>
          <w:tcPr>
            <w:tcW w:w="0" w:type="dxa"/>
            <w:vAlign w:val="bottom"/>
          </w:tcPr>
          <w:p>
            <w:pPr>
              <w:spacing w:after="0"/>
              <w:rPr>
                <w:sz w:val="1"/>
                <w:szCs w:val="1"/>
                <w:color w:val="auto"/>
              </w:rPr>
            </w:pPr>
          </w:p>
        </w:tc>
      </w:tr>
      <w:tr>
        <w:trPr>
          <w:trHeight w:val="212"/>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3"/>
              </w:rPr>
              <w:t>(21,562)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118,215</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line="166" w:lineRule="exact"/>
              <w:rPr>
                <w:sz w:val="20"/>
                <w:szCs w:val="20"/>
                <w:color w:val="auto"/>
              </w:rPr>
            </w:pPr>
            <w:r>
              <w:rPr>
                <w:rFonts w:ascii="Arial" w:cs="Arial" w:eastAsia="Arial" w:hAnsi="Arial"/>
                <w:sz w:val="16"/>
                <w:szCs w:val="16"/>
                <w:color w:val="auto"/>
                <w:w w:val="92"/>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w w:val="93"/>
              </w:rPr>
              <w:t>Issuance of restricted stock awards</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3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Balance as of September 30,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3"/>
              </w:rPr>
              <w:t>(21,562)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125,417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158,916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31,854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16,169</w:t>
            </w:r>
          </w:p>
        </w:tc>
      </w:tr>
      <w:tr>
        <w:trPr>
          <w:trHeight w:val="229"/>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r>
      <w:tr>
        <w:trPr>
          <w:trHeight w:val="230"/>
        </w:trPr>
        <w:tc>
          <w:tcPr>
            <w:tcW w:w="84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(27,032)</w:t>
            </w:r>
          </w:p>
        </w:tc>
      </w:tr>
      <w:tr>
        <w:trPr>
          <w:trHeight w:val="229"/>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r>
      <w:tr>
        <w:trPr>
          <w:trHeight w:val="230"/>
        </w:trPr>
        <w:tc>
          <w:tcPr>
            <w:tcW w:w="8480" w:type="dxa"/>
            <w:vAlign w:val="bottom"/>
          </w:tcPr>
          <w:p>
            <w:pPr>
              <w:ind w:left="34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(187,636)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84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r>
      <w:tr>
        <w:trPr>
          <w:trHeight w:val="229"/>
        </w:trPr>
        <w:tc>
          <w:tcPr>
            <w:tcW w:w="848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(4,403)</w:t>
            </w:r>
          </w:p>
        </w:tc>
      </w:tr>
      <w:tr>
        <w:trPr>
          <w:trHeight w:val="229"/>
        </w:trPr>
        <w:tc>
          <w:tcPr>
            <w:tcW w:w="8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84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8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employee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8480" w:type="dxa"/>
            <w:vAlign w:val="bottom"/>
          </w:tcPr>
          <w:p>
            <w:pPr>
              <w:ind w:left="6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30"/>
        </w:trPr>
        <w:tc>
          <w:tcPr>
            <w:tcW w:w="848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(2,886)</w:t>
            </w:r>
          </w:p>
        </w:tc>
      </w:tr>
      <w:tr>
        <w:trPr>
          <w:trHeight w:val="229"/>
        </w:trPr>
        <w:tc>
          <w:tcPr>
            <w:tcW w:w="8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3"/>
        </w:trPr>
        <w:tc>
          <w:tcPr>
            <w:tcW w:w="84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23,413</w:t>
            </w: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from investing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Purchases of available-for-sale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and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Additions to capitalized software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(15,669)</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 business acquisition, net of cash acquired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(54,004)</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of business, net of cash divested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(70,728)</w:t>
            </w:r>
          </w:p>
        </w:tc>
      </w:tr>
      <w:tr>
        <w:trPr>
          <w:trHeight w:val="210"/>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Cash from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Tax withholding for net share settlement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(5,541)</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w:t>
            </w:r>
          </w:p>
        </w:tc>
      </w:tr>
      <w:tr>
        <w:trPr>
          <w:trHeight w:val="223"/>
        </w:trPr>
        <w:tc>
          <w:tcPr>
            <w:tcW w:w="84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(53,954)</w:t>
            </w:r>
          </w:p>
        </w:tc>
      </w:tr>
      <w:tr>
        <w:trPr>
          <w:trHeight w:val="234"/>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86"/>
        </w:trPr>
        <w:tc>
          <w:tcPr>
            <w:tcW w:w="8480" w:type="dxa"/>
            <w:vAlign w:val="bottom"/>
          </w:tcPr>
          <w:p>
            <w:pPr>
              <w:ind w:left="55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8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20,552</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Additions of capitalized software included in accrued and accrued employee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capitalized for software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Purchase consideration for acquisitions included in other current liabilities</w:t>
            </w:r>
          </w:p>
        </w:tc>
        <w:tc>
          <w:tcPr>
            <w:tcW w:w="3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181"/>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67" w:lineRule="exact"/>
        <w:rPr>
          <w:sz w:val="20"/>
          <w:szCs w:val="20"/>
          <w:color w:val="auto"/>
        </w:rPr>
      </w:pPr>
    </w:p>
    <w:p>
      <w:pPr>
        <w:jc w:val="both"/>
        <w:ind w:firstLine="197"/>
        <w:spacing w:after="0" w:line="257" w:lineRule="auto"/>
        <w:rPr>
          <w:sz w:val="20"/>
          <w:szCs w:val="20"/>
          <w:color w:val="auto"/>
        </w:rPr>
      </w:pPr>
      <w:r>
        <w:rPr>
          <w:rFonts w:ascii="Arial" w:cs="Arial" w:eastAsia="Arial" w:hAnsi="Arial"/>
          <w:sz w:val="18"/>
          <w:szCs w:val="18"/>
          <w:color w:val="auto"/>
        </w:rPr>
        <w:t>AppFolio, Inc.'s (the "Company," “we,” "us" or "our") mission is to revolutionize vertical industry businesses by providing great software and services. We offer industry-specific, cloud-based business software solutions, services and data analytics to our customers. Although specific functionality varies by product, our core solutions address common business operations and interactions of our customers' businesses. In addition to our core solutions, we offer a range of optional, but often business-critical, Value+ services. Our Value+ services are built to enhance, automate and streamline processes and support workflows essential to our customers' businesses.</w:t>
      </w:r>
    </w:p>
    <w:p>
      <w:pPr>
        <w:spacing w:after="0" w:line="80" w:lineRule="exact"/>
        <w:rPr>
          <w:sz w:val="20"/>
          <w:szCs w:val="20"/>
          <w:color w:val="auto"/>
        </w:rPr>
      </w:pPr>
    </w:p>
    <w:p>
      <w:pPr>
        <w:jc w:val="both"/>
        <w:ind w:firstLine="215"/>
        <w:spacing w:after="0" w:line="254" w:lineRule="auto"/>
        <w:rPr>
          <w:sz w:val="20"/>
          <w:szCs w:val="20"/>
          <w:color w:val="auto"/>
        </w:rPr>
      </w:pPr>
      <w:r>
        <w:rPr>
          <w:rFonts w:ascii="Arial" w:cs="Arial" w:eastAsia="Arial" w:hAnsi="Arial"/>
          <w:sz w:val="18"/>
          <w:szCs w:val="18"/>
          <w:color w:val="auto"/>
        </w:rPr>
        <w:t>Our real estate software solutions represent approximately 90% of our revenue as of September 30, 2020. The significant majority of our customers in the real estate vertical use our property management solutions, which provide our property management customers, including third-party property managers and owner-operators who manage single- and multi-family residences, community associations, commercial properties, and student housing, as well as mixed real estate portfolios,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We also provide software solutions to real estate investment managers.</w:t>
      </w:r>
    </w:p>
    <w:p>
      <w:pPr>
        <w:spacing w:after="0" w:line="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periods covered by this Quarterly Report, we also provided software solutions and services to the legal vertical that enabled law firms to administer their practice and manage their caseloads more efficiently by centralizing case details in a single system of record and system of engagement.</w:t>
      </w:r>
    </w:p>
    <w:p>
      <w:pPr>
        <w:spacing w:after="0" w:line="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previously disclosed, on September 30, 2020, the Company completed its divestiture of 100% of the issued and outstanding equity interests of MyCase, Inc. ("MyCase"), a former wholly owned subsidiary of the Company that provided such legal practice and case management software solutions to our legal customers. The Company sold MyCase to Mockingbird AcquisitionCo Inc., a Delaware corporation (“Buyer”) affiliated with funds advised by Apax Partners LLP, for $193.0 million pursuant to a Stock Purchase Agreement, dated September 7, 2020 (the “Purchase Agreement”), by and among Buyer, the Company and MyCase (the “MyCase Transaction”). In connection with the closing of the MyCase Transaction, and in accordance with the terms of the Purchase Agreement, the Company and MyCase entered into certain ancillary agreements, including relating to certain post-closing transition services to be provided by the Company to MyCase at fair market value, as well as an intellectual property licensing agreement for certain software and patents for which no ongoing licensing fees will be received. We recognized a pre-tax gain on the sale of $187.6 million on the MyCase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March 2, 2020.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nine months ended September 30, 2020 are not necessarily indicative of the results expected for the full year ending December 31, 2020.</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Statements of Cash Flows within the cash from investing activities section in the prior year to conform to the current year's presentation.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described below under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there have been no significant changes in our accounting policies from those disclosed in our annual consolidated financial statements and the related notes included in our Annual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and valuation and assumptions underlying stock-based compensation and other equity instruments.</w:t>
      </w:r>
    </w:p>
    <w:p>
      <w:pPr>
        <w:spacing w:after="0" w:line="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During early calendar year 2020, the novel coronavirus disease ("COVID-19") spread globally, including to every state in the United States. The global pandemic has created and may continue to create significant uncertainty in a wide variety of industries and markets and has prompted many federal, state, local, and foreign governments to adopt various orders and restrictions in an attempt to control the spread and mitigate the impact of the disease, which may reduce demand for our core solutions and/or Value+ services, impact the productivity of our workforce, reduce our access to capital, and harm our business and results of operations. These potential impacts are only amplified by the length of time they remain in place, as the cumulative effect upon our customers and their businesses may only exacerbate potential harm to our business and results of operations.</w:t>
      </w:r>
    </w:p>
    <w:p>
      <w:pPr>
        <w:spacing w:after="0" w:line="5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light of the unknown duration and severity of COVID-19, we face a greater degree of uncertainty than normal in making the judgments and estimates needed to apply our significant accounting policies. We assessed certain accounting matters that generally require consideration of forecasted financial information in context with the information reasonably available to us and the unknown future impacts of COVID-19 as of September 30, 2020 and through the date of this report. The accounting matters assessed included, but were not limited to, our allowance for credit losses, the carrying value of goodwill and other long-lived assets, performance-based compensation and income taxes.</w:t>
      </w:r>
    </w:p>
    <w:p>
      <w:pPr>
        <w:spacing w:after="0" w:line="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Condensed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level of uncertainty regarding the economic and operational impacts of COVID-19 on our business, there may be other judgments and assumptions that we have not considered. Such judgments and assumptions could result in a meaningful impact on our financial statements in future periods. Actual results could differ from those estimates and any such differences may have a material impact on our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1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1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33,995</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6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34,296</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34,047</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33,991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Plus: Weighted average options, restricted stock units and restricted shares used to compute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80" w:type="dxa"/>
            <w:vAlign w:val="bottom"/>
            <w:vMerge w:val="continue"/>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net income per common share</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2020 and 2019, an aggregate of 130,000 and 361,000 shares, respectively, underlying performance-based stock options ("PSOs") and performance-based restricted stock units ("PSUs") were not included in the computations of diluted and anti-dilutive shares as they are considered contingently issuable upon the satisfaction of pre-defined performance measures and their respective performance measures have not been met.</w:t>
      </w:r>
    </w:p>
    <w:p>
      <w:pPr>
        <w:spacing w:after="0" w:line="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Restricted stock units ("RSUs") with an anti-dilutive effect were excluded from the calculation of weighted average number of shares used to compute diluted net income per common share and they were not material for the three and nine months ended September 30, 2020 and 2019.</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amends the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We adopted ASU 2016-13 on January 1, 2020. The adoption of this guidance did not have a material impact on our financial condition, results of operations, cash flows or disclosures.</w:t>
      </w:r>
    </w:p>
    <w:p>
      <w:pPr>
        <w:spacing w:after="0" w:line="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 series of amendments</w:t>
      </w:r>
    </w:p>
    <w:p>
      <w:pPr>
        <w:jc w:val="both"/>
        <w:spacing w:after="0" w:line="253" w:lineRule="auto"/>
        <w:rPr>
          <w:sz w:val="20"/>
          <w:szCs w:val="20"/>
          <w:color w:val="auto"/>
        </w:rPr>
      </w:pPr>
      <w:r>
        <w:rPr>
          <w:rFonts w:ascii="Arial" w:cs="Arial" w:eastAsia="Arial" w:hAnsi="Arial"/>
          <w:sz w:val="18"/>
          <w:szCs w:val="18"/>
          <w:color w:val="auto"/>
        </w:rPr>
        <w:t>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We adopted ASU 2018-15 on January 1, 2020. The adoption of this guidance did not have a material impact on our financial condition, results of operations, cash flows or disclosures.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This guidance is effective for interim and annual periods beginning after December 15, 2020 with early adoption permitted. We do not expect the adoption of this guidance to have a material impact on our financial condition, results of operations, cash flows or disclosures.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and Business Combinations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 of MyCase</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September 30, 2020, we completed the MyCase Transaction for $193.0 million, consisting of $192.2 million of cash proceeds, plus a $2.2 million employee retention bonus pool funded by the Company, less cash divested of $0.8 million and a preliminary working capital adjustment of $0.6 million. The retention bonus pool is refundable to the Company to the extent that MyCase employees are terminated prior to the retention period, which is one year from the closing date of the MyCase Transaction. A portion of the cash proceeds was used to pay all outstanding borrowings under the Credit Facility.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for more information about the termination of the Credit Facility.</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recognized a pre-tax gain on the sale of $187.6 million on the MyCase Transaction, consisting of cash proceeds of $192.2 million, less net assets divested of $4.6 million. Net assets divested is primarily comprised of capitalized software of $3.9 million, deferred revenue of $2.8 million and goodwill allocated to MyCase of $2.3 million. The gain on the sale is included within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our Condensed Consolidated Statements of Operations. Income received in relation to the transition services to be provided by the Company to MyCase will be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(expense), net </w:t>
      </w:r>
      <w:r>
        <w:rPr>
          <w:rFonts w:ascii="Arial" w:cs="Arial" w:eastAsia="Arial" w:hAnsi="Arial"/>
          <w:sz w:val="18"/>
          <w:szCs w:val="18"/>
          <w:color w:val="auto"/>
        </w:rPr>
        <w:t>in our Condensed Consolidated Statements of Operations. Refer to Note 1,</w:t>
      </w:r>
      <w:r>
        <w:rPr>
          <w:rFonts w:ascii="Arial" w:cs="Arial" w:eastAsia="Arial" w:hAnsi="Arial"/>
          <w:sz w:val="18"/>
          <w:szCs w:val="18"/>
          <w:i w:val="1"/>
          <w:iCs w:val="1"/>
          <w:color w:val="auto"/>
        </w:rPr>
        <w:t xml:space="preserve"> Nature of Business</w:t>
      </w:r>
      <w:r>
        <w:rPr>
          <w:rFonts w:ascii="Arial" w:cs="Arial" w:eastAsia="Arial" w:hAnsi="Arial"/>
          <w:sz w:val="18"/>
          <w:szCs w:val="18"/>
          <w:color w:val="auto"/>
        </w:rPr>
        <w:t>, of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more information about the MyCase Transaction.</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Dynasty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7, 2019, we acquired 100% of the voting equity interest of Dynasty Marketplace, Inc. ("Dynasty") for $60.2 million, of which $6.0 million (the "Holdback Amount") was retained by the Company to satisfy any necessary adjustments, including without limitation certain indemnification claims. The balance of the Holdback Amount, less any amount retained with respect to any unresolved indemnification claims, was released to the stockholders of Dynasty on January 10, 2020 in accordance with the terms of the purchase agreement. Dynasty is a provider of advanced artificial intelligence solutions for the real estate vertical, which automate leasing communications, replace manual tasks and help customers grow their portfolios.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transaction was accounted for using the acquisition method and, as a result, assets acquired and liabilities assumed were recorded at their estimated fair values as of the acquisition date. Determining the fair value of assets acquired and liabilities assumed requires management to make significant judgments and estimates, including the selection of valuation methodologies and comparable companies, estimates of future revenue and cash flows, discount rates, and the software decay rate and database ramp up rate. The following table summarizes the final purchase price allocation (in thousands), as well as the estimated useful lives of the acquired intangible assets over which they are amortized on a straight-line basis, as this approximates the pattern in which we expect the economic benefits will be consumed: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24"/>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4.0</w:t>
            </w:r>
          </w:p>
        </w:tc>
      </w:tr>
      <w:tr>
        <w:trPr>
          <w:trHeight w:val="229"/>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Database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4,710</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10.0</w:t>
            </w:r>
          </w:p>
        </w:tc>
      </w:tr>
      <w:tr>
        <w:trPr>
          <w:trHeight w:val="229"/>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5.0</w:t>
            </w:r>
          </w:p>
        </w:tc>
      </w:tr>
      <w:tr>
        <w:trPr>
          <w:trHeight w:val="230"/>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Backlog</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470</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1.0</w:t>
            </w:r>
          </w:p>
        </w:tc>
      </w:tr>
      <w:tr>
        <w:trPr>
          <w:trHeight w:val="229"/>
        </w:trPr>
        <w:tc>
          <w:tcPr>
            <w:tcW w:w="8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Trademark &amp; trade name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10.0</w:t>
            </w:r>
          </w:p>
        </w:tc>
      </w:tr>
      <w:tr>
        <w:trPr>
          <w:trHeight w:val="229"/>
        </w:trPr>
        <w:tc>
          <w:tcPr>
            <w:tcW w:w="8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Non-compete agreement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6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5.0</w:t>
            </w:r>
          </w:p>
        </w:tc>
      </w:tr>
      <w:tr>
        <w:trPr>
          <w:trHeight w:val="223"/>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subject to amortization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6.0</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42,877</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r>
      <w:tr>
        <w:trPr>
          <w:trHeight w:val="250"/>
        </w:trPr>
        <w:tc>
          <w:tcPr>
            <w:tcW w:w="8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79" w:right="339" w:bottom="1440" w:gutter="0" w:footer="0" w:header="0"/>
        </w:sectPr>
      </w:pPr>
    </w:p>
    <w:p>
      <w:pPr>
        <w:ind w:left="40"/>
        <w:spacing w:after="0"/>
        <w:rPr>
          <w:sz w:val="20"/>
          <w:szCs w:val="20"/>
          <w:color w:val="auto"/>
        </w:rPr>
      </w:pPr>
      <w:r>
        <w:rPr>
          <w:rFonts w:ascii="Arial" w:cs="Arial" w:eastAsia="Arial" w:hAnsi="Arial"/>
          <w:sz w:val="16"/>
          <w:szCs w:val="16"/>
          <w:color w:val="auto"/>
        </w:rPr>
        <w:t>Accrued and other liabilities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liability, net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assumed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consideration</w:t>
      </w:r>
    </w:p>
    <w:p>
      <w:pPr>
        <w:spacing w:after="0" w:line="20" w:lineRule="exact"/>
        <w:rPr>
          <w:sz w:val="20"/>
          <w:szCs w:val="20"/>
          <w:color w:val="auto"/>
        </w:rPr>
      </w:pPr>
      <w:r>
        <w:rPr>
          <w:sz w:val="20"/>
          <w:szCs w:val="20"/>
          <w:color w:val="auto"/>
        </w:rPr>
        <w:br w:type="column"/>
      </w:r>
    </w:p>
    <w:p>
      <w:pPr>
        <w:jc w:val="right"/>
        <w:ind w:right="17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14605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3,711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916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5"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3,759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14605</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6" w:lineRule="exact"/>
        <w:rPr>
          <w:sz w:val="20"/>
          <w:szCs w:val="20"/>
          <w:color w:val="auto"/>
        </w:rPr>
      </w:pPr>
    </w:p>
    <w:p>
      <w:pPr>
        <w:ind w:left="860" w:hanging="853"/>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60,208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916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7460" w:space="720"/>
            <w:col w:w="3060"/>
          </w:cols>
          <w:pgMar w:left="320" w:top="179" w:right="339" w:bottom="1440" w:gutter="0" w:footer="0" w:header="0"/>
          <w:type w:val="continuous"/>
        </w:sectPr>
      </w:pP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non-deductible for U.S. federal income tax purposes.</w:t>
      </w:r>
    </w:p>
    <w:p>
      <w:pPr>
        <w:spacing w:after="0" w:line="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incurred a total of $0.3 million in transaction costs related to the acquisition and expensed all transaction costs incurred during the period in which such service was received.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pro forma information has been prepared for illustrative purposes only, and assumes that the aforementioned Dynasty acquisition occurred on January 1, 2018,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September 30, 2019</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40" w:hanging="652"/>
        <w:spacing w:after="0" w:line="378" w:lineRule="auto"/>
        <w:tabs>
          <w:tab w:leader="none" w:pos="1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Investment securities classified as available-for-sale consisted of the following as of September 30, 2020 and December 31, 2019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September 30, 2020</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34,686</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34,965</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September 30, 2020.</w:t>
      </w:r>
    </w:p>
    <w:p>
      <w:pPr>
        <w:spacing w:after="0" w:line="5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2020 and December 31, 2019, the contractual maturities of our investments did not exceed 36 months. The fair values of available-for-sale investment securities, by remaining contractual maturity, are as follows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September 30, 2020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December 31, 2019</w:t>
            </w:r>
          </w:p>
        </w:tc>
        <w:tc>
          <w:tcPr>
            <w:tcW w:w="76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22,876</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2020 and 2019, we had sales and maturities (which include calls) of investment securities,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00" w:type="dxa"/>
            <w:vAlign w:val="bottom"/>
          </w:tcPr>
          <w:p>
            <w:pPr>
              <w:jc w:val="right"/>
              <w:ind w:right="357"/>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income, net of the amortization and accretion of the premium and discount, was $0.1 million for each of the three months ended September 30, 2020 and 2019, and $0.3 million and $0.5 million for the nine months ended September 30, 2020 and 2019, respectively.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September 30, 2020 and December 31, 2019 by level within the fair value hierarchy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rPr>
                <w:sz w:val="20"/>
                <w:szCs w:val="20"/>
                <w:color w:val="auto"/>
              </w:rPr>
            </w:pPr>
            <w:r>
              <w:rPr>
                <w:rFonts w:ascii="Arial" w:cs="Arial" w:eastAsia="Arial" w:hAnsi="Arial"/>
                <w:sz w:val="18"/>
                <w:szCs w:val="18"/>
                <w:color w:val="auto"/>
              </w:rPr>
              <w:t>Agency securities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43,205</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4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securities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equivalents, restricted cash, accounts receivable, accounts payable and accrued liabilities approximate fair value because of the short maturity of these items.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estimated fair value of the $50.0 million term loan issued by Wells Fargo Bank, National Association ("Wells Fargo"), as administrative agent, and the lenders that are parties thereto ("Term Loan") and the $50.0 million revolving credit facility made available to us by Wells Fargo and the lenders that are parties thereto ("Revolving Facility," and, together with the Term Loan, the "Credit Facility"), approximated their carrying values due to the variable interest rates. We considered the fair value of the Term Loan and the Revolving Facility to be Level 2 measurements as these debt instruments were not actively traded. We carried the Term Loan at face value less the unamortized discount. Refer to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Condensed Consolidated Financial Statements for more information about our since-terminated Term Loan and Revolving Facility.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nine months ended September 30, 2020. The valuation techniques for the financial assets in the tables above are as follows: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2020 and December 31, 2019, cash equivalents include cash invested in money market funds and treasury securities with a maturity of three months or less. Fair value is based on market prices for identical assets.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including goodwill, intangible assets and our note receivable with SecureDocs, Inc., are also subject to measurement at fair value on a non-recurring basis using Level 3 measurement, but only when they are deemed to be impaired. For the nine months ended September 30, 2020 and 2019, no impairments were identified on those assets required to be measured at fair value on a non-recurring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Internal-Use Software Development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Internal-use software development costs as of September 30, 2020 and December 31, 2019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gross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0"/>
              </w:rPr>
              <w:t>90,451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0"/>
              </w:rPr>
              <w:t>81,475</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37"/>
              <w:spacing w:after="0"/>
              <w:rPr>
                <w:sz w:val="20"/>
                <w:szCs w:val="20"/>
                <w:color w:val="auto"/>
              </w:rPr>
            </w:pPr>
            <w:r>
              <w:rPr>
                <w:rFonts w:ascii="Arial" w:cs="Arial" w:eastAsia="Arial" w:hAnsi="Arial"/>
                <w:sz w:val="18"/>
                <w:szCs w:val="18"/>
                <w:color w:val="auto"/>
                <w:w w:val="92"/>
              </w:rPr>
              <w:t>(56,908)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9"/>
              </w:rPr>
              <w:t>(51,452)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0"/>
              </w:rPr>
              <w:t>33,543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537"/>
              <w:spacing w:after="0"/>
              <w:rPr>
                <w:sz w:val="20"/>
                <w:szCs w:val="20"/>
                <w:color w:val="auto"/>
              </w:rPr>
            </w:pPr>
            <w:r>
              <w:rPr>
                <w:rFonts w:ascii="Arial" w:cs="Arial" w:eastAsia="Arial" w:hAnsi="Arial"/>
                <w:sz w:val="18"/>
                <w:szCs w:val="18"/>
                <w:color w:val="auto"/>
                <w:w w:val="90"/>
              </w:rPr>
              <w:t>30,023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Capitalized software development costs were $6.9 million and $6.5 million for the three months ended September 30, 2020 and 2019, respectively, and $20.8 million and $17.1 million for the nine months ended September 30, 2020 and 2019, respectively. Amortization expense with respect to capitalized software development costs totaled $4.7 million and $3.6 million for the three months ended September 30, 2020 and 2019, respectively, and $13.3 million and $10.0 million for the nine months ended September 30, 2020 and 2019, respectively. During the three months ended September 30, 2020, $3.9 million in capitalized software development costs were divested in connection with the MyCase Transaction.</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amortization expense with respect to capitalized software development costs as of September 30, 2020 is estimated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2021</w:t>
            </w:r>
          </w:p>
        </w:tc>
        <w:tc>
          <w:tcPr>
            <w:tcW w:w="5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5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16</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8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as of September 30, 2020 and December 31, 2019 (in thousands, except years):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6,752</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1,257</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7,376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21,377</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with respect to intangible assets totaled $1.2 million and $1.3 million for the three months ended September 30, 2020 and 2019, respectively, and $3.7 million and $4.0 million for the nine months ended September 30, 2020 and 2019, respectively. Future amortization expense with respect to intangible assets is estimated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4,647</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r>
      <w:tr>
        <w:trPr>
          <w:trHeight w:val="248"/>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goodwill balance is solely attributed to acquisitions. As a result of the disposal of goodwill associated with the MyCase Transaction, we performed a goodwill impairment assessment as of September 30, 2020 on our remaining goodwill balance. There have been no impairment charges recorded against goodwill. The change in the carrying amount of goodwill during the nine months ended September 30, 2020 is as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at December 31, 2019</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58,425</w:t>
            </w:r>
          </w:p>
        </w:tc>
      </w:tr>
      <w:tr>
        <w:trPr>
          <w:trHeight w:val="229"/>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attributed to MyCase divestiture</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(2,278)</w:t>
            </w:r>
          </w:p>
        </w:tc>
      </w:tr>
      <w:tr>
        <w:trPr>
          <w:trHeight w:val="248"/>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September 30, 2020</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56,147</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leases for our corporate offices have remaining lease terms ranging from one to 12 years, some of which include options to extend the leases by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The total lease cost associated with our operating leases was $1.3 million for each of the three months ended September 30, 2020 and 2019, and $4.1 million and $3.7 million for the nine months ended September 30, 2020 and 2019, respectively.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as of September 30, 2020 and December 31, 2019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2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3,908</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27,803</w:t>
            </w:r>
          </w:p>
        </w:tc>
      </w:tr>
      <w:tr>
        <w:trPr>
          <w:trHeight w:val="270"/>
        </w:trPr>
        <w:tc>
          <w:tcPr>
            <w:tcW w:w="7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2,826</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33,312</w:t>
            </w:r>
          </w:p>
        </w:tc>
      </w:tr>
      <w:tr>
        <w:trPr>
          <w:trHeight w:val="223"/>
        </w:trPr>
        <w:tc>
          <w:tcPr>
            <w:tcW w:w="796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36,138</w:t>
            </w: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07"/>
        </w:trPr>
        <w:tc>
          <w:tcPr>
            <w:tcW w:w="9640" w:type="dxa"/>
            <w:vAlign w:val="bottom"/>
            <w:gridSpan w:val="4"/>
          </w:tcPr>
          <w:p>
            <w:pPr>
              <w:ind w:left="640"/>
              <w:spacing w:after="0"/>
              <w:rPr>
                <w:sz w:val="20"/>
                <w:szCs w:val="20"/>
                <w:color w:val="auto"/>
              </w:rPr>
            </w:pPr>
            <w:r>
              <w:rPr>
                <w:rFonts w:ascii="Arial" w:cs="Arial" w:eastAsia="Arial" w:hAnsi="Arial"/>
                <w:sz w:val="18"/>
                <w:szCs w:val="18"/>
                <w:color w:val="auto"/>
                <w:w w:val="93"/>
              </w:rPr>
              <w:t>Future minimum lease payments under non-cancellable leases as of September 30, 2020 were as follows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1"/>
        </w:trPr>
        <w:tc>
          <w:tcPr>
            <w:tcW w:w="7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960" w:type="dxa"/>
            <w:vAlign w:val="bottom"/>
          </w:tcPr>
          <w:p>
            <w:pPr>
              <w:ind w:left="20"/>
              <w:spacing w:after="0" w:line="230"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7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4,085</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3,908</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29,590</w:t>
            </w:r>
          </w:p>
        </w:tc>
      </w:tr>
      <w:tr>
        <w:trPr>
          <w:trHeight w:val="223"/>
        </w:trPr>
        <w:tc>
          <w:tcPr>
            <w:tcW w:w="7960" w:type="dxa"/>
            <w:vAlign w:val="bottom"/>
          </w:tcPr>
          <w:p>
            <w:pPr>
              <w:ind w:left="20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42,773</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w:t>
            </w:r>
          </w:p>
        </w:tc>
      </w:tr>
      <w:tr>
        <w:trPr>
          <w:trHeight w:val="223"/>
        </w:trPr>
        <w:tc>
          <w:tcPr>
            <w:tcW w:w="7960" w:type="dxa"/>
            <w:vAlign w:val="bottom"/>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31,875</w:t>
            </w: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Future minimum lease payments are presented net of tenant improvement allowances of $2.3 million.</w:t>
      </w:r>
    </w:p>
    <w:p>
      <w:pPr>
        <w:spacing w:after="0" w:line="55" w:lineRule="exact"/>
        <w:rPr>
          <w:rFonts w:ascii="Arial" w:cs="Arial" w:eastAsia="Arial" w:hAnsi="Arial"/>
          <w:sz w:val="21"/>
          <w:szCs w:val="21"/>
          <w:color w:val="auto"/>
          <w:vertAlign w:val="superscript"/>
        </w:rPr>
      </w:pPr>
    </w:p>
    <w:p>
      <w:pPr>
        <w:jc w:val="both"/>
        <w:ind w:firstLine="8"/>
        <w:spacing w:after="0" w:line="290" w:lineRule="auto"/>
        <w:tabs>
          <w:tab w:leader="none" w:pos="165"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$2.9 million on our Condensed Consolidated Balance Sheets, which relates to certain of our leases for which the lease incentives to be received exceed the minimum lease payments to be paid over the next 12 months.</w:t>
      </w:r>
    </w:p>
    <w:p>
      <w:pPr>
        <w:spacing w:after="0" w:line="271" w:lineRule="exact"/>
        <w:rPr>
          <w:sz w:val="20"/>
          <w:szCs w:val="20"/>
          <w:color w:val="auto"/>
        </w:rPr>
      </w:pPr>
    </w:p>
    <w:p>
      <w:pPr>
        <w:jc w:val="both"/>
        <w:ind w:left="180" w:right="9740" w:hanging="172"/>
        <w:spacing w:after="0" w:line="416" w:lineRule="auto"/>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Long-Term Debt </w:t>
      </w:r>
      <w:r>
        <w:rPr>
          <w:rFonts w:ascii="Arial" w:cs="Arial" w:eastAsia="Arial" w:hAnsi="Arial"/>
          <w:sz w:val="15"/>
          <w:szCs w:val="15"/>
          <w:b w:val="1"/>
          <w:bCs w:val="1"/>
          <w:i w:val="1"/>
          <w:iCs w:val="1"/>
          <w:color w:val="auto"/>
        </w:rPr>
        <w:t>Credit Agreement</w:t>
      </w:r>
    </w:p>
    <w:p>
      <w:pPr>
        <w:ind w:right="20" w:firstLine="648"/>
        <w:spacing w:after="0" w:line="277" w:lineRule="auto"/>
        <w:rPr>
          <w:sz w:val="20"/>
          <w:szCs w:val="20"/>
          <w:color w:val="auto"/>
        </w:rPr>
      </w:pPr>
      <w:r>
        <w:rPr>
          <w:rFonts w:ascii="Arial" w:cs="Arial" w:eastAsia="Arial" w:hAnsi="Arial"/>
          <w:sz w:val="18"/>
          <w:szCs w:val="18"/>
          <w:color w:val="auto"/>
        </w:rPr>
        <w:t>On December 24, 2018, we entered into Amendment Number Two to the Credit Agreement (the "Second Amendment") with Wells Fargo, as administrative agent, and the lenders that were parties thereto (as amended, the "Credit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Agreement"). Under the terms of the Second Amendment, the lenders issued the Term Loan to us and increased the amount available under the Revolving Facility to $50.0 million. The maturity date of the Term Loan and Revolving Facility was December 24, 2023. In addition, pursuant to the Second Amendment, we were permitted to make certain restricted junior payments, including, without limitation, repurchases of our common stock, and to enter into acquisitions with no value limitation, so long as we maintained specified liquidity requirements and leverage ratios.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Second Amendment also modified certain financial covenants by, among other things, requiring us to maintain (i) an EBITDA-to-interest-expense ratio of not less than 3.0 to 1.0, and (ii) a funded-indebtedness-to-EBITDA ratio of not more than 3.5 to 1.0 (the "Required Leverage Ratio") (decreasing by 0.25 per year until the Required Leverage Ratio is 2.5 to 1.0); provided, however, that we were not required to maintain the foregoing ratios if our liquidity (defined as the sum of the remaining borrowing capacity under the Credit Agreement and available cash) had equaled or exceeded the greater of $20.0 million and 20% of the sum of the outstanding principal amount of the Term Loan and commitments under the Revolving Facility. If we entered into an acquisition with a purchase price greater than or equal to $20.0 million, then the Required Leverage Ratio would be increased by 0.5 for the 12-month period immediately following the consummation of such acquisition.</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Credit Agreement contained customary affirmative, negative and financial covenants. The affirmative covenants required us to, among other things, disclose financial and other information to the lenders, maintain our business and properties, and maintain adequate insurance. The negative covenants restricted us from, among other things, incurring additional indebtedness, prepaying certain types of indebtedness, encumbering or disposing of our assets, making fundamental changes to our corporate structure, and making certain dividends and distributions.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Second Amendment, borrowings under the Credit Agreement would bear interest at a fluctuating rate per annum equal to, at our option, (i) LIBOR or (ii) an alternate base rate, in each case plus the applicable interest rate margin. Borrowings would fluctuate between LIBOR plus 1.5% per annum and LIBOR plus 2.0% per annum (or between the alternate base rate plus 0.5% per annum and the alternate base rate plus 1.0% per annum), based upon our Required Leverage Ratio.</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Fees payable on the unused portion of the Revolving Facility were 0.25% per annum, unless the average usage of the Revolving Facility was equal to or less than $30.0 million for the applicable period, in which case the fees on the unused portion of the Revolving Facility would have been 0.375% per annum.</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 xml:space="preserve">In connection with the MyCase Transaction, and as required by the terms of the Credit Agreement, the Credit Agreement was terminated and all obligations outstanding under the Term Loan and Revolving Facility thereunder, including all guarantees and security interests granted with respect to such obligations, were satisfied in full with proceeds from the MyCase Transaction and extinguished. Immediately prior to the repayment of amounts owed under, and termination of, the Credit Agreement, there were approximately $48.1 million in term loans outstanding and $49.1 million in revolving borrowings outstanding. Refer to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Divestitures and Business Combinations</w:t>
      </w:r>
      <w:r>
        <w:rPr>
          <w:rFonts w:ascii="Arial" w:cs="Arial" w:eastAsia="Arial" w:hAnsi="Arial"/>
          <w:sz w:val="17"/>
          <w:szCs w:val="17"/>
          <w:color w:val="auto"/>
        </w:rPr>
        <w:t>, of our Condensed Consolidated Financial Statements for more information about the MyCase Transaction.</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 Costs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Second Amendment, we incurred $0.4 million in financing fees that were capitalized and amortized over the remaining life of the related debt, $0.2 million of which was related to the Term Loan and $0.2 million of which was related to the Revolving Facility. Pursuant to GAAP, the Second Amendment is accounted for as a debt modification. As a result, the unamortized deferred debt financing costs related to the Revolving Facility prior to the Second Amendment were added to the $0.2 million of deferred debt financing costs related to the Second Amendment and amortized over the remaining life of the Revolving Facility.</w:t>
      </w:r>
    </w:p>
    <w:p>
      <w:pPr>
        <w:spacing w:after="0" w:line="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Debt financing costs were deferred and amortized using the straight-line method, which approximated the effective interest method, for costs related to the Term Loan, and the straight-line method for costs related to the Revolving Facility, over the term of the debt arrangement; such amortization is included in interest expense in our Condensed Consolidated Statements of Operations. Amortization of deferred debt financing costs was not material for the three and nine months ended September 30, 2020 or 2019. As of September 30, 2020 the remaining unamortized deferred debt financing costs of $0.4 million were expensed to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in our Condensed Consolidated Statements of Operations, in connection with the termination of the Credit Agreement. At December 31, 2019, the remaining unamortized deferred debt financing costs were $0.4 million, of which $0.2 million was offset against debt. As of December 31, 2019, $0.3 million of the remaining unamortized deferred debt financing costs were recorded in </w:t>
      </w:r>
      <w:r>
        <w:rPr>
          <w:rFonts w:ascii="Arial" w:cs="Arial" w:eastAsia="Arial" w:hAnsi="Arial"/>
          <w:sz w:val="16"/>
          <w:szCs w:val="16"/>
          <w:i w:val="1"/>
          <w:iCs w:val="1"/>
          <w:color w:val="auto"/>
        </w:rPr>
        <w:t>prepaid expenses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assets and other long-term assets </w:t>
      </w:r>
      <w:r>
        <w:rPr>
          <w:rFonts w:ascii="Arial" w:cs="Arial" w:eastAsia="Arial" w:hAnsi="Arial"/>
          <w:sz w:val="16"/>
          <w:szCs w:val="16"/>
          <w:color w:val="auto"/>
        </w:rPr>
        <w:t>on our Condensed Consolidated Balance Sheets, as they pertained to the Revolving Facility.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long-term debt as of September 30, 2020 and December 31, 2019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amounts due under Term Loan</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Unamortized debt financing costs</w:t>
            </w:r>
          </w:p>
        </w:tc>
        <w:tc>
          <w:tcPr>
            <w:tcW w:w="128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unamortized debt financing costs</w:t>
            </w:r>
          </w:p>
        </w:tc>
        <w:tc>
          <w:tcPr>
            <w:tcW w:w="128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September 30, 2020 and December 31, 2019 was $1.4 million and $1.8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w:t>
      </w:r>
    </w:p>
    <w:p>
      <w:pPr>
        <w:spacing w:after="0" w:line="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as of September 30, 2020 and December 31, 2019 are $1.7 million and $1.3 million, respectively, of deposits held with a third party related to requirements to maintain collateral for this insurance service.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2018, we received a Civil Investigative Demand from the Federal Trade Commission ("FTC") requesting certain information relating to our compliance with the Fair Credit Reporting Act (the “FCRA”) in connection with our tenant screening Value+ service (the "FTC Investigation"). On April 30, 2020, the FTC staff informed us of its belief that there is a reasonable basis for asserting claims against us for our alleged failure to comply with certain sections of the FCRA that could result in monetary penalty and/or injunctive relief. We disagree with the stated belief of the FTC and have vigorously defended our position.</w:t>
      </w:r>
    </w:p>
    <w:p>
      <w:pPr>
        <w:spacing w:after="0" w:line="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Notwithstanding our disagreement with the FTC's position, and primarily in an effort to avoid protracted litigation and potential distraction to our business, we have entered into settlement negotiations with the FTC in an effort to resolve all claims and allegations arising out of or relating to the FTC Investigation. Although the final outcome of the FTC Investigation is subject to ongoing settlement discussions and therefore remains uncertain, we have determined that a loss is probable and that a reasonable estimate of the loss is approximately $4.3 million. Accordingly, we have recognized an accrual of $4.3 million during the nine months ended September 30, 2020 within </w:t>
      </w:r>
      <w:r>
        <w:rPr>
          <w:rFonts w:ascii="Arial" w:cs="Arial" w:eastAsia="Arial" w:hAnsi="Arial"/>
          <w:sz w:val="16"/>
          <w:szCs w:val="16"/>
          <w:i w:val="1"/>
          <w:iCs w:val="1"/>
          <w:color w:val="auto"/>
        </w:rPr>
        <w:t>accrued expenses</w:t>
      </w:r>
      <w:r>
        <w:rPr>
          <w:rFonts w:ascii="Arial" w:cs="Arial" w:eastAsia="Arial" w:hAnsi="Arial"/>
          <w:sz w:val="16"/>
          <w:szCs w:val="16"/>
          <w:color w:val="auto"/>
        </w:rPr>
        <w:t xml:space="preserve"> on our Condensed Consolidated Balance Sheet. While this amount represents our best judgment of the probable loss based on information currently available to us, it is subject to significant judgments and estimates and numerous factors beyond our control, including without limitation the FTC's position with respect to the ongoing settlement negotiations. In the event that the FTC Investigation results in a settlement payment by us, or a judgment against us, in an amount significantly in excess of our accrual, the resulting liability could have a material adverse effect upon our financial condition, results of operations and liquidity.</w:t>
      </w:r>
    </w:p>
    <w:p>
      <w:pPr>
        <w:spacing w:after="0" w:line="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received a Request for Information from the Civil Rights Division (Housing and Civil Enforcement Section) of the U.S. Department of Justice ("DOJ") requesting certain information relating to our compliance with the Servicemembers Civil Relief Act (the "SCRA") in connection with our tenant screening Value+ service. On November 6, 2020, the DOJ issued a no action letter, declining to take any action against us and closing its investigation.</w:t>
      </w:r>
    </w:p>
    <w:p>
      <w:pPr>
        <w:spacing w:after="0" w:line="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from time to time, we are involved in various other investigatory inquiries, legal proceedings and other disputes arising from or related to matters incident to the ordinary course of our business activities, including actions with respect to intellectual property, employment, regulatory and contractual issues. Although the results of such investigatory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investigatory inquiries, legal proceedings and other disputes may generally have an adverse impact on us as a result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ordinary course of business, we may provide indemnification of varying scope and terms to customers, vendors, investors, directors and officers with respect to certain matters, including, but not limited to, losses arising out of our breach of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may not be subject to maximum loss clauses and may therefore be indeterminable. We have never paid a material claim, nor have any legal claims been brought against us in connection with these indemnification arrangements. As of September 30, 2020 and December 31, 2019, we had not accrued a liability for these indemnification obligations because we determined that the likelihood of incurring any payment obligation in connection with these indemnification arrangements is not probable or reasonably possible, and the amount or range of amounts of any such liability is not reasonably estimable.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Share Repurchase Program does not obligate us to repurchase any specific dollar amount or number of shares, there is no expiration date for the Share Repurchase Program, and it may be modified, suspended or terminated at any time and for any reason.</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a total of 48,002 shares of our Class A common stock through open market repurchases, and recorded a $4.2 million reduction to stockholders' equity, which includes broker commissions. We have not made any repurchases under the Share Repurchase Program subsequent to the three months ended March 31, 2020.</w:t>
      </w:r>
    </w:p>
    <w:p>
      <w:pPr>
        <w:spacing w:after="0" w:line="288" w:lineRule="exact"/>
        <w:rPr>
          <w:sz w:val="20"/>
          <w:szCs w:val="20"/>
          <w:color w:val="auto"/>
        </w:rPr>
      </w:pPr>
    </w:p>
    <w:p>
      <w:pPr>
        <w:jc w:val="center"/>
        <w:ind w:right="8860"/>
        <w:spacing w:after="0"/>
        <w:rPr>
          <w:sz w:val="20"/>
          <w:szCs w:val="20"/>
          <w:color w:val="auto"/>
        </w:rPr>
      </w:pPr>
      <w:r>
        <w:rPr>
          <w:rFonts w:ascii="Arial" w:cs="Arial" w:eastAsia="Arial" w:hAnsi="Arial"/>
          <w:sz w:val="15"/>
          <w:szCs w:val="15"/>
          <w:b w:val="1"/>
          <w:bCs w:val="1"/>
          <w:color w:val="auto"/>
        </w:rPr>
        <w:t>11. Stock-Based Compensation</w:t>
      </w:r>
    </w:p>
    <w:p>
      <w:pPr>
        <w:spacing w:after="0" w:line="156"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activity in connection with our stock options for the nine months ended September 30, 2020, is as follows (number of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left="444"/>
              <w:spacing w:after="0"/>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2019</w:t>
            </w:r>
          </w:p>
        </w:tc>
        <w:tc>
          <w:tcPr>
            <w:tcW w:w="1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Options cancelled/forfeited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23.76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September 30, 2020</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1,228</w:t>
            </w:r>
          </w:p>
        </w:tc>
        <w:tc>
          <w:tcPr>
            <w:tcW w:w="1300" w:type="dxa"/>
            <w:vAlign w:val="bottom"/>
            <w:tcBorders>
              <w:top w:val="single" w:sz="8" w:color="CCEEFF"/>
              <w:bottom w:val="single" w:sz="8" w:color="CCEEFF"/>
            </w:tcBorders>
            <w:gridSpan w:val="2"/>
            <w:shd w:val="clear" w:color="auto" w:fill="CCEEFF"/>
          </w:tcPr>
          <w:p>
            <w:pPr>
              <w:jc w:val="right"/>
              <w:ind w:right="100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2020, 77,000 PSOs vested based on the achievement of 95% of the pre-established free cash flow performance target for the year ended December 31, 2019, and 40,000 PSOs vested based on the achievement of 115% of the pre-established gross margin target for the year ended December 31, 2019.</w:t>
      </w:r>
    </w:p>
    <w:p>
      <w:pPr>
        <w:spacing w:after="0" w:line="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stock-based compensation expense for stock options for the three and nine months ended September 30, 2020 and 2019 was not material. As of September 30, 2020, the total estimated remaining stock-based compensation expense for unvested stock options was not material.</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nine months ended September 30, 2020 or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activity in connection with our RSUs for the nine months ended September 30, 2020, is as follows (number of shares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60" w:type="dxa"/>
            <w:vAlign w:val="bottom"/>
          </w:tcPr>
          <w:p>
            <w:pPr>
              <w:spacing w:after="0"/>
              <w:rPr>
                <w:sz w:val="11"/>
                <w:szCs w:val="11"/>
                <w:color w:val="auto"/>
              </w:rPr>
            </w:pPr>
          </w:p>
        </w:tc>
        <w:tc>
          <w:tcPr>
            <w:tcW w:w="1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2019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September 30,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nine months ended September 30, 2020, we granted 150,000 RSUs that are subject to time-based vesting in equal annual installments over four years, and 14,000 PSUs that are subject to vesting based on the achievement of pre-established consolidated net revenue growth targets for the years ending December 31, 2020, 2021 and 2022,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100% and 165% of the initial target awards.</w:t>
      </w:r>
    </w:p>
    <w:p>
      <w:pPr>
        <w:spacing w:after="0" w:line="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2020, 84,000 PSUs vested and 4,000 PSUs were cancelled based on the achievement of 95% of the pre-established free cash flow performance target for the year ended December 31, 2019.</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Included in the unvested RSUs as of September 30, 2020 are 34,000 and 82,000 PSUs granted in 2019 and 2018, respectively. Of these PSUs, 48,000 are subject to vesting based on the achievement of a pre-established consolidated net revenue growth target for the year ending December 31, 2020, 43,000 are subject to vesting based on the achievement of a pre-established consolidated net revenue growth target for the year ending December 31, 2021, and 25,000 are subject to vesting based on the achievement of a pre-established consolidated net revenue growth target for the year ending December 31, 2022.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100% and 165% of the initial target awards.</w:t>
      </w:r>
    </w:p>
    <w:p>
      <w:pPr>
        <w:spacing w:after="0" w:line="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September 30, 2020 and 2019 was $3.4 million and $2.5 million, respectively, and $7.8 million and $6.1 million for the nine months ended September 30, 2020 and 2019, respectively.</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2020, the total estimated remaining stock-based compensation expense for the RSUs and PSUs was $25.2 million, which is expected to be recognized over a weighted average period of 2.3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A summary of activity in connection with our restricted stock awards for the nine months ended September 30, 2020 is as follows (number of shares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16"/>
                <w:szCs w:val="16"/>
                <w:color w:val="auto"/>
              </w:rPr>
            </w:pPr>
          </w:p>
        </w:tc>
        <w:tc>
          <w:tcPr>
            <w:tcW w:w="1320" w:type="dxa"/>
            <w:vAlign w:val="bottom"/>
          </w:tcPr>
          <w:p>
            <w:pPr>
              <w:jc w:val="center"/>
              <w:ind w:left="328"/>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2019</w:t>
            </w:r>
          </w:p>
        </w:tc>
        <w:tc>
          <w:tcPr>
            <w:tcW w:w="13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September 30, 2020</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6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the right to repurchase any unvested restricted stock awards subject to certain conditions. Restricted stock awards vest over a one-year period. We recognized stock-based compensation expense for restricted stock awards of $0.2 million and $0.1 million for the three months ended September 30, 2020 and 2019, respectively, and $0.5 million and $0.2 million for the nine months ended September 30, 2020 and 2019, respectively.</w:t>
      </w:r>
    </w:p>
    <w:p>
      <w:pPr>
        <w:spacing w:after="0" w:line="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2020, the total estimated remaining stock-based compensation expense for unvested restricted stock awards with a repurchase right was $0.4 million, which is expected to be recognized over a weighted average period of 0.7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benefit from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For the three and nine months ended September 30, 2020, we recorded income tax expense of $52.6 million and $39.5 million, respectively. </w:t>
      </w:r>
      <w:r>
        <w:rPr>
          <w:rFonts w:ascii="Arial" w:cs="Arial" w:eastAsia="Arial" w:hAnsi="Arial"/>
          <w:sz w:val="16"/>
          <w:szCs w:val="16"/>
          <w:color w:val="202124"/>
        </w:rPr>
        <w:t>The</w:t>
      </w:r>
      <w:r>
        <w:rPr>
          <w:rFonts w:ascii="Arial" w:cs="Arial" w:eastAsia="Arial" w:hAnsi="Arial"/>
          <w:sz w:val="16"/>
          <w:szCs w:val="16"/>
          <w:color w:val="auto"/>
        </w:rPr>
        <w:t xml:space="preserve"> </w:t>
      </w:r>
      <w:r>
        <w:rPr>
          <w:rFonts w:ascii="Arial" w:cs="Arial" w:eastAsia="Arial" w:hAnsi="Arial"/>
          <w:sz w:val="16"/>
          <w:szCs w:val="16"/>
          <w:color w:val="202124"/>
        </w:rPr>
        <w:t xml:space="preserve">tax provision for the three months ended </w:t>
      </w:r>
      <w:r>
        <w:rPr>
          <w:rFonts w:ascii="Arial" w:cs="Arial" w:eastAsia="Arial" w:hAnsi="Arial"/>
          <w:sz w:val="16"/>
          <w:szCs w:val="16"/>
          <w:color w:val="000000"/>
        </w:rPr>
        <w:t>September 30, 2020 ÷</w:t>
      </w:r>
      <w:r>
        <w:rPr>
          <w:rFonts w:ascii="Arial" w:cs="Arial" w:eastAsia="Arial" w:hAnsi="Arial"/>
          <w:sz w:val="16"/>
          <w:szCs w:val="16"/>
          <w:color w:val="202124"/>
        </w:rPr>
        <w:t xml:space="preserve">includes a discrete tax expense of $47.9 million relating to the MyCase Transaction which includes </w:t>
      </w:r>
      <w:r>
        <w:rPr>
          <w:rFonts w:ascii="Arial" w:cs="Arial" w:eastAsia="Arial" w:hAnsi="Arial"/>
          <w:sz w:val="16"/>
          <w:szCs w:val="16"/>
          <w:color w:val="000000"/>
        </w:rPr>
        <w:t>$48.9 million</w:t>
      </w:r>
      <w:r>
        <w:rPr>
          <w:rFonts w:ascii="Arial" w:cs="Arial" w:eastAsia="Arial" w:hAnsi="Arial"/>
          <w:sz w:val="16"/>
          <w:szCs w:val="16"/>
          <w:color w:val="202124"/>
        </w:rPr>
        <w:t xml:space="preserve"> of current tax expense on the expected gain on the sale of MyCase, less a $1.0 million benefit on the reversal of deferred tax liabilities relating to MyCase. For tax purposes, the Company plans to file an election to treat the transaction as a sale of assets. As such, the tax impact takes into consideration the tax basis of the assets on the date of sale and the availability of net operating losses and research and development tax credits. </w:t>
      </w:r>
      <w:r>
        <w:rPr>
          <w:rFonts w:ascii="Arial" w:cs="Arial" w:eastAsia="Arial" w:hAnsi="Arial"/>
          <w:sz w:val="16"/>
          <w:szCs w:val="16"/>
          <w:color w:val="000000"/>
        </w:rPr>
        <w:t>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and nine months ended September 30, 2019, we recorded income tax benefit of $1.3 million and $26.9 million, respectively. During the second quarter of 2019, we evaluated all available positive and negative evidence, including our sustained profitability in 2018 and 2019, the impact of recent acquisitions and future projections of profitability. As a result, we determined that all of our deferred tax assets were more likely than not to be realized and reversed the valuation allowance against those deferred tax assets accordingly.</w:t>
      </w:r>
    </w:p>
    <w:p>
      <w:pPr>
        <w:spacing w:after="0" w:line="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material changes to our unrecognized tax benefits during the nine months ended September 30, 2020 and we do not expect to have any significant changes to unrecognized tax benefits through the end of the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revenue categories for the three and nine months ended September 30, 2020 and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149,122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114,399</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237,624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188,650</w:t>
            </w:r>
          </w:p>
        </w:tc>
      </w:tr>
      <w:tr>
        <w:trPr>
          <w:trHeight w:val="21"/>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2020 and 2019, we recognized $4.3 million and $3.2 million of revenue, respectively, which were included in the deferred revenue balances as of December 31, 2019 and 2018, respectively.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revenue is generated primarily from customers in the United States. All of our property and equipment is located in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entitled “Risk Factors” in this Quarterly Report and in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Annual Report, as well as our other public filings with the SEC. Please also refer to the section of this Quarterly Report entitled "Cautionary Note Regarding Forward-Looking Statements" for additional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mission is to revolutionize vertical industry businesses by providing great software and services. We offer industry-specific, cloud-based business software solutions, services and data analytics to our customers. Although specific functionality varies by product, our core solutions address common business operations and interactions of our customers' businesses. In addition to our core solutions, we offer a range of optional, but often business-critical, Value+ services. Our Value+ services are built to enhance, automate and streamline processes and support workflows essential to our customers' businesses. Our mobile-optimized software solutions are designed for use across multiple devices and operating systems. Our software solutions are offered as a service for our customers and hosted using a modern cloud-based architecture. This architecture leads to rich data sets that have a consistent schema across our customer base and enables us to deploy data-powered products and services for our customers.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significant majority of our customers in the real estate vertical use our property management solutions, which provide our property management customers, including third-party property managers and owner-operators who manage single- and multi-family residences, community associations, commercial properties, and student housing, as well as mixed real estate portfolios, with a system of record to automate essential business processes, a system of engagement to enhance business interactions between our customers and their clients and other stakeholders, and a system of intelligence to leverage data to predict and optimize business workflows that enable superior customer experiences and increase efficiency across our customers' businesses. We also provide software solutions to real estate investment managers.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focused on growing our revenue by providing cloud-based business software solutions, services and data analytics that are designed and developed with our customers’ industry-specific business needs in mind, increasing the size of our customer base in the markets we serve, increasing the number of units under management, introducing new or expanded Value+ services, retaining customers, and increasing the adoption and utilization of our Value+ services by new and existing customers. We evaluate the success of our business during the periods presented based on factors such as the development and launch of new and innovative core functionality and Value+ services, enhancements to user experience, customer satisfaction, growth in our revenue and customer base, fluctuations in costs and operating expenses as a percentage of revenue, operating loss or income and cash flows from operating activities.</w:t>
      </w:r>
    </w:p>
    <w:p>
      <w:pPr>
        <w:spacing w:after="0" w:line="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date, we have experienced rapid revenue growth due to our investments in research and product development, sales and marketing, customer service and support, and infrastructure. We intend to continue to invest in growth areas, organically and via acquisition, based on our market validation findings and customer feedback. Over the long-term, these investments to grow our business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 term, but this trend may be interrupted from time to time as a result of accelerated investment opportunities occurring in advance of realization of revenue.</w:t>
      </w:r>
    </w:p>
    <w:p>
      <w:pPr>
        <w:spacing w:after="0" w:line="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managed, and plan to continue to manage, our business towards the achievement of long-term growth that we believe will positively impact long-term stockholder value, and not towards the realization of short-term financial or business metrics, or short-term stockholder value. We have invested, and intend to continue to invest, in our business to capitalize on our market opportunity by working closely with our customers, prospects, partners and other industry participants to inform our product roadmap. Accordingly, if opportunities arise that might cause us to sacrifice our performance with respect to short-term financial or business metrics, but that we believe are in the best interests of our stockholders in the long term, we will take those opportunities.</w:t>
      </w:r>
    </w:p>
    <w:p>
      <w:pPr>
        <w:spacing w:after="0" w:line="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our people are at the heart of our success and our customers’ success, and we have worked hard not only to attract, hire and retain quality individuals but also to nurture and develop our valuable human resources. The professionalism and dedication of our workforce to continue effectively developing and supporting our product and service offerings has persisted notwithstanding the current environment, and the morale and focus of our team, even while working remotely, remains high. We take the health and welfare of our people very seriously, and have encouraged safe practices designed to stem the infection and spread of COVID-19 within our workforce and beyond. At the same time, in an effort to ensure business continuity, we have developed both short and long-term succession plans for key individuals and roles throughout the business. With all of that said, if the COVID-19 pandemic requires remote working conditions for a prolonged period of time, it could have an adverse impact on the productivity of our employees, which would harm our business and impede our ability to achieve our strategic plan. Further, we have a limited history of remote work and the long-term impact on, and the resulting types of continuing investments necessary for, our employee base is uncertain.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2020, we had approximately 1,420 employees, which includes 118 MyCase employees who were terminated in connection with the MyCase Transaction. We continue to consider our relationship with our employees to be very good. We also hire temporary employees and consultants, and believe we have a similarly strong relationship with them. None of our employees is represented by a labor union or covered by a collective bargaining agreement. Our future growth depends, in part, upon our ability to continue to identify, attract and retain the necessary qualified personnel to support our growth plans and the continued service of our executive officers and other key employees. If we fail to do so, our business and operating results may suffer.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previously disclosed, on September 30, 2020, the Company completed the divestiture of 100% of the issued and outstanding equity interests of MyCase, the former wholly owned subsidiary of the Company that provided legal practice and case management software solutions to our legal customers, to an affiliate of certain funds advised by Apax Partners LLP for $193.0 million. In connection with the MyCase Transaction, our Credit Agreement was terminated and all obligations outstanding under the Term Loan and Revolving Facility, including all guarantees and security interests granted with respect to such obligations, were satisfied in full with proceeds from the sale and extinguished.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Overview</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2008, we entered the real estate vertical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One year later,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We expanded our electronic payment services in 2013 by allowing residents to pay rent by electronic cash payment and credit or debit card. In 2014, we launched a tenant-facing contact center solution to assist our property managers with resolving incoming maintenance requests. In 2015, we expanded the marketing services offered to our property management customers with a premium leads service built on technology acquired with our acquisition of RentLinx, LLC ("RentLinx") and expanded our electronic payment services to facilitate payments made between our customers and property owners and vendors. In 2016, we introduced a tenant debt collection Value+ service to assist our property managers with running a more efficient business. We expanded our insurance services in 2017 to enable tenants to purchase renters insurance from within APM, protecting both our property management customers and their tenants. In 2018, we acquired substantially all of the assets of WegoWise, Inc. ("WegoWise"), a provider of cloud-based utility analytics software solutions, and began offering AppFolio Utility Management as a Value+ service to our property management customers in mid-2019. That same year, we released AppFolio Property Manager PLUS ("APM PLUS"), a new tier of APM designed for larger businesses with more complex needs. APM PLUS builds upon the core functionality of APM and also offers data analytics, configurable workflows, and revenue management and optimization functionality for our customers. In January 2019, we acquired Dynasty Marketplace, Inc. ("Dynasty"), a provider of advanced artificial intelligence ("AI") solutions for the real estate vertical, and began offering an AI Leasing Assistant, which we refer to as "Lisa", as a Value+ service to our property management customers in mid-2019. In April 2019, we launched AppFolio Investment Management, which enables real estate investment managers to better manage their investor relationships by increasing transparency and streamlining certain business processes.</w:t>
      </w:r>
    </w:p>
    <w:p>
      <w:pPr>
        <w:spacing w:after="0" w:line="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significant majority of our customers in the real estate vertical use our property management solutions. We define our property management customer base as the number of customers subscribing to our property management core solutions. Customer count and property management units under management are presented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jc w:val="right"/>
              <w:ind w:right="439"/>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Property manager</w:t>
            </w:r>
          </w:p>
        </w:tc>
        <w:tc>
          <w:tcPr>
            <w:tcW w:w="1440" w:type="dxa"/>
            <w:vAlign w:val="bottom"/>
            <w:vMerge w:val="restart"/>
            <w:shd w:val="clear" w:color="auto" w:fill="CCEEFF"/>
          </w:tcPr>
          <w:p>
            <w:pPr>
              <w:jc w:val="right"/>
              <w:ind w:right="196"/>
              <w:spacing w:after="0"/>
              <w:rPr>
                <w:sz w:val="20"/>
                <w:szCs w:val="20"/>
                <w:color w:val="auto"/>
              </w:rPr>
            </w:pPr>
            <w:r>
              <w:rPr>
                <w:rFonts w:ascii="Arial" w:cs="Arial" w:eastAsia="Arial" w:hAnsi="Arial"/>
                <w:sz w:val="18"/>
                <w:szCs w:val="18"/>
                <w:color w:val="auto"/>
              </w:rPr>
              <w:t>15,352</w:t>
            </w:r>
          </w:p>
        </w:tc>
        <w:tc>
          <w:tcPr>
            <w:tcW w:w="13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15,011</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14,385</w:t>
            </w:r>
          </w:p>
        </w:tc>
        <w:tc>
          <w:tcPr>
            <w:tcW w:w="1560" w:type="dxa"/>
            <w:vAlign w:val="bottom"/>
            <w:vMerge w:val="restart"/>
            <w:shd w:val="clear" w:color="auto" w:fill="CCEEFF"/>
          </w:tcPr>
          <w:p>
            <w:pPr>
              <w:jc w:val="right"/>
              <w:ind w:right="319"/>
              <w:spacing w:after="0"/>
              <w:rPr>
                <w:sz w:val="20"/>
                <w:szCs w:val="20"/>
                <w:color w:val="auto"/>
              </w:rPr>
            </w:pPr>
            <w:r>
              <w:rPr>
                <w:rFonts w:ascii="Arial" w:cs="Arial" w:eastAsia="Arial" w:hAnsi="Arial"/>
                <w:sz w:val="18"/>
                <w:szCs w:val="18"/>
                <w:color w:val="auto"/>
              </w:rPr>
              <w:t>14,034</w:t>
            </w:r>
          </w:p>
        </w:tc>
        <w:tc>
          <w:tcPr>
            <w:tcW w:w="118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13,737</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customers</w:t>
            </w:r>
          </w:p>
        </w:tc>
        <w:tc>
          <w:tcPr>
            <w:tcW w:w="14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Property manager units</w:t>
            </w:r>
          </w:p>
        </w:tc>
        <w:tc>
          <w:tcPr>
            <w:tcW w:w="1440" w:type="dxa"/>
            <w:vAlign w:val="bottom"/>
            <w:vMerge w:val="restart"/>
          </w:tcPr>
          <w:p>
            <w:pPr>
              <w:jc w:val="right"/>
              <w:ind w:right="196"/>
              <w:spacing w:after="0"/>
              <w:rPr>
                <w:sz w:val="20"/>
                <w:szCs w:val="20"/>
                <w:color w:val="auto"/>
              </w:rPr>
            </w:pPr>
            <w:r>
              <w:rPr>
                <w:rFonts w:ascii="Arial" w:cs="Arial" w:eastAsia="Arial" w:hAnsi="Arial"/>
                <w:sz w:val="18"/>
                <w:szCs w:val="18"/>
                <w:color w:val="auto"/>
              </w:rPr>
              <w:t>5.12</w:t>
            </w:r>
          </w:p>
        </w:tc>
        <w:tc>
          <w:tcPr>
            <w:tcW w:w="1300" w:type="dxa"/>
            <w:vAlign w:val="bottom"/>
            <w:vMerge w:val="restart"/>
          </w:tcPr>
          <w:p>
            <w:pPr>
              <w:jc w:val="right"/>
              <w:ind w:right="159"/>
              <w:spacing w:after="0"/>
              <w:rPr>
                <w:sz w:val="20"/>
                <w:szCs w:val="20"/>
                <w:color w:val="auto"/>
              </w:rPr>
            </w:pPr>
            <w:r>
              <w:rPr>
                <w:rFonts w:ascii="Arial" w:cs="Arial" w:eastAsia="Arial" w:hAnsi="Arial"/>
                <w:sz w:val="18"/>
                <w:szCs w:val="18"/>
                <w:color w:val="auto"/>
              </w:rPr>
              <w:t>4.94</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5"/>
                <w:szCs w:val="15"/>
                <w:color w:val="auto"/>
              </w:rPr>
            </w:pPr>
          </w:p>
        </w:tc>
        <w:tc>
          <w:tcPr>
            <w:tcW w:w="1360" w:type="dxa"/>
            <w:vAlign w:val="bottom"/>
            <w:vMerge w:val="restart"/>
          </w:tcPr>
          <w:p>
            <w:pPr>
              <w:jc w:val="right"/>
              <w:ind w:right="99"/>
              <w:spacing w:after="0"/>
              <w:rPr>
                <w:sz w:val="20"/>
                <w:szCs w:val="20"/>
                <w:color w:val="auto"/>
              </w:rPr>
            </w:pPr>
            <w:r>
              <w:rPr>
                <w:rFonts w:ascii="Arial" w:cs="Arial" w:eastAsia="Arial" w:hAnsi="Arial"/>
                <w:sz w:val="18"/>
                <w:szCs w:val="18"/>
                <w:color w:val="auto"/>
              </w:rPr>
              <w:t>4.64</w:t>
            </w:r>
          </w:p>
        </w:tc>
        <w:tc>
          <w:tcPr>
            <w:tcW w:w="1560" w:type="dxa"/>
            <w:vAlign w:val="bottom"/>
            <w:vMerge w:val="restart"/>
          </w:tcPr>
          <w:p>
            <w:pPr>
              <w:jc w:val="right"/>
              <w:ind w:right="319"/>
              <w:spacing w:after="0"/>
              <w:rPr>
                <w:sz w:val="20"/>
                <w:szCs w:val="20"/>
                <w:color w:val="auto"/>
              </w:rPr>
            </w:pPr>
            <w:r>
              <w:rPr>
                <w:rFonts w:ascii="Arial" w:cs="Arial" w:eastAsia="Arial" w:hAnsi="Arial"/>
                <w:sz w:val="18"/>
                <w:szCs w:val="18"/>
                <w:color w:val="auto"/>
              </w:rPr>
              <w:t>4.41</w:t>
            </w:r>
          </w:p>
        </w:tc>
        <w:tc>
          <w:tcPr>
            <w:tcW w:w="1180" w:type="dxa"/>
            <w:vAlign w:val="bottom"/>
            <w:vMerge w:val="restart"/>
          </w:tcPr>
          <w:p>
            <w:pPr>
              <w:jc w:val="right"/>
              <w:ind w:right="156"/>
              <w:spacing w:after="0"/>
              <w:rPr>
                <w:sz w:val="20"/>
                <w:szCs w:val="20"/>
                <w:color w:val="auto"/>
              </w:rPr>
            </w:pPr>
            <w:r>
              <w:rPr>
                <w:rFonts w:ascii="Arial" w:cs="Arial" w:eastAsia="Arial" w:hAnsi="Arial"/>
                <w:sz w:val="18"/>
                <w:szCs w:val="18"/>
                <w:color w:val="auto"/>
              </w:rPr>
              <w:t>4.23</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91"/>
        </w:trPr>
        <w:tc>
          <w:tcPr>
            <w:tcW w:w="1940" w:type="dxa"/>
            <w:vAlign w:val="bottom"/>
            <w:gridSpan w:val="2"/>
          </w:tcPr>
          <w:p>
            <w:pPr>
              <w:ind w:left="20"/>
              <w:spacing w:after="0" w:line="191" w:lineRule="exact"/>
              <w:rPr>
                <w:sz w:val="20"/>
                <w:szCs w:val="20"/>
                <w:color w:val="auto"/>
              </w:rPr>
            </w:pPr>
            <w:r>
              <w:rPr>
                <w:rFonts w:ascii="Arial" w:cs="Arial" w:eastAsia="Arial" w:hAnsi="Arial"/>
                <w:sz w:val="18"/>
                <w:szCs w:val="18"/>
                <w:color w:val="auto"/>
              </w:rPr>
              <w:t>under management (in</w:t>
            </w:r>
          </w:p>
        </w:tc>
        <w:tc>
          <w:tcPr>
            <w:tcW w:w="14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millions)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Overview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entered the legal vertical with the acquisition of MyCase in 2012. As stated above, on September 30, 2020, we exited the legal vertical upon the completion of our divestiture of 100% of the issued and outstanding equity interests of MyCase to an affiliate of certain funds advised by Apax Partners LLP, for $193.0 million.</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2020, our legal customers directly and indirectly accounted for approximately 10% of our annual revenue. We do not expect there will be a material impact to our operating income as a result of the MyCase Transaction. We formerly defined our legal customer base as the number of customers subscribed to MyCase core solutions, exclusive of free trial periods. Our historical legal customer count is summarized in the table below for the periods presented therein: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Quarter Ended</w:t>
            </w:r>
          </w:p>
        </w:tc>
        <w:tc>
          <w:tcPr>
            <w:tcW w:w="1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18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June 30,</w:t>
            </w: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December 31,</w:t>
            </w:r>
          </w:p>
        </w:tc>
        <w:tc>
          <w:tcPr>
            <w:tcW w:w="1560" w:type="dxa"/>
            <w:vAlign w:val="bottom"/>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182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r>
      <w:tr>
        <w:trPr>
          <w:trHeight w:val="224"/>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Law firm customers</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11,592</w:t>
            </w: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11,305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10,971</w:t>
            </w:r>
          </w:p>
        </w:tc>
        <w:tc>
          <w:tcPr>
            <w:tcW w:w="15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10,781</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10,631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 Related to the COVID-19 Pandemic</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During early calendar year 2020, the novel coronavirus disease ("COVID-19") spread globally, including to every state in the United States. The global pandemic has created and may continue to create significant uncertainty in a wide variety of industries and markets and has prompted many federal, state, local, and foreign governments to various orders and restrictions in an attempt to control the spread and mitigate the impact of the disease, which may reduce demand for our core solutions and/or Value+ services, impact the productivity of our workforce, reduce our access to capital, and harm our business and results of operations. Such restrictions or orders, or the perception that such restrictions or orders could be implemented, have resulted in business closures, work stoppages, slowdowns and delays, work-from-home policies, travel restrictions and the cancellation or postponement of events. These potential impacts are only amplified by the length of time they remain in place, as the cumulative effect upon our customers and their businesses may only exacerbate potential harm to our business and results of operations.</w:t>
      </w:r>
    </w:p>
    <w:p>
      <w:pPr>
        <w:spacing w:after="0" w:line="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Beginning in March 2020, in an effort to protect our employees and comply with applicable government orders, we restricted non-essential employee travel and transitioned our employees to a remote work environment. We currently expect our employees to continue working remotely at least through the end of the first quarter of 2021. The professionalism and dedication of our workforce to continue effectively developing and supporting our product and service offerings has persisted notwithstanding the current environment, and the morale and focus of our team, even while working remotely, remains high. We take the health and welfare of our people very seriously, and have encouraged safe practices designed to stem the infection and spread of COVID-19 within our workforce and beyond. With all of that said, if the COVID-19 pandemic requires remote working conditions for a prolonged period of time, it could have an adverse impact on the productivity of our employees, which would harm our business and impede our ability to achieve our strategic plan. For example, certain our employees with younger children have been required to respond to ongoing school closures and adapt to a distance learning environment, and may be required to continue to do so for the foreseeable future. Further, we have a limited history of remote work and the long-term impact on, and the resulting types of continuing investments necessary for, our employee base is uncertain.</w:t>
      </w:r>
    </w:p>
    <w:p>
      <w:pPr>
        <w:spacing w:after="0" w:line="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began fiscal year 2020 with healthy demand for our products and services, many of which are designed to enable our customers to manage their businesses virtually. During the three and nine months ended September 30, 2020, we experienced some variability in demand for certain Value+ services after government restrictions were implemented. We expect demand variability for our products and services could continue as a result of the COVID-19 pandemic, although it is presently unclear whether the cumulative impacts will be positive or negative.</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actively communicate with and listen to our customers to best ensure that we are responding to their needs in the current environment with innovative solutions that will not only be beneficial now but also over the long-term as well. However, our ability to interact with customers has been impacted by the current environment. For example, we believe that our inability to meet in-person with current or prospective customers, as well as the cancellation or postponement of Company-sponsored events or third-party events at which our products are featured, may have a negative impact on our business.</w:t>
      </w:r>
    </w:p>
    <w:p>
      <w:pPr>
        <w:spacing w:after="0" w:line="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continue to monitor developments related to COVID-19 and remain flexible in our response to the challenges presented by the pandemic. To mitigate the adverse impact COVID-19 may have on our business and operations, we have implemented a number of measures to protect the health and safety of our employees, as well as to strengthen our financial position. These efforts include increasing our cash position and eliminating, reducing, or deferring non-essential expenditures, as well as complying with local and state government recommendations to protect our workforce.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reported results for the three and nine months ended September 30, 2020 may not be reflective of current market conditions, or of our results for any future periods, which may be negatively impacted by the COVID-19 pandemic to a greater extent than the reported period. The impact of the COVID-19 pandemic may also exacerbate other risks discussed in this Quarterly Report. Refer to Item 1A. “Risk Factors” in this Quarterly Report for a complete description of the material risks that we currently face.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 from subscription services is impacted by a number of factors, including the change in the number and type of our customers, the size and needs of our customers’ businesses, our customer renewal rates, pricing for our solutions, and the level of adoption of our Value+ subscription services by new and existing customers.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Other usage-based fees are collected at the time of service. Revenue from usage-based services is impacted by a number of factors, including the number of new and existing customers that adopt and utilize our Value+ services, the size and needs of our customers, and our customer renewal rates.</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and new tenant applications which impact electronic payment services revenue. Our property management customers historically have processed fewer applications for new tenants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w:t>
      </w:r>
    </w:p>
    <w:p>
      <w:pPr>
        <w:spacing w:after="0" w:line="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RentLinx, WegoWise, and Dynasty stand-alone customers by providing services outside of our property management core solution platform. Revenue derived from customers using these services is recorded in Other revenue.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consists of fees paid to third-party service providers associated with delivering certain of our Value+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legal fees and costs associated with the delivery and provision of those services, as well as loss reserves and other costs associated with our legal liability to landlord insurance services), personnel-related costs (including salaries, performance-based compensation, benefits, and stock-based compensation) for our employees focused on customer service and the support of our operations, platform infrastructure costs (such as data center operations and hosting-related costs), payment processing fees and allocated shared and other costs. Cost of revenue excludes depreciation of property and equipment, and amortization of capitalized software development costs and intangible assets. We intend to continue to invest in customer service and support, and the expansion of our technology infrastructure as our business grows.</w:t>
      </w:r>
    </w:p>
    <w:p>
      <w:pPr>
        <w:spacing w:after="0" w:line="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consists of personnel-related costs (including salaries, sales commissions,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to increase our customer base and increase the adoption and utilization of Value+ services by our new and existing customers.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Research and Product Development. </w:t>
      </w:r>
      <w:r>
        <w:rPr>
          <w:rFonts w:ascii="Arial" w:cs="Arial" w:eastAsia="Arial" w:hAnsi="Arial"/>
          <w:sz w:val="18"/>
          <w:szCs w:val="18"/>
          <w:color w:val="auto"/>
        </w:rPr>
        <w:t>Research and product development expense consists of personnel-related costs (including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benefits, and stock-based compensation) for our employees focused 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product development, fees for third-party development resources, and allocated shared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of personnel-related costs (including salaries, a majority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benefits, and stock-based compensation) for employees in our executive, finance, information technology, human resources, corporate development, legal, and administrative organizations. In addition, general and administrative expense includes fees for third-party professional services (including audit, legal, tax, and consulting services), transaction costs related to business combinations, regulatory fines and penalties, other corporate expenses, and allocated shared costs. We intend to continue to incur incremental general and administrative costs associated with supporting the growth of our business.</w:t>
      </w:r>
    </w:p>
    <w:p>
      <w:pPr>
        <w:spacing w:after="0" w:line="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includes depreciation of property and equipment,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we enter into additional arrangements to acquire or invest in new technologies or markets adjacent to those we serve today or entirely new verticals. Finally, as we expand our facilities footprint and increase our base of employees, we expect to have increased property and equipment expenditures and incremental depreciation expense.</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includes gains and losses associated with the sale of businesses,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investment securities.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includes interest paid on outstanding borrowings under our former Credit Agreement.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interest earned on investment securities, amortization and accretion of the premium and discounts paid from the purchase of investment securities, and interest earned on notes receivable and on cash deposited in our bank accounts.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Provision for (benefit from) income taxes consists of federal and state income taxes in the United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7"/>
              </w:rPr>
              <w:t>100.0 %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237,624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188,650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operating expenses: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360"/>
              <w:spacing w:after="0" w:line="176" w:lineRule="exact"/>
              <w:rPr>
                <w:sz w:val="20"/>
                <w:szCs w:val="20"/>
                <w:color w:val="auto"/>
              </w:rPr>
            </w:pPr>
            <w:r>
              <w:rPr>
                <w:rFonts w:ascii="Arial" w:cs="Arial" w:eastAsia="Arial" w:hAnsi="Arial"/>
                <w:sz w:val="18"/>
                <w:szCs w:val="18"/>
                <w:color w:val="auto"/>
              </w:rPr>
              <w:t>Cost of revenue (exclusive of</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32,752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25,930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89,124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75,239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32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3240" w:type="dxa"/>
            <w:vAlign w:val="bottom"/>
          </w:tcPr>
          <w:p>
            <w:pPr>
              <w:ind w:left="360"/>
              <w:spacing w:after="0" w:line="230" w:lineRule="exact"/>
              <w:rPr>
                <w:sz w:val="20"/>
                <w:szCs w:val="20"/>
                <w:color w:val="auto"/>
              </w:rPr>
            </w:pPr>
            <w:r>
              <w:rPr>
                <w:rFonts w:ascii="Arial" w:cs="Arial" w:eastAsia="Arial" w:hAnsi="Arial"/>
                <w:sz w:val="18"/>
                <w:szCs w:val="18"/>
                <w:color w:val="auto"/>
                <w:w w:val="92"/>
              </w:rPr>
              <w:t xml:space="preserve">Research and product development </w:t>
            </w:r>
            <w:r>
              <w:rPr>
                <w:rFonts w:ascii="Arial" w:cs="Arial" w:eastAsia="Arial" w:hAnsi="Arial"/>
                <w:sz w:val="23"/>
                <w:szCs w:val="23"/>
                <w:color w:val="auto"/>
                <w:w w:val="92"/>
                <w:vertAlign w:val="superscript"/>
              </w:rPr>
              <w:t>(1)</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36,794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28,422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25,361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16,169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0"/>
              </w:rPr>
              <w:t>Total costs and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182,278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rPr>
              <w:t>223.3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187,759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Income before provision for (benefit from)</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190,254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w w:val="84"/>
              </w:rPr>
              <w:t>226.3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198,385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4,980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Provision for (benefit from) income taxes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39,469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(26,874)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163.7 %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158,916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31,854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320" w:type="dxa"/>
            <w:vAlign w:val="bottom"/>
            <w:gridSpan w:val="7"/>
          </w:tcPr>
          <w:p>
            <w:pPr>
              <w:spacing w:after="0"/>
              <w:rPr>
                <w:sz w:val="20"/>
                <w:szCs w:val="20"/>
                <w:color w:val="auto"/>
              </w:rPr>
            </w:pPr>
            <w:r>
              <w:rPr>
                <w:rFonts w:ascii="Arial" w:cs="Arial" w:eastAsia="Arial" w:hAnsi="Arial"/>
                <w:sz w:val="23"/>
                <w:szCs w:val="23"/>
                <w:color w:val="auto"/>
                <w:w w:val="89"/>
                <w:vertAlign w:val="superscript"/>
              </w:rPr>
              <w:t>(1)</w:t>
            </w:r>
            <w:r>
              <w:rPr>
                <w:rFonts w:ascii="Arial" w:cs="Arial" w:eastAsia="Arial" w:hAnsi="Arial"/>
                <w:sz w:val="18"/>
                <w:szCs w:val="18"/>
                <w:color w:val="auto"/>
                <w:w w:val="89"/>
              </w:rPr>
              <w:t xml:space="preserve"> Includes stock-based compensation expense as follows (in thousands):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9"/>
          </w:tcPr>
          <w:p>
            <w:pPr>
              <w:jc w:val="center"/>
              <w:ind w:left="279"/>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5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52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gridSpan w:val="5"/>
          </w:tcPr>
          <w:p>
            <w:pPr>
              <w:ind w:left="220"/>
              <w:spacing w:after="0"/>
              <w:rPr>
                <w:sz w:val="20"/>
                <w:szCs w:val="20"/>
                <w:color w:val="auto"/>
              </w:rPr>
            </w:pPr>
            <w:r>
              <w:rPr>
                <w:rFonts w:ascii="Arial" w:cs="Arial" w:eastAsia="Arial" w:hAnsi="Arial"/>
                <w:sz w:val="18"/>
                <w:szCs w:val="18"/>
                <w:color w:val="auto"/>
                <w:w w:val="90"/>
              </w:rPr>
              <w:t>Cost of revenue (exclusive of depreciation and amortization)</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452</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Research and product development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w w:val="96"/>
              </w:rPr>
              <w:t>Total stock-based compensation expense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2,192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2020 and 2019</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11,747</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34,723</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48,974</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2020 and 2019, we derived approximately 90% of our revenue directly and indirectly from the software solutions, services and data analytics we offer to our real estate vertical customers, most notably from our property management solutions. The majority of our revenue is derived from our property management core solutions and Value+ services utilized by property managers, residents, applicants and owners.</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core solutions and Value+ services revenue was mainly attributable to a growing base of property management customers and additional residents, applicants and owners utilizing our Value+ services. During the comparative three and nine months ended September 30, 2020, we experienced growth of 16% and 17%, respectively, in the average number of property management units under management resulting from 9% and 10% growth, respectively, in the average number of property management customers during the same periods. In addition, the increase in core solutions revenue was also attributable to growth of 7% in the average number of law firm customers coupled with a core solutions price increase rolled out during the period.</w:t>
      </w:r>
    </w:p>
    <w:p>
      <w:pPr>
        <w:spacing w:after="0" w:line="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significant majority of our Value+ services revenue comes directly and indirectly from our customers' use of our electronic payment services, tenant screening services, and insurance services. Our electronic payment services experienced increased demand during the most recent quarter as residents, property managers, owners and customers transacted more business online. It is unclear whether the trend will continue over the long term. During the comparative periods, we also introduced new Value+ services and expanded the functionality of others, which resulted in incremental revenue.</w:t>
      </w:r>
    </w:p>
    <w:p>
      <w:pPr>
        <w:spacing w:after="0" w:line="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decrease in Other revenue for the three months ended September 30, 2020 compared to the three months ended September 30, 2019 was primarily attributable to a decrease in fees associated with our property management customers upgrading to a new website hosting platform, partially offset by increases in revenue from WegoWise and Dynasty. The increase in Other revenue for the nine months ended September 30, 2020 compared to the nine months ended September 30, 2019 was primarily attributable to increases in revenue from WegoWise and Dynasty.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0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Cost of revenue (exclusive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32,752</w:t>
            </w: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25,930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282"/>
              <w:spacing w:after="0"/>
              <w:rPr>
                <w:sz w:val="20"/>
                <w:szCs w:val="20"/>
                <w:color w:val="auto"/>
              </w:rPr>
            </w:pPr>
            <w:r>
              <w:rPr>
                <w:rFonts w:ascii="Arial" w:cs="Arial" w:eastAsia="Arial" w:hAnsi="Arial"/>
                <w:sz w:val="18"/>
                <w:szCs w:val="18"/>
                <w:color w:val="auto"/>
              </w:rPr>
              <w:t>6,822</w:t>
            </w: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26% $</w:t>
            </w:r>
          </w:p>
        </w:tc>
        <w:tc>
          <w:tcPr>
            <w:tcW w:w="90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89,124</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75,239</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42"/>
              <w:spacing w:after="0"/>
              <w:rPr>
                <w:sz w:val="20"/>
                <w:szCs w:val="20"/>
                <w:color w:val="auto"/>
              </w:rPr>
            </w:pPr>
            <w:r>
              <w:rPr>
                <w:rFonts w:ascii="Arial" w:cs="Arial" w:eastAsia="Arial" w:hAnsi="Arial"/>
                <w:sz w:val="18"/>
                <w:szCs w:val="18"/>
                <w:color w:val="auto"/>
              </w:rPr>
              <w:t>$   13,885</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39.0 %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37.5 %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cost of revenue (exclusive of depreciation and amortization) for the three months ended September 30, 2020 compared to the three months ended September 30, 2019, was primarily attributable to increased costs associated with servicing the incremental $16.2 million in revenue over the same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September 30, 2020, expenditures to third-party service providers related to the delivery of our Value+ services increased $4.0 million, which was directly associated with the increased adoption and utilization of our Value+ services, as evidenced by the $11.7 million increase in Value+ services revenue. Personnel-related costs, including performance-based compensation, necessary to support growth and key investments in the business, increased $2.2 million. Allocated and other costs increased by $0.6 million primarily driven by an increase in platform infrastructure, payment processing and other costs associated with the delivery and provision of our Value+ services, partially offset by a reduction of workplace-related expenses and the reduction of other non-essential expenditures in response to the impact of the COVID-19 pandemic.</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cost of revenue (exclusive of depreciation and amortization) for the nine months ended September 30, 2020 compared to the nine months ended September 30, 2019, was primarily attributable to increased costs associated with servicing the incremental $49.0 million in revenue over the same period, partially offset by third-party service provider incentives earned of $2.1 million.</w:t>
      </w:r>
    </w:p>
    <w:p>
      <w:pPr>
        <w:spacing w:after="0" w:line="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nine months ended September 30, 2020, expenditures to third-party service providers related to the delivery of our Value+ services increased $7.7 million, which was directly associated with the increased adoption and utilization of our Value+ services, as evidenced by the $34.7 million increase in Value+ services revenue. Partially offsetting this volume increase was $2.1 million of annual maximum incentives earned during the period from third-party service providers related to programs intended to increase adoption and utilization of online payments and favorable trends in loss reserves in our insurance services business. Personnel-related costs, including performance-based compensation, necessary to support growth and key investments in the business, increased $4.8 million. Allocated and other costs increased by $1.4 million primarily driven by an increase in platform infrastructure, payment processing and other costs associated with the delivery and provision of our Value+ services, partially offset by a reduction of workplace-related expenses and the reduction of other non-essential expenditures in response to the impact of the COVID-19 pandemic.</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percentage of revenue, cost of revenue (exclusive of depreciation and amortization) fluctuates primarily based on the mix and prices of Value+ services utilized during the period, and investments made in advance of expected revenue generation. Excluding the third-party service provider incentives earned during the period, as a percentage of revenue, cost of revenue (exclusive of depreciation and amortization) increased to 39.0% from 38.2% for the three months ended September 30, 2020 compared to the three months ended September 30, 2019, and decreased to 38.4% from 39.9% for the nine months ended September 30, 2020 compared to the nine months ended September 30, 2019. These fluctuations in cost as a percentage of revenue were primarily driven by the mix of Value+ services revenue with varying underlying costs.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14,894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2,258</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 $</w:t>
            </w:r>
          </w:p>
        </w:tc>
        <w:tc>
          <w:tcPr>
            <w:tcW w:w="90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43,117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37,087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6,030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17.7 %</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18.1 %</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increase in sales and marketing expense for the three months ended September 30, 2020 compared to the three months ended September 30, 2019, was primarily due to a $1.6 million increase in personnel-related costs, including performance-based compensation, necessary to support growth and key investments in the business. Advertising and promotion costs increased by $1.1 million due to increased online advertising and virtual marketing events aimed at increasing revenue and supporting growth in the business. In addition, there was a decrease in allocated and other costs of $0.4 million related to a reduction of workplace-related expenses, the elimination of event-related travel from cancelled or postponed events and the reduction of other non-essential expenditures in response to the impact of the COVID-19 pandemic. The investment we make in sales and marketing is key to acquiring new customers, expanding the adoption and utilization of Value+ services, and growing revenue over time. We intend to continue to invest in sales and marketing to increase our customer base and increase the adoption and utilization of Value+ services over time.</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increase in sales and marketing expense for the nine months ended September 30, 2020 compared to the nine months ended September 30, 2019, was primarily due to a $6.1 million increase in personnel-related costs, including performance-based compensation, necessary to support growth and key investments in the business. Advertising and promotion costs increased by $0.9 million due to increased online advertising and virtual marketing events aimed at increasing revenue and supporting growth in the business. In addition, there was a decrease in allocated and other costs of $0.9 million related to a reduction of workplace-related expenses, the elimination of event-related travel from cancelled or postponed events and the reduction of other non-essential expenditures in response to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percentage of revenue, sales and marketing expense decreased to 17.7% from 18.6% for the three months ended September 30, 2020 compared to the three months ended September 30, 2019 and 18.1% from 19.7% for the nine months ended September 30, 2020 compared to the nine months ended September 30, 2019. This leverage in cost as a percentage of revenue was primarily driven by the reduction of event related travel and other non-essential expenditures as a result of the COVID-19 pandemic. Notwithstanding the leverage in cost as a percentage of revenue, we intend to continue to invest in sales and marketing to increase our customer base and increase the adoption and utilization of Value+ services over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Research and product</w:t>
            </w:r>
          </w:p>
        </w:tc>
        <w:tc>
          <w:tcPr>
            <w:tcW w:w="112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   13,454</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62"/>
              <w:spacing w:after="0"/>
              <w:rPr>
                <w:sz w:val="20"/>
                <w:szCs w:val="20"/>
                <w:color w:val="auto"/>
              </w:rPr>
            </w:pPr>
            <w:r>
              <w:rPr>
                <w:rFonts w:ascii="Arial" w:cs="Arial" w:eastAsia="Arial" w:hAnsi="Arial"/>
                <w:sz w:val="18"/>
                <w:szCs w:val="18"/>
                <w:color w:val="auto"/>
              </w:rPr>
              <w:t>2,852</w:t>
            </w:r>
          </w:p>
        </w:tc>
        <w:tc>
          <w:tcPr>
            <w:tcW w:w="11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 $</w:t>
            </w:r>
          </w:p>
        </w:tc>
        <w:tc>
          <w:tcPr>
            <w:tcW w:w="90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36,794</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28,422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42"/>
              <w:spacing w:after="0"/>
              <w:rPr>
                <w:sz w:val="20"/>
                <w:szCs w:val="20"/>
                <w:color w:val="auto"/>
              </w:rPr>
            </w:pPr>
            <w:r>
              <w:rPr>
                <w:rFonts w:ascii="Arial" w:cs="Arial" w:eastAsia="Arial" w:hAnsi="Arial"/>
                <w:sz w:val="18"/>
                <w:szCs w:val="18"/>
                <w:color w:val="auto"/>
              </w:rPr>
              <w:t>8,372</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1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16.0 %</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research and product development expense for the three months ended September 30, 2020 compared to the three months ended September 30, 2019, was the result of an increase in personnel-related costs, net of capitalized software development costs, of $3.7 million due to investments in headcount growth within our research and product development organization. This increase was partially offset by a decrease in allocated and other costs of $0.8 million primarily related to a reduction of workplace-related expenses and the reduction of other non-essential expenditures in response to the impact of the COVID-19 pandemic.</w:t>
      </w:r>
    </w:p>
    <w:p>
      <w:pPr>
        <w:spacing w:after="0" w:line="8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increase in research and product development expense for the nine months ended September 30, 2020 compared to the nine months ended September 30, 2019, was the result of an increase in personnel-related costs, net of capitalized software development costs, of $9.3 million due to investments in headcount growth within our research and product development organization. This increase was partially offset by a decrease in allocated and other costs of $0.9 million primarily related to a reduction of workplace related expenses and the reduction of other non-essential expenditures in response to the impact of the COVID-19 pandemic.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56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   12,946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7"/>
              </w:rPr>
              <w:t>8,955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3,991</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 $</w:t>
            </w:r>
          </w:p>
        </w:tc>
        <w:tc>
          <w:tcPr>
            <w:tcW w:w="90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36,303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25,361</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   10,942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15.4 %</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15.3 %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increase in general and administrative expense for the three months ended September 30, 2020 compared to the three months ended September 30, 2019 was primarily due to a $1.8 million increase in personnel-related costs, including performance-based compensation, due to investments in headcount growth within our general and administrative organizations. In addition, there was an increase in professional services fees and other costs of $2.3 million related to the MyCase Transaction.</w:t>
      </w:r>
    </w:p>
    <w:p>
      <w:pPr>
        <w:spacing w:after="0" w:line="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increase in general and administrative expense for the nine months ended September 30, 2020 compared to the nine months ended September 30, 2019, was primarily due to a $5.0 million increase in personnel-related costs, including performance-based compensation, due to investments in headcount growth within our general and administrative organizations. In addition, there was a $4.3 million expense recorded during the current period related to the probable loss associated with the FTC Investigation. There was also an increase in professional services fees and other costs of $2.3 million related to the MyCase Transaction. Allocated and other costs decreased $0.7 million primarily due to a reduction of workplace-related expenses and the reduction of other non-essential expenditures in response to the impact of the COVID-19 pandemic.</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stock-based compensation expense will continue to decrease for certain executives in light of our adoption of the Long-Term Cash Bonus Plan in 2018. No accrual has yet been made under this plan as a result of the high degree of uncertainty regarding potential future payments under the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6,680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7"/>
              </w:rPr>
              <w:t>5,678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1,002</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 $</w:t>
            </w:r>
          </w:p>
        </w:tc>
        <w:tc>
          <w:tcPr>
            <w:tcW w:w="90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19,751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16,169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3,582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7.9 %</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8.3 %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2020 compared to the three and nine months ended September 30, 2019, was primarily due to increased amortization expense associated with higher accumulated capitalized software development balances.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60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2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w w:val="91"/>
              </w:rPr>
              <w:t>(dollars in thousands)</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  187,747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  187,758</w:t>
            </w: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n/a</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  187,759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w w:val="98"/>
              </w:rPr>
              <w:t>$  187,827</w:t>
            </w:r>
          </w:p>
        </w:tc>
        <w:tc>
          <w:tcPr>
            <w:tcW w:w="560" w:type="dxa"/>
            <w:vAlign w:val="bottom"/>
            <w:shd w:val="clear" w:color="auto" w:fill="CCEEFF"/>
          </w:tcPr>
          <w:p>
            <w:pPr>
              <w:jc w:val="center"/>
              <w:ind w:right="59"/>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223.3 %</w:t>
            </w:r>
          </w:p>
        </w:tc>
        <w:tc>
          <w:tcPr>
            <w:tcW w:w="42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79.0 %</w:t>
            </w:r>
          </w:p>
        </w:tc>
        <w:tc>
          <w:tcPr>
            <w:tcW w:w="44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 in other income (expense), net for the three and nine months ended September 30, 2020 compared to the three and nine months ended September 30, 2019, was primarily due to the gain of $187.6 million associated with the MyCase Transaction. We expect to recognize additional other income beginning in the fourth quarter of 2020 relating to income from certain post-closing transition services to be provided by the Company to MyCase.</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Provision for (benefit from)</w:t>
            </w:r>
          </w:p>
        </w:tc>
        <w:tc>
          <w:tcPr>
            <w:tcW w:w="114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   52,578</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02"/>
              <w:spacing w:after="0"/>
              <w:rPr>
                <w:sz w:val="20"/>
                <w:szCs w:val="20"/>
                <w:color w:val="auto"/>
              </w:rPr>
            </w:pPr>
            <w:r>
              <w:rPr>
                <w:rFonts w:ascii="Arial" w:cs="Arial" w:eastAsia="Arial" w:hAnsi="Arial"/>
                <w:sz w:val="18"/>
                <w:szCs w:val="18"/>
                <w:color w:val="auto"/>
              </w:rPr>
              <w:t>$   53,833</w:t>
            </w:r>
          </w:p>
        </w:tc>
        <w:tc>
          <w:tcPr>
            <w:tcW w:w="110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(4,289)%  $</w:t>
            </w:r>
          </w:p>
        </w:tc>
        <w:tc>
          <w:tcPr>
            <w:tcW w:w="90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39,469</w:t>
            </w:r>
          </w:p>
        </w:tc>
        <w:tc>
          <w:tcPr>
            <w:tcW w:w="116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   (26,874)</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322"/>
              <w:spacing w:after="0"/>
              <w:rPr>
                <w:sz w:val="20"/>
                <w:szCs w:val="20"/>
                <w:color w:val="auto"/>
              </w:rPr>
            </w:pPr>
            <w:r>
              <w:rPr>
                <w:rFonts w:ascii="Arial" w:cs="Arial" w:eastAsia="Arial" w:hAnsi="Arial"/>
                <w:sz w:val="18"/>
                <w:szCs w:val="18"/>
                <w:color w:val="auto"/>
              </w:rPr>
              <w:t>$   66,343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1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62.5 %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16.6 %</w:t>
            </w: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provision for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For the three and nine months ended September 30, 2020, we recorded income tax expense of $52.6 million and $39.5 million, respectively. </w:t>
      </w:r>
      <w:r>
        <w:rPr>
          <w:rFonts w:ascii="Arial" w:cs="Arial" w:eastAsia="Arial" w:hAnsi="Arial"/>
          <w:sz w:val="17"/>
          <w:szCs w:val="17"/>
          <w:color w:val="202124"/>
        </w:rPr>
        <w:t>The</w:t>
      </w:r>
      <w:r>
        <w:rPr>
          <w:rFonts w:ascii="Arial" w:cs="Arial" w:eastAsia="Arial" w:hAnsi="Arial"/>
          <w:sz w:val="17"/>
          <w:szCs w:val="17"/>
          <w:color w:val="auto"/>
        </w:rPr>
        <w:t xml:space="preserve"> </w:t>
      </w:r>
      <w:r>
        <w:rPr>
          <w:rFonts w:ascii="Arial" w:cs="Arial" w:eastAsia="Arial" w:hAnsi="Arial"/>
          <w:sz w:val="17"/>
          <w:szCs w:val="17"/>
          <w:color w:val="202124"/>
        </w:rPr>
        <w:t xml:space="preserve">tax provision for the three months ended </w:t>
      </w:r>
      <w:r>
        <w:rPr>
          <w:rFonts w:ascii="Arial" w:cs="Arial" w:eastAsia="Arial" w:hAnsi="Arial"/>
          <w:sz w:val="17"/>
          <w:szCs w:val="17"/>
          <w:color w:val="000000"/>
        </w:rPr>
        <w:t>September 30, 2020</w:t>
      </w:r>
      <w:r>
        <w:rPr>
          <w:rFonts w:ascii="Arial" w:cs="Arial" w:eastAsia="Arial" w:hAnsi="Arial"/>
          <w:sz w:val="17"/>
          <w:szCs w:val="17"/>
          <w:color w:val="202124"/>
        </w:rPr>
        <w:t xml:space="preserve"> includes a discrete tax expense of $47.9 million relating to the MyCase Transaction which includes </w:t>
      </w:r>
      <w:r>
        <w:rPr>
          <w:rFonts w:ascii="Arial" w:cs="Arial" w:eastAsia="Arial" w:hAnsi="Arial"/>
          <w:sz w:val="17"/>
          <w:szCs w:val="17"/>
          <w:color w:val="000000"/>
        </w:rPr>
        <w:t>$48.9 million</w:t>
      </w:r>
      <w:r>
        <w:rPr>
          <w:rFonts w:ascii="Arial" w:cs="Arial" w:eastAsia="Arial" w:hAnsi="Arial"/>
          <w:sz w:val="17"/>
          <w:szCs w:val="17"/>
          <w:color w:val="202124"/>
        </w:rPr>
        <w:t xml:space="preserve"> of current tax expense less a $1.0 million benefit from the reversal of deferred tax liabilities. </w:t>
      </w:r>
      <w:r>
        <w:rPr>
          <w:rFonts w:ascii="Arial" w:cs="Arial" w:eastAsia="Arial" w:hAnsi="Arial"/>
          <w:sz w:val="17"/>
          <w:szCs w:val="17"/>
          <w:color w:val="000000"/>
        </w:rPr>
        <w:t>The effective tax rate as compared to</w:t>
      </w:r>
      <w:r>
        <w:rPr>
          <w:rFonts w:ascii="Arial" w:cs="Arial" w:eastAsia="Arial" w:hAnsi="Arial"/>
          <w:sz w:val="17"/>
          <w:szCs w:val="17"/>
          <w:color w:val="202124"/>
        </w:rPr>
        <w:t xml:space="preserve"> </w:t>
      </w:r>
      <w:r>
        <w:rPr>
          <w:rFonts w:ascii="Arial" w:cs="Arial" w:eastAsia="Arial" w:hAnsi="Arial"/>
          <w:sz w:val="17"/>
          <w:szCs w:val="17"/>
          <w:color w:val="000000"/>
        </w:rPr>
        <w:t>the U.S. federal statutory rate of 21% differs primarily due to the significance of the benefits associated with stock-based compensation expense and research and development tax credits in relation to the forecasted pre-tax results for the year.</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nine months ended September 30, 2019, we recorded an income tax benefit of $1.3 million and $26.9 million, respectively. The tax benefits recorded were primarily due to the release of the valuation allowance during the second quarter of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our principal sources of liquidity were cash and cash equivalents and investment securities, which had an aggregate balance of $181.9 million. During the nine months ended September 30, 2020, our cash and cash equivalents increased primarily as a result of the proceeds from the MyCase Transaction.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2020, we had working capital of $145.7 million, compared to working capital of $14.3 million as of December 31, 2019. The increase in our working capital was primarily due to an increase in cash and cash equivalents as a result of the net proceeds from the MyCase Transaction, an increase in investment securities-current, a decrease in other current liabilities due to the payment of contingent consideration related to the Dynasty acquisition, a decrease in deferred revenue, and an increase in accounts receivable primarily driven by increased usage of our Value+ services. The increase in our working capital was partially offset by an increase in income taxes payable related to the MyCase Transaction, and increases in accrued expenses, accounts payable and accrued employee expenses.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existing cash and cash equivalents, investment securities, and cash generated from operating activities will be sufficient to meet our working capital and capital expenditure requirements for at least the next 12 months.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Our future capital requirements will depend on many factors, including continued market acceptance of our software solutions, changes in the number of our customers, adoption and utilization of our Value+ services by new and existing customers, the timing and extent of the introduction of new core functionality, products and Value+ services, the timing and extent of our expansion into adjacent or new markets, the timing and extent of our investments across our organization, and the impact of the COVID-19 pandemic on the customers we serve and on our business.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10,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of our Condensed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1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jc w:val="center"/>
        <w:ind w:left="838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8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w:t>
            </w:r>
          </w:p>
        </w:tc>
      </w:tr>
      <w:tr>
        <w:trPr>
          <w:trHeight w:val="229"/>
        </w:trPr>
        <w:tc>
          <w:tcPr>
            <w:tcW w:w="8440" w:type="dxa"/>
            <w:vAlign w:val="bottom"/>
          </w:tcPr>
          <w:p>
            <w:pPr>
              <w:ind w:left="110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(70,728)</w:t>
            </w:r>
          </w:p>
        </w:tc>
      </w:tr>
      <w:tr>
        <w:trPr>
          <w:trHeight w:val="230"/>
        </w:trPr>
        <w:tc>
          <w:tcPr>
            <w:tcW w:w="8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r>
      <w:tr>
        <w:trPr>
          <w:trHeight w:val="223"/>
        </w:trPr>
        <w:tc>
          <w:tcPr>
            <w:tcW w:w="8440" w:type="dxa"/>
            <w:vAlign w:val="bottom"/>
          </w:tcPr>
          <w:p>
            <w:pPr>
              <w:ind w:left="11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(53,954)</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1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nine months ended September 30, 2020, net cash provided by operating activities was $45.2 million resulting from net income of $158.9 million, adjusted by the gain on the sale of MyCase of $187.6 million, non-cash charges of $52.6 million and a net increase in our operating assets and liabilities of $21.3 million. The non-cash charges primarily consist of an increase in deferred taxes of $22.9 million, $19.8 million of depreciation and amortization costs, stock-based compensation expense of $6.8 million, and $3.0 million of amortization of operating lease right-of-use assets. The net increase in our operating assets and liabilities was mostly attributable to a $16.5 million increase in other liabilities primarily driven by income taxes payable due to the MyCase Transaction, a $5.9 million increase in accrued expenses which was primarily due to a $4.3 million accrual recorded during the current period related to our reasonable estimate of the probable loss associated with the FTC Investigation, a $1.9 million increase in accrued employee expenses primarily due to an increase in accrued paid time off, and a $0.8 million increase in deferred revenue driven by growth in the number of customers invoiced during the period. These increases were partially offset by a $2.2 million increase in accounts receivable primarily driven by growth of our Value+ services, a $1.1 million decrease in operating lease liabilities, and a $0.9 million increase in prepaid expenses and other current assets.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nine months ended September 30, 2019, net cash provided by operating activities was $23.4 million resulting from net income of $31.9 million, adjusted by non-cash charges of $2.3 million and a net decrease in our operating assets and liabilities of $6.2 million. The non-cash charges primarily consist of a one-time benefit of $27.0 million related to the release of the valuation allowance for our deferred tax assets, offset by $16.2 million of depreciation and amortization of our property and equipment and capitalized software development costs, $5.4 million of stock-based compensation and $3.0 million of amortization of operating lease right-of-use ("ROU") assets in accordance with ASU 2016-02. The net decrease in our operating assets and liabilities was mostly attributable to an increase of $4.4 million in prepaid expenses and other current assets, a $2.9 million decrease in operating lease liabilities, and a $2.8 million increase in accounts receivable primarily driven by growth of our Value+ services. The decrease in our operating assets and liabilities was partially offset by a $1.1 million decrease in other assets, a $1.0 million increase in deferred revenue, a $1.0 million increase in other liabilities, and a $0.5 million increase in accrued employee expenses.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Cash provided by (used in) investing activities is generally comprised of proceeds from divestitures, purchases, maturities and sales of investment securities, purchases of property and equipment, additions to capitalized software development, and cash paid for business acquisitions.</w:t>
      </w:r>
    </w:p>
    <w:p>
      <w:pPr>
        <w:spacing w:after="0" w:line="1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September 30, 2020, investing activities provided $152.5 million in cash primarily due to net proceeds from the MyCase Transaction of $191.4 million and the sales and maturities of investment securities of $13.9 million and $13.3 million, respectively. These sources of cash were partially offset by purchases of investment securities of $29.9 million, capitalized software development costs of $19.7 million, and capital expenditures of $16.6 million to purchase property and equipment for the continued growth and expansion of our business.</w:t>
      </w:r>
    </w:p>
    <w:p>
      <w:pPr>
        <w:spacing w:after="0" w:line="13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nine months ended September 30, 2019, investing activities used $70.7 million in cash primarily due to $54.0 million used to acquire Dynasty, as well as capitalized software development costs of $15.7 million for the continued investment in our software development, purchases of investment securities of $10.7 million, and capital expenditures of $4.1 million to purchase property and equipment for the continued growth and expansion of our business. These uses were partially offset by sales and maturities of investment securities of $2.8 million and $11.0 million,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used in financing activities is generally comprised of proceeds from the exercise of stock options, net share settlements for employee tax withholdings associated with the vesting of RSUs, the payment of contingent consideration under acquisition arrangements, activities associated with our former Credit Facility, and activities related to the repurchase of our Class A common stock.</w:t>
      </w:r>
    </w:p>
    <w:p>
      <w:pPr>
        <w:spacing w:after="0" w:line="1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nine months ended September 30, 2020, financing activities used $69.5 million in cash primarily as a result of the payment of all outstanding amounts due under the Credit Facility of $99.6 million, net share settlements for employee tax withholdings associated with the vesting of RSUs of $11.0 million, payment of contingent consideration related to the Dynasty acquisition of $6.0 million, and the repurchase of outstanding shares of Class A common stock in the amount of $4.2 million. These uses of cash were partially offset by net proceeds from the Revolving Facility of $50.8 million.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2019, financing activities used $6.6 million in cash primarily as a result of net share settlements for employee tax withholdings associated with the vesting of RSUs of $5.5 million, as well as principal payments on debt of $2.6 million, and payments of debt issuance costs of $0.4 million, partially offset by proceeds from issuance of debt of $1.7 million and proceeds from stock option exercises of $0.3 million.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did not have any off-balance sheet arrangements.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COVID-19 has created and may continue to create significant uncertainty in a wide variety of industries and markets, which may reduce demand for our core solutions and/or Value+ services, impact the productivity of our workforce, reduce our access to capital, and harm our business and results of operations. As of the date of our Condensed Consolidated Financial Statements, we are not aware of any specific event or circumstance that would require us to update our estimates or judgments, or to revise the carrying value of our assets or liabilities. However, these estimates may change as new events occur and additional information is obtained, which may result in changes being recognized in our consolidated financial statements in future periods. While we considered the effects of COVID-19 in our estimates and assumptions, due to the current level of uncertainty over the economic and operational impacts of COVID-19 on our business, there may be other judgments and assumptions that were not currently considered. Such judgments and assumptions could result in a meaningful impact to our financial statements in future periods. Actual results could differ from those estimates and any such differences may have a material impact on our financial statements.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September 30, 2020, we had cash and cash equivalents of $144.0 million consisting of bank deposits, money market funds, and treasury securities, and $37.8 million of investment securities consisting of treasury securities, United States government agency securities and corporate bonds. The primary objective of our investment policy is to invest in securities to support our liquidity and capital needs. We have not purchased investments for trading or speculative purposes and have not used any derivative financial instruments to manage our credit risk or interest rate risk exposure.</w:t>
      </w:r>
    </w:p>
    <w:p>
      <w:pPr>
        <w:spacing w:after="0" w:line="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As of September 30, 2020 a hypothetical 100 basis point change in interest rates would not have resulted in a material change in the fair value of our investment securities. This estimate is based on a sensitivity model which measured an instant change in interest rates by 100 basis points as of September 30, 2020.</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were exposed to interest rate risk as a result of our Credit Facility prior to its termination. Outstanding borrowings under the Credit Facility accrued interest as described in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Condensed Consolidated Financial Statements. Our borrowings under the Credit Facility were subject to interest rate fluctuations, which could have had a material impact on our cash flows and results of operations depending on the magnitude of the fluctuations and the outstanding borrowings. In order to determine the potential impact of changes in interest rates on our cash flows and result of operations, we performed a sensitivity analysis. A hypothetical 100 basis point increase in interest rates during the period ended September 30, 2020 would not have had a material impact on our cash flows or results of operations. In connection with the MyCase Transaction, and as required by the terms of the Credit Agreement, the Credit Agreement was terminated and all obligations outstanding under the Term Loan and Revolving Facility thereunder, including all guarantees and security interests granted with respect to such obligations, were satisfied in full with proceeds from the MyCase Transaction and extinguished.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relating to foreign currency fluctuations.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We have not experienced any material changes to our internal controls over financial reporting despite the fact that all non-essential employees are working remotely due to the COVID-19 pandemic. We are continually monitoring the impact of COVID-19 on the operating effectiveness of our internal control over financial reporting.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additional information regarding investigatory inquiries and legal proceedings, refer to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our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You should consider carefully the risks described below, together with all of the other information included in this Quarterly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8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December 2019, a novel coronavirus disease, referred to as COVID-19, was reported and has spread globally, including to every state in the United States. On March 11, 2020, the World Health Organization declared COVID-19 a pandemic, and on March 13, 2020, the United States government declared a national emergency with respect to COVID-19. 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 These potential impacts are only amplified by the length of time they remain in place, as the cumulative effect upon our customers and their businesses may exacerbate the potential harm to our business and results of operations.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Beginning in March 2020, we restricted non-essential employee travel and transitioned our employees to a remote work environment. We currently expect our employees to continue working remotely at least through the first quarter of 2021. Although we have not experienced a material impact from shifting our employees to a remote work environment, there is no guarantee that our employees will be as effective while working remotely due to a number of factors, including the inability of team members to communicate as effectively in a remote environment, the reality that employees may have additional personal needs to attend to (such as looking after children as a result of school closures or family members who become sick), and employees may become sick themselves and unable to work. If the COVID-19 pandemic requires remote working conditions for a prolonged period of time, it could have an adverse impact on the productivity of our employees, which would harm our business and impede our ability to achieve our strategic plan. Further, we have a limited history of remote work and the long-term impact on, and the resulting types of continuing investments necessary for, our employee base is uncertain. In addition, in an effort to manage the financial uncertainty involved with the COVID-19 pandemic, we have delayed the hiring of certain non-essential employees.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COVID-19 pandemic has resulted in a rapid rise in unemployment and a sudden decrease in global economic activity, and many businesses have experienced, or are anticipating that they may experience, a significant negative impact on their operating results. While we did not experience a significant impact on the demand for our core products and Value+ services during the period ended September 30, 2020, we anticipate greater demand impacts in future periods, although the timing and magnitude of these impacts is difficult to estimate. In addition,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 Furthermore, the demand for our products and services, as well as our operating results, could be adversely impacted due to a number of other factors, including the following:</w:t>
      </w:r>
    </w:p>
    <w:p>
      <w:pPr>
        <w:spacing w:after="0" w:line="69" w:lineRule="exact"/>
        <w:rPr>
          <w:sz w:val="20"/>
          <w:szCs w:val="20"/>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customers delaying decisions to adopt our core products, or expand the use of our Value+ services, as they seek to reduce or delay spending in response to the impacts of COVID-19 on their own businesses;</w:t>
      </w:r>
    </w:p>
    <w:p>
      <w:pPr>
        <w:spacing w:after="0" w:line="8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6"/>
          <w:szCs w:val="16"/>
          <w:color w:val="auto"/>
        </w:rPr>
        <w:t>a complete or partial closure of, or other operational issues at, properties owned by our customers resulting from government restrictions or orders;</w:t>
      </w:r>
    </w:p>
    <w:p>
      <w:pPr>
        <w:spacing w:after="0" w:line="82" w:lineRule="exact"/>
        <w:rPr>
          <w:rFonts w:ascii="Arial" w:cs="Arial" w:eastAsia="Arial" w:hAnsi="Arial"/>
          <w:sz w:val="19"/>
          <w:szCs w:val="19"/>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deterioration in our ability, or the ability of our customers, to operate in affected geographic areas;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81" w:lineRule="exact"/>
        <w:rPr>
          <w:rFonts w:ascii="Arial" w:cs="Arial" w:eastAsia="Arial" w:hAnsi="Arial"/>
          <w:sz w:val="22"/>
          <w:szCs w:val="22"/>
          <w:color w:val="auto"/>
        </w:rPr>
      </w:pPr>
    </w:p>
    <w:p>
      <w:pPr>
        <w:ind w:left="660" w:hanging="328"/>
        <w:spacing w:after="0" w:line="218"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decrease in the reliability or availability of our core products or Value+ services as a result of errors, defects or service interruptions caused by the remote work environment;</w:t>
      </w:r>
    </w:p>
    <w:p>
      <w:pPr>
        <w:spacing w:after="0" w:line="81" w:lineRule="exact"/>
        <w:rPr>
          <w:rFonts w:ascii="Arial" w:cs="Arial" w:eastAsia="Arial" w:hAnsi="Arial"/>
          <w:sz w:val="22"/>
          <w:szCs w:val="22"/>
          <w:color w:val="auto"/>
        </w:rPr>
      </w:pPr>
    </w:p>
    <w:p>
      <w:pPr>
        <w:ind w:left="660" w:hanging="328"/>
        <w:spacing w:after="0" w:line="218" w:lineRule="auto"/>
        <w:tabs>
          <w:tab w:leader="none" w:pos="683" w:val="left"/>
        </w:tabs>
        <w:numPr>
          <w:ilvl w:val="0"/>
          <w:numId w:val="7"/>
        </w:numPr>
        <w:rPr>
          <w:rFonts w:ascii="Arial" w:cs="Arial" w:eastAsia="Arial" w:hAnsi="Arial"/>
          <w:sz w:val="22"/>
          <w:szCs w:val="22"/>
          <w:color w:val="auto"/>
        </w:rPr>
      </w:pPr>
      <w:r>
        <w:rPr>
          <w:rFonts w:ascii="Arial" w:cs="Arial" w:eastAsia="Arial" w:hAnsi="Arial"/>
          <w:sz w:val="18"/>
          <w:szCs w:val="18"/>
          <w:color w:val="auto"/>
        </w:rPr>
        <w:t>an increase in risks related to cyber-attacks or fraud designed to exploit perceived or actual gaps in security as a result of the remote work environment;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of the factors described above, or any number of other risks related to the COVID-19 pandemic, could disrupt our business, which could have a material adverse impact on our business, operations and financial results. The global impact of COVID-19 continues to rapidly evolve, and it is not currently possible to ascertain all of the current or future impacts to our business. The ultimate impact of the COVID-19 pandemic, or a similar public health crisis in the future, on our business is highly uncertain and subject to change. Further, we expect that any further spread of the COVID-19 pandemic, or even the threat or perception that this could occur, could further exacerbate any negative impacts on our business, financial condition and operating results.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manage our business to achieve long-term growth, which may not be consistent with the short-term expectations of some investors.</w:t>
      </w:r>
    </w:p>
    <w:p>
      <w:pPr>
        <w:spacing w:after="0" w:line="1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plan to continue to manage our business towards the achievement of long-term growth to positively impact long-term stockholder value, and not towards the realization of short-term metrics or short-term stockholder value. We will make product decisions and pursue opportunities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stockholder value, the decisions we make may not produce the long-term benefits we expect. Furthermore, our executive officers, directors and principal stockholders control a majority of the combined voting power of our outstanding capital stock. As a result, they are able to exercise significant influence and control over the establishment and implementation of our future business plans and strategic objectives, as well as control all matters submitted to our stockholders for approval. These persons may manage our business in ways with which you disagree and which may be adverse to your interests.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could adversely affect our operating results and preclude our achievement of our strategic plans.</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We anticipate that we will continue to experience growth and expansion of our operations, although the rate of growth may be negatively impacted by the COVID-19 pandemic.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respond to the uncertainty and disruption caused by the COVID-19 pandemic. 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substantial investments across our organization to grow our business and may not sustain profitability.</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order to implement our business and growth strategy, we have made and will continue to make substantial investments across our organization and, as a result, we expect our expenses to increase significantly and we may not be consistently profitable. For example, we intend to continue to make substantial investments in, among other things: our research and product development organization to enhance the ease of use and functionality of our software solutions and develop new products; our continued efforts to identify acquisition targets that enhance the depth and/or functionality of our software solutions or Value+ services; our customer service organization to deepen our relationships with our customers and promote customer retention; our sales and marketing organization, including expansion of our direct sales organization and marketing programs, to increase the size of our customer base and increase adoption and utilization of new and existing Value+ services by our new and existing customers; maintaining and expanding our technology infrastructure and operational support to promote the security and availability of our software solutions; our general and administrative functions, to support our growth and assist us in maintaining compliance with legal, regulatory and other compliance-related obligations; and the expansion of our existing facilities, including leasing and building out additional office space, to support our growth and strategic development. Even if we are successful in growing our customer base and increasing revenue from new and existing customers, we may not be able to generate additional revenue in an amount that is sufficient to cover our expenses. We cannot assure you that we will continue to achieve profitability in the near term or that we will sustain profitability on a sequential quarterly basis or over any particular period of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Our focus on managing our business towards the achievement of long-term growth, rather than the realization of short-term metrics, may also exacerbate fluctuations in our quarterly results, which could negatively impact the value of our Class A common stock. We may incur significant losses in a particular period for a number of reasons, and may experience significant fluctuations in our operating results from period to period.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Furthermore, if our quarterly results fall below the expectations of investors or any securities analysts who follow our stock, or below any financial guidance we may provide, the price of our Class A common stock could decline substantially.</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63" w:lineRule="exact"/>
        <w:rPr>
          <w:sz w:val="20"/>
          <w:szCs w:val="20"/>
          <w:color w:val="auto"/>
        </w:rPr>
      </w:pPr>
    </w:p>
    <w:p>
      <w:pPr>
        <w:jc w:val="both"/>
        <w:ind w:firstLine="648"/>
        <w:spacing w:after="0" w:line="207" w:lineRule="exact"/>
        <w:rPr>
          <w:sz w:val="20"/>
          <w:szCs w:val="20"/>
          <w:color w:val="auto"/>
        </w:rPr>
      </w:pPr>
      <w:r>
        <w:rPr>
          <w:rFonts w:ascii="Arial" w:cs="Arial" w:eastAsia="Arial" w:hAnsi="Arial"/>
          <w:sz w:val="18"/>
          <w:szCs w:val="18"/>
          <w:color w:val="auto"/>
        </w:rPr>
        <w:t>We determine the level of our investment in various aspects of the business, in part, based on our market opportunity estimates. 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The disruptions and impacts caused by the COVID</w:t>
      </w:r>
      <w:r>
        <w:rPr>
          <w:rFonts w:ascii="MS PGothic" w:cs="MS PGothic" w:eastAsia="MS PGothic" w:hAnsi="MS PGothic"/>
          <w:sz w:val="18"/>
          <w:szCs w:val="18"/>
          <w:color w:val="auto"/>
        </w:rPr>
        <w:t>‑</w:t>
      </w:r>
      <w:r>
        <w:rPr>
          <w:rFonts w:ascii="Arial" w:cs="Arial" w:eastAsia="Arial" w:hAnsi="Arial"/>
          <w:sz w:val="18"/>
          <w:szCs w:val="18"/>
          <w:color w:val="auto"/>
        </w:rPr>
        <w:t>19 pandemic may ultimately require us to significantly reduce our estimates of the market opportunities in certain markets or industry verticals, which could negatively impact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acquired, and may in the future acquire, other companies or technologies which could divert our management’s attention, result in additional dilution to our stockholders and otherwise disrupt our operations.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in our real estate vertical, we acquired substantially all of the assets of WegoWise in 2018 and completed the acquisition of Dynasty in 2019. The identification, investigation and negotiation of acquisitions may divert the attention of management and cause us to incur various expenses, whether or not they are consummated. We have limited experience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or sensitive information, which could harm our customer and/or employee relationships, expose us to litigation or harm our reputation.</w:t>
      </w:r>
    </w:p>
    <w:p>
      <w:pPr>
        <w:spacing w:after="0" w:line="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Like many other businesses, we have experienced, and are continually at risk of being subject to, cyber attacks and data security incidents. As our business grows, the number of users of our software solutions, as well as the amount of information we collect and store, is increasing, and our brands are becoming more widely recognized which makes us an even greater target for malicious activity. There can be no assurance that the security measures we employ will prevent malicious or unauthorized access to our systems and information. Furthermore, no security program can eliminate entirely the risk of non-malicious human error, such as an employee or contractor’s failure to follow one or more security protocols. Therefore, despite our significant efforts to keep our systems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security breaches could result in reputational damage, adversely affect our ability to attract new customers and cause existing customers to reduce or discontinue the use of our software solutions.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 outages and other infrastructure performance problems could harm our reputation and adversely affect our ability to attract and retain customers.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We seek to maintain sufficient excess capacity in our technology infrastructure to meet the needs of all of our customers, including facilitating the expansion of existing customer deployments and the provisioning of new customer deployments. 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 and regulations could impose additional costs and reduce demand for our software solutions.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We store and transmit personal information relating to our employees and other individuals, and our customers use our technology platform to store and transmit a significant amount of personal information relating to their clients, vendors, employees and other industry participants.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which went into effect on January 1, 2020, creates new data privacy and security rights for California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addition to government regulation, privacy advocates and industry groups may propose various self-regulatory standards that may legally or contractually apply to our business. As new laws, regulations and industry standards take effect, and as we expand into new jurisdictions, adjacent markets or verticals consistent with our strategic plan, we will need to understand and comply with various new requirements, which may result in significant additional costs. These laws, regulations and industry standards could have negative effects on our business, including by increasing our costs and operating expenses, and/or delaying or impeding our deployment of new or existing core functionality or Value+ services. Failure to comply with these laws, regulations and industry standards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electronic payment services business that could adversely affect our business and/or operating results.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 liability for customer costs related to disputed or fraudulent transactions and other incidences of fraud in our electronic payment services ecosystem. In the event that we are found to be in violation of our legal, regulatory or contractual requirements, we may be subject to monetary fines or penalties, cease-and-desist orders, mandatory product changes, or other liabilities that could have an adverse effect on our operating results. 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we bear the ultimate risk of loss for the transaction amount. Further,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and/or change the transaction costs associated with those payments, thereby reducing our revenue and increasing our associated expenses, which could materially impact our business,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tenant screening services business that could adversely affect our business and/or operating results.</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tenant screening services business is subject to a number of complex laws that are subject to varying interpretations, including the FCRA and related regulations. The FCRA has recently been the subject of multiple class-based litigation proceedings, as well as numerous regulatory inquiries and enforcement actions. In addition, entities such as the FTC and the Consumer Financial Protection Bureau ("CFPB") have the authority to promulgate rules and regulations that may impact our customers and our business. Although we attempt to structure our tenant screening services to comply with the relevant laws and regulations, we may be found to be in violation of them and we be subject to routine regulatory inquiries, enforcement actions, class-based litigation or indemnity demands.</w:t>
      </w:r>
    </w:p>
    <w:p>
      <w:pPr>
        <w:spacing w:after="0" w:line="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As previously disclosed, we received a Civil Investigative Demand from the FTC in December 2018 requesting certain information relating to our compliance with the FCRA in connection with our tenant screening services business (the "FTC Investigation"). On April 30, 2020, the FTC staff informed us of its belief that there is a reasonable basis for asserting claims against us for our alleged failure to comply with certain sections of the FCRA that could result in monetary penalty and injunctive relief. Notwithstanding our disagreement with the FTC's position and vigorous defense of our position, and primarily in an effort to avoid protracted litigation and potential distraction to our business, we have entered into settlement negotiations with the FTC to resolve all claims and allegations arising out of or relating to the FTC Investigation. Although the final outcome of the FTC Investigation is subject to ongoing settlement discussions and therefore remains uncertain, we have determined that a loss is probable and that a reasonable estimate of the loss is approximately $4.3 million. Accordingly, we recognized an accrual of $4.3 million within accrued expenses on our Condensed Consolidated Balance Sheet for the nine month period ended September 30, 2020. While this amount represents our best judgment of the probable loss based on information currently available to us, it is subject to significant estimates and numerous factors beyond our control, including without limitation the FTC's position with respect to the ongoing settlement negotiations. In the event that the FTC Investigation results in a settlement payment by us, or a judgment against us, in an amount significantly in excess of our accrual, the resulting liability could have a material adverse effect upon our financial condition, results of operations and liquidity.</w:t>
      </w:r>
    </w:p>
    <w:p>
      <w:pPr>
        <w:spacing w:after="0" w:line="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addition, we received a Request for Information from the DOJ in July 2019 requesting certain information relating to our compliance with the SCRA in connection with our tenant screening services business. On November 6, 2020, the DOJ issued a no action letter, declining to take any action against us and closing its investigation.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spacing w:after="0" w:line="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use third-party service providers for electronic payment and tenant screening services, and their failure to fulfill their contractual obligations could harm our reputation, disrupt our business and adversely affect our operating results.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and third-party tenant screening services providers to enable us to provide tenant screening services such as background and credit checks to our customers. In some cases, functions necessary to our business are performed on proprietary third-party systems and software to which we have no access. The failure of these service providers to provide us with accurate and timely information, to fulfill their contractual obligations to us, or to renew their contracts with us, could result in direct liability to us, harm our reputation, result in significant disruptions to our business, and adversely affect our operating results.</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success and future growth depend, in part, upon the continued services of our executive officers and other key employees. There may be changes in our executive officers or other key employees resulting from the hiring or departure of these personnel, which may disrupt our business. The loss of one or more of our executive officers or other key employees could have an adverse effect on our business. In addition, 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Further, in order for us to achieve broader market acceptance of our software solutions, grow our customer base, and pursue adjacent markets and new verticals consistent with our strategic plan, we will need to continue to increase the size of our sales and marketing and customer service and support organizations. Identifying, recruiting, training and retaining qualified personnel is difficult requires a significant investment of time and resources.</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we participate in are intensely competitive and our business could be harmed if we do not compete effectively.</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overall market for cloud-based business management software is global, highly competitive and continually evolving in response to a number of factors, including changes in technology, operational requirements, and laws and regulations. While we focus on providing industry-specific, cloud-based business management software solutions,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one or more point solutions. Continued consolidation among cloud-based providers could lead to significantly increased competition. Many of our competitors and potential competitors are larger and have greater name recognition, longer operating histories, and significantly greater resources. As a result, our competitors may be able to respond more quickly and effectively to new or changing opportunities, technologies, operational requirements and industry standards, as well as to new challenges such as those resulting from the COVID-19 pandemic. In addition, our current and potential competitors may develop, market and sell new technologies with comparable functionality to our software solutions, which could cause us to lose customers, slow the rate of growth of new customers and/or cause us to decrease our prices in order to remain competitive. For all of these reasons, we may not be able to compete effectively against our current and future competitors, which could harm our business.</w:t>
      </w:r>
    </w:p>
    <w:p>
      <w:pPr>
        <w:spacing w:after="0" w:line="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We may ultimately have to change our pricing model or offer pricing incentives which may adversely affect our revenue even if adoption and utilization remain constant. Changes to our pricing model could harm our customer retention rates and our ability to attract new customers, whether in connection with our core solutions or our Value+ services, which could adversely affect our operating results.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Business management software for small and medium-sized businesses ("SMBs") is a new and developing market. If the market is smaller than estimated or develops more slowly than expected, our operating results could be adversely affected.</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provide cloud-based business management software for SMBs in the real estate market and will assess entry into new or adjacent markets consistent with our strategic plan. Our success will depend, in part, on the continued widespread adoption by SMBs of cloud computing in general and of cloud-based business management software in particular. The market for industry-specific, cloud-based business management software for SMBs, both generally, and specifically within the real estate market, is evolving and is relatively small. The continued expansion of this market depends on numerous factors, including the cost and perceived value associated with cloud-based business management software relative to on-premise software applications and disparate point solutions, the ability of cloud-based solution providers to offer SMBs the functionality they need to operate and grow their businesses, the willingness of SMBs to transition from their existing software systems or otherwise alter their existing businesses practices to migrate their businesses to a vertical cloud-based business management software solution, and the ability of cloud-based solution providers to address security, privacy, availability and other concerns. If cloud-based business management software does not continue to achieve widespread market acceptance among SMBs, our revenue may increase at a 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at any point in time or to forecast revenue growth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While we plan to continue to market and sell our software solutions to smaller companies or firms, our growth strategy is dependent, in part, upon increasing sales of our software solutions to larger customers within the real estate vertical.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Our ability to sell our software solutions to larger customers may be dependent, in part, on our ability to develop functionality, or to implement pricing policies, that are unique to particular customers or are necessary for success in a market segment dominated by larger customers.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software industry is characterized by rapid technological advances, changing industry standards, evolving customer requirements and intense competition. Our ability to attract new customers, increase revenue from our existing customers, and expand into adjacent markets or, potentially,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 term depends, in part, on our ability to introduce new products for adjacent markets and, potentially, additional verticals that we identify through our market validation process consistent with our strategic plan. Market acceptance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of our current and future software solutions will depend on numerous factors, including the pricing of our software solutions relative to competitive products, perceptions about the security, privacy and availability of our software solutions relative to competitive products, and the time-to-market of our updates and enhancements to our core functionality, Value+ services and products. If we are unable to successfully enhance the functionality of our existing software solutions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w:t>
      </w:r>
    </w:p>
    <w:p>
      <w:pPr>
        <w:spacing w:after="0" w:line="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either could adversely impact our operating results.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We cannot assure you that our customers will renew their subscriptions with us, that our existing customers will continue to broaden their adoption and utilization of our Value+ services, or that they will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The loss of our existing customers could have a significant impact on our reputation and our ability to acquire new customers cost-effectively via word-of-mouth. A reduction in the number of our existing customers, even if offset by an increase in new customers, could reduce our revenue and operating margins. We may need to employ increasingly costly sales and marketing efforts and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 We may experience lower rates of subscription renewals, as well as lower rates of adoption and utilization of Value+ services, as a result of the COVID-19 pandemic as customers may seek to reduce or delay spending within their businesses.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All of our revenues are presently generated by sales to customers in the real estate vertical, and factors that adversely affect that vertical, or our customers within it, could also adversely affect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expect that our real estate customers will continue to account for a significant portion or all of our revenue for the foreseeable future. Demand for our software solutions and services could be affected by factors that are unique to and adversely affect the real estate vertical and our customers within it. If the vertical itself declines, our customers may decide not to renew their subscriptions or they may cease using our Value+ services in order to reduce costs to remain competitive. Further, we could lose real estate customers as a result of acquisitions or consolidations within the real estate vertical, bankruptcies or other financial difficulties facing our real estate customers, new or enhanced legal or regulatory regimes that negatively impact the real estate vertical, and conditions or trends specific to the real estate vertical such as the economic factors that impact the rental market. It is possible that the significant increase in unemployment rates, regulation and financial uncertainty caused by the COVID-19 pandemic could have a disproportionate impact on businesses within the real estate vertical, which may, in turn, disproportionately affect our customers and, therefore, our business, financial condition and operating results. In addition to the foregoing risks, there is an overarching risk stemming from potential widespread adoption of quickly evolving financial or other disruptive technology products that could significantly impact the real estate vertical, even if the disruptive technology is not specifically designed to apply directly to it. The adoption of these new technologies could significantly reduce the volume or demand of our customers, thereby reducing our revenue, which could materially impact our business, financial condition and operating results.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growth depends in part on our strategic relationships with third parties and, if we are unsuccessful in establishing or maintaining these relationships, our ability to compete in our targeted markets or grow our revenue could be impaired.</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our data center operators,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data centers and computing infrastructure operated by third parties and any disruption in these operations could adversely affect our operating results.</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We currently serve our customers through a combination of our own servers located in third party data center facilities, and computing resources operated by Amazon and other third party cloud computing service providers. While we control and have access to our own servers and the other components of our network that are located in our third party data centers, we do not control the operation of any of these third party data center facilities. The owners of our data center facilities have no obligation to renew their agreements with us. If we are unable to renew these agreements on commercially reasonable terms, or if one of our third party data center operators is acquired, we may be required to transfer our servers and other infrastructure to new facilities, and we may incur significant costs and possible service interruptions. Further, our third party data center providers could experience significant outages outside of our control that could adversely affect our business. Problems faced by our third party data center operators, or with any of the service providers with whom we or they contract, could adversely affect the experience of our customers. Additionally, if our data centers are unable to keep up with our growing needs for capacity or any spikes in customer demand, this could result in loss of or damage to our customers’ stored information and service interruptions, which could harm our reputation, impair our ability to attract and retain customers, and subject us to potential liability, any of which could adversely affect our operating results.</w:t>
      </w:r>
    </w:p>
    <w:p>
      <w:pPr>
        <w:spacing w:after="0" w:line="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cloud computing service providers with which we contract may experience service interruptions across multiple regions that are outside of our control.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It may require significant effort to migrate all of our services to a different region if we are forced to recover from a data center’s severe impairment or total destruction, or from a regional, or multi-regional, outage by any of our cloud computing service providers. Any changes in service levels by our cloud computing service providers could result in loss of or damage to our customers’ stored information and service interruptions, which could harm our reputation, subject us to potential liability, and adversely affect our operating results.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offer our software solutions across a variety of operating systems and through the Internet. We depend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the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 Additionally, we underwrite our legal liability to landlord insurance policies, and we are required by our insurance partner to maintain a reserve to cover potential claims under the policies. While our policies have per-occurrence limits, there is no limit on the dollar amount of claims that could be made against us in any particular period or in the aggregate. In the event that claims by the insureds increase unexpectedly, our reserve may not be sufficient to cover our resulting liability under the policies. If we are required to pay out significantly higher amounts to insureds than our current reserves, this could have a material adverse impact on our operating results.</w:t>
      </w:r>
    </w:p>
    <w:p>
      <w:pPr>
        <w:spacing w:after="0" w:line="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Such supervision could limit the growth of our insurance business by increasing the costs of regulatory compliance, limiting or restricting the products or services we provide or the methods by which we provide them, and subjecting us to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we are routinely subject to periodic state examinations, audits and investigations of the affairs of insurance companies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agencies, any of which could result in the expenditure of significant management time or financial resources.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No assurances can be given that our insurance business can continue to be conducted in any given jurisdiction as it has been conducted in the past or that we will be able to expand our insurance business in the future.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deliver effective customer service and/or effectively maintain and promote our brands, it could harm our relationships with our existing customers and adversely affect our ability to attract new customers and our operating results.</w:t>
      </w:r>
    </w:p>
    <w:p>
      <w:pPr>
        <w:spacing w:after="0" w:line="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business depends, in part, on our ability to satisfy our customers, both by providing software solutions that address their business needs, and by providing onboarding services and ongoing customer service. Once our software solutions are deployed, our customers depend on our customer service organization to resolve technical issues relating to their use of our solutions. As we do not separately charge our customers for support services, increased demand for our support services would increase costs without corresponding revenue, which could adversely affect our operating results. Further, 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 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Because we recognize revenue from subscriptions for our software solutions over the term of each subscription agreement, downturns or upturns in new business may not be immediately reflected in our operating results.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 portion of the revenue we report in each period is derived from the recognition of deferred revenue relating to subscription agreements entered into during previous periods. Consequently, while a decline in new or renewed subscriptions in any one period may not be reflected in our revenue results for that period,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outstanding and future indebtedness that may adversely affect our financial condition and our existing and future financing agreements may contain restrictive operating and financial covenants.</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On September 30, 2020, our Credit Agreement with Wells Fargo was terminated and all obligations outstanding under the Term Loan and Revolving Facility thereunder were satisfied in full and extinguished. We may, however, incur additional indebtedness in the future and/or enter into new financing arrangements. Our ability to meet expenses, to remain in compliance with the covenants under our existing and future debt instruments, and to pay fees, interest and principal on our indebtedness will depend on, among other things, our operating performance and market conditions. Accordingly, our cash flow may not be sufficient to allow us to pay principal and interest on our debt and meet our other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As of September 30, 2020, we had federal and state net operating loss carryforwards, which, if not utilized, will begin to expire in 2031 for federal purposes and in 2028 for state purposes. As of September 30, 2020, we also had federal and state research and development credit carryforwards. The federal credit carryforwards will begin to expire in 2027, while the majority state credits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 In addition, under the Tax Cuts and Jobs Act, the amount of net operating loss carryforwards from taxable years beginning after December 31, 2017 that we are permitted to deduct in any taxable year is limited to 80% of our taxable income in such year, where taxable income is determined without regard to the net operating loss carryforward deduction itself. However, the Coronavirus Aid, Relief, and Economic Security Act (also known as the "CARES Act') suspended this limitation for taxable years beginning before January 1, 2021. Nonetheless, for aforementioned reasons, we may not be able to realize a tax benefit, or may realize less tax benefit, from the use of our net operating loss carryforwards. Any such limitations on our ability to use our net operating loss carryforwards and other tax assets could adversely impact our business, financial condition and operating results.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Because our long-term growth strategy involves potential expansion of our sales to customers outside the United States, our business may be susceptible to the risks associated with international operations.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To date, we have realized an immaterial amount of revenue from customers outside the United States. To the extent that we decide to expand our operations to international markets, such expansion will require significant resources and management attention and will subject us to regulatory, economic, geographic and political risks, including but not limited to the risk of disruptions caused by regional natural disasters or health epidemics, that are different from those in the United States. Because of our limited experience with international operations and significant differences between the United States and international markets, any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market price of our Class A common stock has been, and is likely to continue to be, highly volatile, and fluctuations in the price of our Class A common stock could cause you to lose all or part of your investment. There are a wide variety of factors, many of which are outside our control, that could cause fluctuations in the market price of our Class A common stock and,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and/or the price of our Class A common stock.</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concentrates voting control with a limited number of stockholders, including our executive officers, directors and principal stockholders, effectively limiting your ability to influence corporate matters.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September 30, 2020, the holders of the outstanding shares of our Class B common stock, including our executive officers, directors, and principal stockholders, collectively held approximately 90%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 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 As of September 30, 2020, we had an aggregate of 1.2 million options outstanding that, if fully exercised, would result in the issuance of additional shares of Class A common stock or Class B common stock, as applicable. Our Class B common stock converts into Class A common stock on a one-for-one basis. In addition, as of September 30, 2020, we had 0.5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 In addition, 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declare any dividends in the foreseeable future and may repurchase stock in accordance with our Share Repurchase Program.</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Price appreciation, which may never occur, may be further impacted by repurchases of our shares in accordance with our Share Repurchase Program. Repurchases of our shares could increase the volatility of the trading price of our shares, which could have a negative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10,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of our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highly regulated real estate market, electronic payment, background screening and insurance services markets, the Internet itself, the use of mobile devices to conduct business and communicate, and many other products and services we provide. It is not clear how existing laws governing issues such as property ownership, management, rental and investment, data protection, and personal privacy apply to the Internet, digital content, communication services,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favorable terms, or at all, which may adversely affect our business and financial condition.</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ability to obtain additional capital, if and when required, will depend on numerous factors, including investor and lender demand, our compliance with debt obligations, our historical and forecasted financial and operating performance, our liquidity position, the overall condition of the capital markets, and the global economy as a whole.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8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35"/>
        </w:trPr>
        <w:tc>
          <w:tcPr>
            <w:tcW w:w="1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Number</w:t>
            </w:r>
          </w:p>
        </w:tc>
        <w:tc>
          <w:tcPr>
            <w:tcW w:w="98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800" w:type="dxa"/>
            <w:vAlign w:val="bottom"/>
            <w:gridSpan w:val="6"/>
            <w:vMerge w:val="restart"/>
          </w:tcPr>
          <w:p>
            <w:pPr>
              <w:spacing w:after="0"/>
              <w:rPr>
                <w:rFonts w:ascii="Arial" w:cs="Arial" w:eastAsia="Arial" w:hAnsi="Arial"/>
                <w:sz w:val="18"/>
                <w:szCs w:val="18"/>
                <w:u w:val="single" w:color="auto"/>
                <w:color w:val="0000FF"/>
                <w:w w:val="94"/>
              </w:rPr>
            </w:pPr>
            <w:hyperlink r:id="rId73">
              <w:r>
                <w:rPr>
                  <w:rFonts w:ascii="Arial" w:cs="Arial" w:eastAsia="Arial" w:hAnsi="Arial"/>
                  <w:sz w:val="18"/>
                  <w:szCs w:val="18"/>
                  <w:u w:val="single" w:color="auto"/>
                  <w:color w:val="0000FF"/>
                  <w:w w:val="94"/>
                </w:rPr>
                <w:t>Stock Purchase Agreement, dated as of September 7, 2020, by and among Mockingbird AcquisitionCo, Inc. and MyCase, Inc.†</w:t>
              </w:r>
              <w:r>
                <w:rPr>
                  <w:rFonts w:ascii="Arial" w:cs="Arial" w:eastAsia="Arial" w:hAnsi="Arial"/>
                  <w:sz w:val="23"/>
                  <w:szCs w:val="23"/>
                  <w:u w:val="single" w:color="auto"/>
                  <w:color w:val="0000FF"/>
                  <w:w w:val="94"/>
                  <w:vertAlign w:val="superscript"/>
                </w:rPr>
                <w:t>(1)</w:t>
              </w:r>
            </w:hyperlink>
          </w:p>
        </w:tc>
        <w:tc>
          <w:tcPr>
            <w:tcW w:w="0" w:type="dxa"/>
            <w:vAlign w:val="bottom"/>
          </w:tcPr>
          <w:p>
            <w:pPr>
              <w:spacing w:after="0"/>
              <w:rPr>
                <w:sz w:val="1"/>
                <w:szCs w:val="1"/>
                <w:color w:val="auto"/>
              </w:rPr>
            </w:pPr>
          </w:p>
        </w:tc>
      </w:tr>
      <w:tr>
        <w:trPr>
          <w:trHeight w:val="222"/>
        </w:trPr>
        <w:tc>
          <w:tcPr>
            <w:tcW w:w="980" w:type="dxa"/>
            <w:vAlign w:val="bottom"/>
          </w:tcPr>
          <w:p>
            <w:pPr>
              <w:ind w:left="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98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line="190"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6"/>
                <w:szCs w:val="16"/>
                <w:color w:val="auto"/>
              </w:rPr>
            </w:pPr>
          </w:p>
        </w:tc>
        <w:tc>
          <w:tcPr>
            <w:tcW w:w="9800" w:type="dxa"/>
            <w:vAlign w:val="bottom"/>
            <w:gridSpan w:val="6"/>
          </w:tcPr>
          <w:p>
            <w:pPr>
              <w:spacing w:after="0" w:line="190" w:lineRule="exact"/>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Executive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7">
              <w:r>
                <w:rPr>
                  <w:rFonts w:ascii="Arial" w:cs="Arial" w:eastAsia="Arial" w:hAnsi="Arial"/>
                  <w:sz w:val="18"/>
                  <w:szCs w:val="18"/>
                  <w:color w:val="0000FF"/>
                  <w:w w:val="87"/>
                </w:rPr>
                <w:t>of 1934, as amended.</w:t>
              </w:r>
            </w:hyperlink>
          </w:p>
        </w:tc>
        <w:tc>
          <w:tcPr>
            <w:tcW w:w="82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Certification of Chief Financial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8">
              <w:r>
                <w:rPr>
                  <w:rFonts w:ascii="Arial" w:cs="Arial" w:eastAsia="Arial" w:hAnsi="Arial"/>
                  <w:sz w:val="18"/>
                  <w:szCs w:val="18"/>
                  <w:color w:val="0000FF"/>
                  <w:w w:val="87"/>
                </w:rPr>
                <w:t>of 1934, as amended.</w:t>
              </w:r>
            </w:hyperlink>
          </w:p>
        </w:tc>
        <w:tc>
          <w:tcPr>
            <w:tcW w:w="82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w w:val="96"/>
              </w:rPr>
            </w:pPr>
            <w:hyperlink w:anchor="page59">
              <w:r>
                <w:rPr>
                  <w:rFonts w:ascii="Arial" w:cs="Arial" w:eastAsia="Arial" w:hAnsi="Arial"/>
                  <w:sz w:val="18"/>
                  <w:szCs w:val="18"/>
                  <w:color w:val="0000FF"/>
                  <w:w w:val="96"/>
                </w:rPr>
                <w:t>Certifications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Section 906 of the Sarbanes-Oxley Act of 2002.</w:t>
              </w:r>
            </w:hyperlink>
          </w:p>
        </w:tc>
        <w:tc>
          <w:tcPr>
            <w:tcW w:w="63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-1945640</wp:posOffset>
            </wp:positionV>
            <wp:extent cx="6214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w:t>
      </w:r>
    </w:p>
    <w:p>
      <w:pPr>
        <w:ind w:left="1460" w:right="180"/>
        <w:spacing w:after="0" w:line="243" w:lineRule="auto"/>
        <w:rPr>
          <w:sz w:val="20"/>
          <w:szCs w:val="20"/>
          <w:color w:val="auto"/>
        </w:rPr>
      </w:pPr>
      <w:r>
        <w:rPr>
          <w:rFonts w:ascii="Arial" w:cs="Arial" w:eastAsia="Arial" w:hAnsi="Arial"/>
          <w:sz w:val="18"/>
          <w:szCs w:val="18"/>
          <w:color w:val="auto"/>
        </w:rPr>
        <w:t>Filed as Exhibit 2.1 to the registrant’s Current Report on Form 8-K (File No. 001-37468) filed with the U.S. Securities and Exchange Commission on September 8, 2020, and incorporated herein by reference.</w:t>
      </w:r>
    </w:p>
    <w:p>
      <w:pPr>
        <w:spacing w:after="0" w:line="24" w:lineRule="exact"/>
        <w:rPr>
          <w:sz w:val="20"/>
          <w:szCs w:val="20"/>
          <w:color w:val="auto"/>
        </w:rPr>
      </w:pPr>
    </w:p>
    <w:p>
      <w:pPr>
        <w:jc w:val="both"/>
        <w:ind w:left="1460" w:right="1040" w:hanging="1164"/>
        <w:spacing w:after="0" w:line="271"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4" w:lineRule="exact"/>
        <w:rPr>
          <w:sz w:val="20"/>
          <w:szCs w:val="20"/>
          <w:color w:val="auto"/>
        </w:rPr>
      </w:pPr>
    </w:p>
    <w:p>
      <w:pPr>
        <w:ind w:left="1460" w:right="140" w:hanging="1164"/>
        <w:spacing w:after="0" w:line="211" w:lineRule="auto"/>
        <w:tabs>
          <w:tab w:leader="none" w:pos="146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640" w:type="dxa"/>
            <w:vAlign w:val="bottom"/>
            <w:gridSpan w:val="2"/>
          </w:tcPr>
          <w:p>
            <w:pPr>
              <w:ind w:left="1000"/>
              <w:spacing w:after="0"/>
              <w:rPr>
                <w:sz w:val="20"/>
                <w:szCs w:val="20"/>
                <w:color w:val="auto"/>
              </w:rPr>
            </w:pPr>
            <w:r>
              <w:rPr>
                <w:rFonts w:ascii="Arial" w:cs="Arial" w:eastAsia="Arial" w:hAnsi="Arial"/>
                <w:sz w:val="18"/>
                <w:szCs w:val="18"/>
                <w:color w:val="auto"/>
              </w:rPr>
              <w:t>AppFolio, Inc.</w:t>
            </w:r>
          </w:p>
        </w:tc>
      </w:tr>
      <w:tr>
        <w:trPr>
          <w:trHeight w:val="93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160"/>
              <w:spacing w:after="0"/>
              <w:rPr>
                <w:sz w:val="20"/>
                <w:szCs w:val="20"/>
                <w:color w:val="auto"/>
              </w:rPr>
            </w:pPr>
            <w:r>
              <w:rPr>
                <w:rFonts w:ascii="Arial" w:cs="Arial" w:eastAsia="Arial" w:hAnsi="Arial"/>
                <w:sz w:val="18"/>
                <w:szCs w:val="18"/>
                <w:color w:val="auto"/>
              </w:rPr>
              <w:t>November 9, 2020</w:t>
            </w:r>
          </w:p>
        </w:tc>
        <w:tc>
          <w:tcPr>
            <w:tcW w:w="1560" w:type="dxa"/>
            <w:vAlign w:val="bottom"/>
          </w:tcPr>
          <w:p>
            <w:pPr>
              <w:ind w:left="100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Ida Kane</w:t>
            </w:r>
          </w:p>
        </w:tc>
      </w:tr>
      <w:tr>
        <w:trPr>
          <w:trHeight w:val="224"/>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Ida Kane</w:t>
            </w:r>
          </w:p>
        </w:tc>
      </w:tr>
    </w:tbl>
    <w:p>
      <w:pPr>
        <w:ind w:left="4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7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280" w:right="420" w:hanging="519"/>
        <w:spacing w:after="0" w:line="259" w:lineRule="auto"/>
        <w:tabs>
          <w:tab w:leader="none" w:pos="22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280" w:right="40" w:hanging="519"/>
        <w:spacing w:after="0" w:line="224" w:lineRule="auto"/>
        <w:tabs>
          <w:tab w:leader="none" w:pos="22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260" w:right="20" w:hanging="520"/>
        <w:spacing w:after="0" w:line="224" w:lineRule="auto"/>
        <w:tabs>
          <w:tab w:leader="none" w:pos="2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260" w:right="20" w:hanging="520"/>
        <w:spacing w:after="0" w:line="235" w:lineRule="auto"/>
        <w:tabs>
          <w:tab w:leader="none" w:pos="2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2020</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77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44" w:lineRule="exact"/>
        <w:rPr>
          <w:sz w:val="20"/>
          <w:szCs w:val="20"/>
          <w:color w:val="auto"/>
        </w:rPr>
      </w:pPr>
    </w:p>
    <w:p>
      <w:pPr>
        <w:ind w:left="1120" w:hanging="1094"/>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84"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300" w:right="420" w:hanging="573"/>
        <w:spacing w:after="0" w:line="259" w:lineRule="auto"/>
        <w:tabs>
          <w:tab w:leader="none" w:pos="2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300" w:right="20" w:hanging="560"/>
        <w:spacing w:after="0" w:line="224" w:lineRule="auto"/>
        <w:tabs>
          <w:tab w:leader="none" w:pos="2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2"/>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400" w:right="20" w:hanging="646"/>
        <w:spacing w:after="0" w:line="224" w:lineRule="auto"/>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400" w:right="20" w:hanging="646"/>
        <w:spacing w:after="0" w:line="235" w:lineRule="auto"/>
        <w:tabs>
          <w:tab w:leader="none" w:pos="2400" w:val="left"/>
        </w:tabs>
        <w:numPr>
          <w:ilvl w:val="3"/>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2020</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Ida Kane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58" w:name="page59"/>
    <w:bookmarkEnd w:id="5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September 30, 2020,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20"/>
              <w:spacing w:after="0"/>
              <w:rPr>
                <w:sz w:val="20"/>
                <w:szCs w:val="20"/>
                <w:color w:val="auto"/>
              </w:rPr>
            </w:pPr>
            <w:r>
              <w:rPr>
                <w:rFonts w:ascii="Arial" w:cs="Arial" w:eastAsia="Arial" w:hAnsi="Arial"/>
                <w:sz w:val="18"/>
                <w:szCs w:val="18"/>
                <w:color w:val="auto"/>
              </w:rPr>
              <w:t>November 9, 2020</w:t>
            </w:r>
          </w:p>
        </w:tc>
        <w:tc>
          <w:tcPr>
            <w:tcW w:w="2060" w:type="dxa"/>
            <w:vAlign w:val="bottom"/>
          </w:tcPr>
          <w:p>
            <w:pPr>
              <w:ind w:left="148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20"/>
              <w:spacing w:after="0"/>
              <w:rPr>
                <w:sz w:val="20"/>
                <w:szCs w:val="20"/>
                <w:color w:val="auto"/>
              </w:rPr>
            </w:pPr>
            <w:r>
              <w:rPr>
                <w:rFonts w:ascii="Arial" w:cs="Arial" w:eastAsia="Arial" w:hAnsi="Arial"/>
                <w:sz w:val="18"/>
                <w:szCs w:val="18"/>
                <w:color w:val="auto"/>
              </w:rPr>
              <w:t>November 9, 2020</w:t>
            </w:r>
          </w:p>
        </w:tc>
        <w:tc>
          <w:tcPr>
            <w:tcW w:w="2060" w:type="dxa"/>
            <w:vAlign w:val="bottom"/>
          </w:tcPr>
          <w:p>
            <w:pPr>
              <w:ind w:left="148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Ida Kane</w:t>
            </w:r>
          </w:p>
        </w:tc>
      </w:tr>
      <w:tr>
        <w:trPr>
          <w:trHeight w:val="222"/>
        </w:trPr>
        <w:tc>
          <w:tcPr>
            <w:tcW w:w="6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Ida Kane</w:t>
            </w:r>
          </w:p>
        </w:tc>
      </w:tr>
      <w:tr>
        <w:trPr>
          <w:trHeight w:val="230"/>
        </w:trPr>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8"/>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3" Type="http://schemas.openxmlformats.org/officeDocument/2006/relationships/hyperlink" Target="https://www.sec.gov/Archives/edgar/data/1433195/000143319520000076/appf-stockpurchase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2020-11-09T15:39:06Z</dcterms:created>
  <dcterms:modified xsi:type="dcterms:W3CDTF">2020-11-09T15:39:06Z</dcterms:modified>
</cp:coreProperties>
</file>