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92026_110716.xml.htm"/>
      <w:bookmarkStart w:id="1" w:name="ksform407092026_1107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DUCA MAURICE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IGSB,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1485 E. VALLEY ROAD, SUITE 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1"/>
        <w:gridCol w:w="919"/>
        <w:gridCol w:w="788"/>
        <w:gridCol w:w="610"/>
        <w:gridCol w:w="343"/>
        <w:gridCol w:w="822"/>
        <w:gridCol w:w="430"/>
        <w:gridCol w:w="895"/>
        <w:gridCol w:w="1130"/>
        <w:gridCol w:w="977"/>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180.38</w:t>
            </w: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92,505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180.41</w:t>
            </w:r>
            <w:r>
              <w:rPr>
                <w:rFonts w:ascii="Times;serif" w:hAnsi="Times;serif"/>
                <w:color w:val="008000"/>
                <w:position w:val="7"/>
                <w:sz w:val="16"/>
                <w:sz w:val="20"/>
                <w:shd w:fill="FFFFFF" w:val="clear"/>
              </w:rPr>
              <w:t>(3)</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147,900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(4)</w:t>
            </w:r>
            <w:r>
              <w:rPr/>
              <w:t xml:space="preserve"> </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I, LLC</w:t>
            </w:r>
            <w:r>
              <w:rPr>
                <w:rFonts w:ascii="Times;serif" w:hAnsi="Times;serif"/>
                <w:color w:val="008000"/>
                <w:position w:val="7"/>
                <w:sz w:val="16"/>
                <w:sz w:val="20"/>
                <w:shd w:fill="FFFFFF" w:val="clear"/>
              </w:rPr>
              <w:t>(5)</w:t>
            </w:r>
            <w:r>
              <w:rPr/>
              <w:t xml:space="preserve"> </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142,857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Gaucho Fund I, LLC</w:t>
            </w:r>
            <w:r>
              <w:rPr>
                <w:rFonts w:ascii="Times;serif" w:hAnsi="Times;serif"/>
                <w:color w:val="008000"/>
                <w:position w:val="7"/>
                <w:sz w:val="16"/>
                <w:sz w:val="20"/>
                <w:shd w:fill="FFFFFF" w:val="clear"/>
              </w:rPr>
              <w:t>(6)</w:t>
            </w:r>
            <w:r>
              <w:rPr/>
              <w:t xml:space="preserve"> </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Core BV, LLC</w:t>
            </w:r>
            <w:r>
              <w:rPr>
                <w:rFonts w:ascii="Times;serif" w:hAnsi="Times;serif"/>
                <w:color w:val="008000"/>
                <w:position w:val="7"/>
                <w:sz w:val="16"/>
                <w:sz w:val="20"/>
                <w:shd w:fill="FFFFFF" w:val="clear"/>
              </w:rPr>
              <w:t>(7)</w:t>
            </w:r>
            <w:r>
              <w:rPr/>
              <w:t xml:space="preserve"> </w:t>
            </w:r>
          </w:p>
        </w:tc>
      </w:tr>
      <w:tr>
        <w:trPr/>
        <w:tc>
          <w:tcPr>
            <w:tcW w:w="20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Charitable Remainder Trust</w:t>
            </w:r>
            <w:r>
              <w:rPr>
                <w:rFonts w:ascii="Times;serif" w:hAnsi="Times;serif"/>
                <w:color w:val="008000"/>
                <w:position w:val="7"/>
                <w:sz w:val="16"/>
                <w:sz w:val="20"/>
                <w:shd w:fill="FFFFFF" w:val="clear"/>
              </w:rPr>
              <w:t>(8)</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made pursuant to a 10(b)5-1 trading plan previously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reflects the weighted average price at which these shares were sold. The shares were sold in multiple transactions at prices ranging from $180.00 to $180.84,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price reflects the weighted average price at which these shares were sold. The shares were sold in multiple transactions at prices ranging from $180.00 to $180.90,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of Class A Common Stock ("Class A Shares") are held by a pension trust of which the Reporting Person is the sole trustee and who, in that capacity, possesses sole voting and sole dispositive power over these Class A Shares. However, the Reporting Person does not possess any pecuniary interest in these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Class A Shares are owned by IGSB Cardinal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Class A Shares are owned by IGSB Gaucho Fund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Class A Shares are owned by IGSB Cardinal Core BV, LLC, a limited liability company, of which the Reporting Person is the managing member. In that capacity, the Reporting Person possesses sole voting and dispositive power over these Class A Shares, but he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Class A Shares are held by a trust of which the Reporting Person is a co-trustee and, in that capacity, he may be deemed to share voting and dispositive power over these Class A Shares with the other trustee. However, the Reporting Person does not have a pecuniary interest in, and he disclaims beneficial ownership of, these Class A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Shea, Attorney-in-Fact for Maurice J. Duca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333"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1128</Words>
  <Characters>5849</Characters>
  <CharactersWithSpaces>6886</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