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4"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_________________</w:t>
      </w:r>
    </w:p>
    <w:p>
      <w:pPr>
        <w:spacing w:after="0" w:line="21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_________________</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4100" w:right="2980" w:hanging="4092"/>
        <w:spacing w:after="0" w:line="604" w:lineRule="auto"/>
        <w:tabs>
          <w:tab w:leader="none" w:pos="35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46"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001-37468</w:t>
      </w:r>
    </w:p>
    <w:p>
      <w:pPr>
        <w:spacing w:after="0" w:line="10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_________________</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AppFolio,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9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_________________</w:t>
      </w:r>
    </w:p>
    <w:p>
      <w:pPr>
        <w:spacing w:after="0" w:line="134" w:lineRule="exact"/>
        <w:rPr>
          <w:sz w:val="24"/>
          <w:szCs w:val="24"/>
          <w:color w:val="auto"/>
        </w:rPr>
      </w:pPr>
    </w:p>
    <w:tbl>
      <w:tblPr>
        <w:tblLayout w:type="fixed"/>
        <w:tblInd w:w="1460" w:type="dxa"/>
        <w:tblCellMar>
          <w:top w:w="0" w:type="dxa"/>
          <w:left w:w="0" w:type="dxa"/>
          <w:bottom w:w="0" w:type="dxa"/>
          <w:right w:w="0" w:type="dxa"/>
        </w:tblCellMar>
      </w:tblPr>
      <w:tr>
        <w:trPr>
          <w:trHeight w:val="229"/>
        </w:trPr>
        <w:tc>
          <w:tcPr>
            <w:tcW w:w="434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26-0359894</w:t>
            </w:r>
          </w:p>
        </w:tc>
      </w:tr>
      <w:tr>
        <w:trPr>
          <w:trHeight w:val="238"/>
        </w:trPr>
        <w:tc>
          <w:tcPr>
            <w:tcW w:w="434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i w:val="1"/>
                <w:iCs w:val="1"/>
                <w:color w:val="auto"/>
                <w:w w:val="99"/>
              </w:rPr>
              <w:t>(State of incorporation or organization)</w:t>
            </w:r>
          </w:p>
        </w:tc>
        <w:tc>
          <w:tcPr>
            <w:tcW w:w="410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i w:val="1"/>
                <w:iCs w:val="1"/>
                <w:color w:val="auto"/>
              </w:rPr>
              <w:t>(I.R.S. Employer Identification No.)</w:t>
            </w:r>
          </w:p>
        </w:tc>
      </w:tr>
      <w:tr>
        <w:trPr>
          <w:trHeight w:val="437"/>
        </w:trPr>
        <w:tc>
          <w:tcPr>
            <w:tcW w:w="434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rPr>
              <w:t>70 Castilian Drive</w:t>
            </w:r>
          </w:p>
        </w:tc>
        <w:tc>
          <w:tcPr>
            <w:tcW w:w="4100" w:type="dxa"/>
            <w:vAlign w:val="bottom"/>
          </w:tcPr>
          <w:p>
            <w:pPr>
              <w:spacing w:after="0"/>
              <w:rPr>
                <w:sz w:val="24"/>
                <w:szCs w:val="24"/>
                <w:color w:val="auto"/>
              </w:rPr>
            </w:pPr>
          </w:p>
        </w:tc>
      </w:tr>
      <w:tr>
        <w:trPr>
          <w:trHeight w:val="230"/>
        </w:trPr>
        <w:tc>
          <w:tcPr>
            <w:tcW w:w="434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Santa Barbara, California</w:t>
            </w:r>
          </w:p>
        </w:tc>
        <w:tc>
          <w:tcPr>
            <w:tcW w:w="410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i w:val="1"/>
                <w:iCs w:val="1"/>
                <w:color w:val="auto"/>
              </w:rPr>
              <w:t>93117</w:t>
            </w:r>
          </w:p>
        </w:tc>
      </w:tr>
      <w:tr>
        <w:trPr>
          <w:trHeight w:val="238"/>
        </w:trPr>
        <w:tc>
          <w:tcPr>
            <w:tcW w:w="4340" w:type="dxa"/>
            <w:vAlign w:val="bottom"/>
          </w:tcPr>
          <w:p>
            <w:pPr>
              <w:jc w:val="center"/>
              <w:ind w:right="1330"/>
              <w:spacing w:after="0"/>
              <w:rPr>
                <w:sz w:val="20"/>
                <w:szCs w:val="20"/>
                <w:color w:val="auto"/>
              </w:rPr>
            </w:pPr>
            <w:r>
              <w:rPr>
                <w:rFonts w:ascii="Times New Roman" w:cs="Times New Roman" w:eastAsia="Times New Roman" w:hAnsi="Times New Roman"/>
                <w:sz w:val="18"/>
                <w:szCs w:val="18"/>
                <w:b w:val="1"/>
                <w:bCs w:val="1"/>
                <w:i w:val="1"/>
                <w:iCs w:val="1"/>
                <w:color w:val="auto"/>
                <w:w w:val="99"/>
              </w:rPr>
              <w:t>(Address of principal executive offices)</w:t>
            </w:r>
          </w:p>
        </w:tc>
        <w:tc>
          <w:tcPr>
            <w:tcW w:w="410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i w:val="1"/>
                <w:iCs w:val="1"/>
                <w:color w:val="auto"/>
              </w:rPr>
              <w:t>(Zip Code)</w:t>
            </w:r>
          </w:p>
        </w:tc>
      </w:tr>
    </w:tbl>
    <w:p>
      <w:pPr>
        <w:spacing w:after="0" w:line="3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(805) 364-6093</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Exchange Act:</w:t>
      </w:r>
    </w:p>
    <w:p>
      <w:pPr>
        <w:spacing w:after="0" w:line="336" w:lineRule="exact"/>
        <w:rPr>
          <w:sz w:val="24"/>
          <w:szCs w:val="24"/>
          <w:color w:val="auto"/>
        </w:rPr>
      </w:pPr>
    </w:p>
    <w:tbl>
      <w:tblPr>
        <w:tblLayout w:type="fixed"/>
        <w:tblInd w:w="56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4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2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30"/>
        </w:trPr>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APPF</w:t>
            </w:r>
          </w:p>
        </w:tc>
        <w:tc>
          <w:tcPr>
            <w:tcW w:w="132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Exchange Act:</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13"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_________________</w:t>
      </w:r>
    </w:p>
    <w:p>
      <w:pPr>
        <w:spacing w:after="0" w:line="200" w:lineRule="exact"/>
        <w:rPr>
          <w:sz w:val="24"/>
          <w:szCs w:val="24"/>
          <w:color w:val="auto"/>
        </w:rPr>
      </w:pPr>
    </w:p>
    <w:p>
      <w:pPr>
        <w:spacing w:after="0" w:line="240" w:lineRule="exact"/>
        <w:rPr>
          <w:sz w:val="24"/>
          <w:szCs w:val="24"/>
          <w:color w:val="auto"/>
        </w:rPr>
      </w:pPr>
    </w:p>
    <w:p>
      <w:pPr>
        <w:ind w:right="2300"/>
        <w:spacing w:after="0" w:line="283"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6" w:lineRule="exact"/>
        <w:rPr>
          <w:sz w:val="24"/>
          <w:szCs w:val="24"/>
          <w:color w:val="auto"/>
        </w:rPr>
      </w:pPr>
    </w:p>
    <w:p>
      <w:pPr>
        <w:jc w:val="both"/>
        <w:ind w:right="20"/>
        <w:spacing w:after="0" w:line="205" w:lineRule="exact"/>
        <w:rPr>
          <w:sz w:val="20"/>
          <w:szCs w:val="20"/>
          <w:color w:val="auto"/>
        </w:rPr>
      </w:pPr>
      <w:r>
        <w:rPr>
          <w:rFonts w:ascii="Times New Roman" w:cs="Times New Roman" w:eastAsia="Times New Roman" w:hAnsi="Times New Roman"/>
          <w:sz w:val="16"/>
          <w:szCs w:val="16"/>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4"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98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ectPr>
          <w:pgSz w:w="11900" w:h="16838" w:orient="portrait"/>
          <w:cols w:equalWidth="0" w:num="1">
            <w:col w:w="11240"/>
          </w:cols>
          <w:pgMar w:left="320" w:top="1258" w:right="339" w:bottom="0" w:gutter="0" w:footer="0" w:header="0"/>
        </w:sectPr>
      </w:pPr>
    </w:p>
    <w:bookmarkStart w:id="1" w:name="page2"/>
    <w:bookmarkEnd w:id="1"/>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7" w:lineRule="exact"/>
        <w:rPr>
          <w:sz w:val="20"/>
          <w:szCs w:val="20"/>
          <w:color w:val="auto"/>
        </w:rPr>
      </w:pPr>
    </w:p>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91"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registrant’s Class A common stock on June 30, 2022 (the last business day of the registrant’s mostly recently completed second fiscal quarter), as reported on the NASDAQ Global Market on such date, was approximately $2.136 billion. Shares of the registrant’s Class A common stock and Class B common stock held by each executive officer, director and holder of 10% or more of the registrant’s outstanding Class A common stock and Class B common stock have been excluded from this calculation as such persons may be deemed to be affiliates. The determination of affiliate status for this purpose does not reflect a determination that any of such persons shall be deemed to be an affiliate of the registrant for any other purpose.</w:t>
      </w:r>
    </w:p>
    <w:p>
      <w:pPr>
        <w:spacing w:after="0" w:line="20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At February 2, 2023, the number of shares of the registrant’s Class A common stock outstanding was 20,649,685 and the number of shares of the registrant’s Class B common stock outstanding was 14,746,432.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the 2023 Annual Meeting of Stockholders (the “Proxy Statement”), to be filed with the Securities and Exchange Commission (the “SEC”) pursuant to Regulation 14A not later than 120 days after the end of the fiscal year covered by this Annual Report on Form 10-K (this “Annual Report”), are incorporated by reference in Part III, Items 10-14 of this Annual Report. Except for the portions of the Proxy Statement specifically incorporated by reference in this Annual Report, the Proxy Statement shall not be deemed to be filed as part hereof.</w:t>
      </w:r>
    </w:p>
    <w:p>
      <w:pPr>
        <w:spacing w:after="0" w:line="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4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7"/>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9"/>
          </w:tcPr>
          <w:p>
            <w:pPr>
              <w:ind w:left="500"/>
              <w:spacing w:after="0"/>
              <w:rPr>
                <w:sz w:val="20"/>
                <w:szCs w:val="20"/>
                <w:color w:val="auto"/>
              </w:rPr>
            </w:pPr>
            <w:r>
              <w:rPr>
                <w:rFonts w:ascii="Times New Roman" w:cs="Times New Roman" w:eastAsia="Times New Roman" w:hAnsi="Times New Roman"/>
                <w:sz w:val="18"/>
                <w:szCs w:val="18"/>
                <w:b w:val="1"/>
                <w:bCs w:val="1"/>
                <w:color w:val="auto"/>
              </w:rPr>
              <w:t>Section</w:t>
            </w:r>
          </w:p>
        </w:tc>
        <w:tc>
          <w:tcPr>
            <w:tcW w:w="106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83"/>
        </w:trPr>
        <w:tc>
          <w:tcPr>
            <w:tcW w:w="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8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rPr>
              <w:t>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500" w:type="dxa"/>
            <w:vAlign w:val="bottom"/>
            <w:gridSpan w:val="17"/>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36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19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Properties</w:t>
            </w:r>
          </w:p>
        </w:tc>
        <w:tc>
          <w:tcPr>
            <w:tcW w:w="1320" w:type="dxa"/>
            <w:vAlign w:val="bottom"/>
            <w:gridSpan w:val="6"/>
          </w:tcPr>
          <w:p>
            <w:pPr>
              <w:spacing w:after="0"/>
              <w:rPr>
                <w:sz w:val="18"/>
                <w:szCs w:val="18"/>
                <w:color w:val="auto"/>
              </w:rPr>
            </w:pPr>
          </w:p>
        </w:tc>
        <w:tc>
          <w:tcPr>
            <w:tcW w:w="6360" w:type="dxa"/>
            <w:vAlign w:val="bottom"/>
            <w:gridSpan w:val="12"/>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19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8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8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8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4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Securities</w:t>
            </w:r>
          </w:p>
        </w:tc>
        <w:tc>
          <w:tcPr>
            <w:tcW w:w="6560" w:type="dxa"/>
            <w:vAlign w:val="bottom"/>
            <w:tcBorders>
              <w:top w:val="single" w:sz="8" w:color="0000FF"/>
            </w:tcBorders>
            <w:gridSpan w:val="16"/>
          </w:tcPr>
          <w:p>
            <w:pPr>
              <w:spacing w:after="0"/>
              <w:rPr>
                <w:sz w:val="13"/>
                <w:szCs w:val="13"/>
                <w:color w:val="auto"/>
              </w:rPr>
            </w:pPr>
          </w:p>
        </w:tc>
        <w:tc>
          <w:tcPr>
            <w:tcW w:w="112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w:t>
            </w:r>
          </w:p>
        </w:tc>
        <w:tc>
          <w:tcPr>
            <w:tcW w:w="2040" w:type="dxa"/>
            <w:vAlign w:val="bottom"/>
            <w:gridSpan w:val="4"/>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21</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040" w:type="dxa"/>
            <w:vAlign w:val="bottom"/>
            <w:gridSpan w:val="4"/>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28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gridSpan w:val="2"/>
          </w:tcPr>
          <w:p>
            <w:pPr>
              <w:spacing w:after="0"/>
              <w:rPr>
                <w:sz w:val="18"/>
                <w:szCs w:val="18"/>
                <w:color w:val="auto"/>
              </w:rPr>
            </w:pPr>
          </w:p>
        </w:tc>
        <w:tc>
          <w:tcPr>
            <w:tcW w:w="4060" w:type="dxa"/>
            <w:vAlign w:val="bottom"/>
            <w:gridSpan w:val="7"/>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29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8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Disclosures</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800" w:type="dxa"/>
            <w:vAlign w:val="bottom"/>
            <w:gridSpan w:val="11"/>
          </w:tcPr>
          <w:p>
            <w:pPr>
              <w:spacing w:after="0"/>
              <w:rPr>
                <w:sz w:val="18"/>
                <w:szCs w:val="18"/>
                <w:color w:val="auto"/>
              </w:rPr>
            </w:pPr>
          </w:p>
        </w:tc>
        <w:tc>
          <w:tcPr>
            <w:tcW w:w="184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58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40" w:type="dxa"/>
            <w:vAlign w:val="bottom"/>
            <w:gridSpan w:val="14"/>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58</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8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58</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III</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8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gridSpan w:val="5"/>
          </w:tcPr>
          <w:p>
            <w:pPr>
              <w:spacing w:after="0"/>
              <w:rPr>
                <w:sz w:val="18"/>
                <w:szCs w:val="18"/>
                <w:color w:val="auto"/>
              </w:rPr>
            </w:pPr>
          </w:p>
        </w:tc>
        <w:tc>
          <w:tcPr>
            <w:tcW w:w="4320" w:type="dxa"/>
            <w:vAlign w:val="bottom"/>
            <w:gridSpan w:val="8"/>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59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gridSpan w:val="7"/>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1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59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40" w:type="dxa"/>
            <w:vAlign w:val="bottom"/>
            <w:gridSpan w:val="3"/>
          </w:tcPr>
          <w:p>
            <w:pPr>
              <w:spacing w:after="0"/>
              <w:rPr>
                <w:sz w:val="18"/>
                <w:szCs w:val="18"/>
                <w:color w:val="auto"/>
              </w:rPr>
            </w:pPr>
          </w:p>
        </w:tc>
        <w:tc>
          <w:tcPr>
            <w:tcW w:w="11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59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2960" w:type="dxa"/>
            <w:vAlign w:val="bottom"/>
            <w:gridSpan w:val="5"/>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59</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Part IV</w:t>
            </w: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8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59</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0000FF"/>
                <w:w w:val="77"/>
              </w:rPr>
              <w:t>62</w:t>
            </w:r>
          </w:p>
        </w:tc>
        <w:tc>
          <w:tcPr>
            <w:tcW w:w="40" w:type="dxa"/>
            <w:vAlign w:val="bottom"/>
          </w:tcPr>
          <w:p>
            <w:pPr>
              <w:spacing w:after="0"/>
              <w:rPr>
                <w:sz w:val="18"/>
                <w:szCs w:val="18"/>
                <w:color w:val="auto"/>
              </w:rPr>
            </w:pPr>
          </w:p>
        </w:tc>
      </w:tr>
      <w:tr>
        <w:trPr>
          <w:trHeight w:val="1499"/>
        </w:trPr>
        <w:tc>
          <w:tcPr>
            <w:tcW w:w="2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6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federal securities laws, which statements involve substantial risks and uncertainties. The forward-looking statements made in this Annual Report are based primarily on our current expectations and projections about future events and trends that we believe may affect our business, financial condition, operating results, and prospects and relate only to events as of the date on which the statements are made. In some cases, you can identify forward-looking statements because they contain words such as “may,” “will,” “should,” “might,” “expects,” “plans,” “anticipates,” “could,” “intends,” “target,” “projects,” “contemplates,” “believes,” “estimates,” “predicts,” “potential,” or “continue,” or the negative of these words or other similar terms or expressions that concern our expectations, strategy, plans, or intentions. We cannot assure you that the results, events, and circumstances reflected in the forward-looking statements will be achieved or occur, and actual results, events, or circumstances could differ materially from those described in the forward-looking statements. Our forward-looking statements do not reflect the potential impact of any future acquisitions, mergers, dispositions, joint ventures, or investments we may make. The outcome of the events described in these forward-looking statements is subject to risks, uncertainties, and other factors described in the section titled “Risk Factors” and elsewhere in this Annual Report. As such, you should not rely upon forward-looking statements as predictions of future events. Examples of forward-looking statements include, among others, statements made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Any forward-looking statement made by us in this Annual Report is based only on information currently available to us and speaks only as of the date on which it is made. We undertake no obligation to update any forward-looking statements made in this Annual Report to reflect events or circumstances after the date of this Annual Report or to reflect new information or the occurrence of unanticipated events, except as required by law.</w:t>
      </w:r>
    </w:p>
    <w:p>
      <w:pPr>
        <w:spacing w:after="0" w:line="3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Unless otherwise stated in this Annual Report, references to "AppFolio," "we," "us," and "our" refer to AppFolio, Inc. and its consolidated subsidiaries.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Founded in 2006, AppFolio is a leading provider of cloud business management solutions for the real estate industry. Our solutions are designed to enable our property manager customers to digitally transform their businesses, address critical business operations and deliver a better customer experience. Digital transformation is effectively a requirement for business success in the modern world, and the way we work and live today requires powerful software solutions.</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AppFolio solutions are designed to meet that need in the real estate industry. We help our customers navigate an increasingly interconnected and growing network of stakeholders in their business ecosystems, including property owners, real estate investment managers, rental prospects, residents, and service providers, and provide key functionality related to critical transactions across the real estate lifecycle, including screening potential tenants, sending and receiving payments and even providing insurance-related risk mitigation services. AppFolio’s intuitive interface, coupled with streamlined and automated workflows, makes it easier for our customers to eliminate redundant and manual processes so they can deliver a great experience for their network of stakeholders while improving financial and operational performance.</w:t>
      </w:r>
    </w:p>
    <w:p>
      <w:pPr>
        <w:spacing w:after="0" w:line="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platform and mobile-optimized solutions are designed for use across multiple devices and operating systems, and to be (a) a system of record to centralize and automate essential business processes, (b) a system of engagement to enhance business interactions between our customers and their network of stakeholders, and (c) a system of intelligence to leverage data to predict and optimize business workflows in order to enable exceptional customer experiences and increase efficiency across their businesses. Our solutions are offered as a service, and are hosted using a modern cloud-based architecture.</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strategic partners and third-party service providers to deliver certain aspects of our solutions, and strive to provide a seamlessly integrated experience for our customers and their stakeholders. We believe our customer-centric culture drives a focus on customer satisfaction that leads to long-term retention and, ultimately, to our long-term success.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Our Core Solutions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Platform</w:t>
      </w:r>
    </w:p>
    <w:p>
      <w:pPr>
        <w:spacing w:after="0" w:line="1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AppFolio’s platform addresses important aspects of workflows common to property management and is frequently updated in response to market trends and customer needs. Further, we believe that partnering and integrating with curated third party solutions to enable important functionality for our customers and their stakeholders while maintaining an elevated customer experience will benefit our customer base over time. Core functionality of our services addresses key operational issues, including accounting, business analytics and management, marketing and leasing functionality, maintenance and operational efficiency, as well as communications with key stakeholders in our customers' business ecosystems.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55880</wp:posOffset>
            </wp:positionV>
            <wp:extent cx="5863590" cy="2931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359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AppFolio Property Manager</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AppFolio Property Manager provides the platform upon which property managers can run their business operations. Property management companies choose AppFolio Property Manager to leverage the benefits of process automation, an easy-to-use interface, and the optimization of common workflows. Customers include third-party property managers and owner-operators, who typically manage single- and multi-family residential properties, including single family homes, multi-family apartments, mobile homes, affordable housing, student housing, senior housing, and others who manage community association and commercial properties.</w:t>
      </w:r>
    </w:p>
    <w:p>
      <w:pPr>
        <w:spacing w:after="0" w:line="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AppFolio Property Manager serves as our customers’ system of record with accounting functionality at the core. All critical transactions are completed and recorded in the system and give our customers access to the data they need to run their business. AppFolio Property Manager is also the system of engagement that customers use to interact with key stakeholders in their business ecosystems, including residents living at their properties, owners and investors owning those properties, and vendors providing products and services to the properties. Both aspects of the system are inherently interconnected so that the day-to-day interactions, such as residents paying rent through the AppFolio Property Manager mobile app, are instantly reflected in the system of record. AppFolio Property Manager's mobile capabilities enable our customers' teams to be productive regardless of their location, responding to leasing inquiries, addressing work orders, or completing inspections on the go. Due to their distributed nature, this is especially relevant for our property management customers with a significant portion of single-family or small multi-family properties.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AppFolio Property Manager Plus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continue to serve customers with larger and more complex portfolios with AppFolio Property Manager Plus, recognizing the evolving needs these customers have for deeper business insights, automation, and more advanced experiences. These customers typically have a more diverse mix of property types, a wider geographical dispersion of their properties, and the larger teams necessary to manage those types of portfolios. AppFolio Property Manager Plus is designed to solve these challenges in multiple ways: customizable workflows allow customers to digitize their existing processes; performance insights help drive efficiency; intelligent revenue management helps maximize real estate asset potential; integrations with a growing list of technology partners open new and diverse technologies and experiences; dedicated strategic account managers help customers realize the full benefit of our platform and solutions.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Value Added Services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AppFolio Property Manager’s optional but often mission-critical Value Added Services are designed to enhance, automate and streamline business-critical processes and workflows. These services build on functionality and workflows in our core solutions and generally fall into the categories of marketing and leasing, electronic payment services, business optimization, and risk mitigation (e.g., insurance-related services). We strive for a seamless experience for our customers that increases their efficiency while not sacrificing ease of use of AppFolio Property Manager and AppFolio Property Manager Plus, whether services are offered by AppFolio or by a third-party partner. Utilization and adoption of our Value Added Services is typically higher for residential properties than community association or commercial properties because of the unique and complex needs of the residential rental lifecycle.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empower our customers and their network of stakeholders with a wide variety of Value Added Services, primarily:</w:t>
      </w:r>
    </w:p>
    <w:p>
      <w:pPr>
        <w:spacing w:after="0" w:line="100" w:lineRule="exact"/>
        <w:rPr>
          <w:sz w:val="20"/>
          <w:szCs w:val="20"/>
          <w:color w:val="auto"/>
        </w:rPr>
      </w:pPr>
    </w:p>
    <w:p>
      <w:pPr>
        <w:jc w:val="both"/>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Payments. </w:t>
      </w:r>
      <w:r>
        <w:rPr>
          <w:rFonts w:ascii="Times New Roman" w:cs="Times New Roman" w:eastAsia="Times New Roman" w:hAnsi="Times New Roman"/>
          <w:sz w:val="18"/>
          <w:szCs w:val="18"/>
          <w:color w:val="auto"/>
        </w:rPr>
        <w:t>Our electronic payment services allow property managers to streamline their receivables and payables through a variety of online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options. Customers can collect funds through our secure online portal, our mobile application and/or via electronic cash payments from various stakeholders, including applicants, residents and property owners. Types of funds that may be collected include rental application fees, security deposits, rent payments, and other tenant charges; contributions from property owners; and periodic dues from those living in community associations. Customers can also electronically send funds to various stakeholders, including distributions to property owners, payments to service providers, and even payment to their own management company.</w:t>
      </w:r>
    </w:p>
    <w:p>
      <w:pPr>
        <w:spacing w:after="0" w:line="70" w:lineRule="exact"/>
        <w:rPr>
          <w:rFonts w:ascii="Times New Roman" w:cs="Times New Roman" w:eastAsia="Times New Roman" w:hAnsi="Times New Roman"/>
          <w:sz w:val="18"/>
          <w:szCs w:val="18"/>
          <w:color w:val="auto"/>
        </w:rPr>
      </w:pPr>
    </w:p>
    <w:p>
      <w:pPr>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Screening. </w:t>
      </w:r>
      <w:r>
        <w:rPr>
          <w:rFonts w:ascii="Times New Roman" w:cs="Times New Roman" w:eastAsia="Times New Roman" w:hAnsi="Times New Roman"/>
          <w:sz w:val="18"/>
          <w:szCs w:val="18"/>
          <w:color w:val="auto"/>
        </w:rPr>
        <w:t>Our tenant screening services include background screening, credit checks, income verification, and a streamlined rental history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verification process for use in connection with the rental application process.</w:t>
      </w:r>
    </w:p>
    <w:p>
      <w:pPr>
        <w:spacing w:after="0" w:line="5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Insurance. </w:t>
      </w:r>
      <w:r>
        <w:rPr>
          <w:rFonts w:ascii="Times New Roman" w:cs="Times New Roman" w:eastAsia="Times New Roman" w:hAnsi="Times New Roman"/>
          <w:sz w:val="18"/>
          <w:szCs w:val="18"/>
          <w:color w:val="auto"/>
        </w:rPr>
        <w:t>Through our FolioGuard™ brand, we offer risk mitigation products for residents and property managers. FolioGuard Smart Ensure,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liability to landlord insurance product, allows property management customers to enforce insurance coverage requirements within their leases by tracking coverage of their units and adding uncovered units to a qualifying liability to landlord insurance policy via a licensed insurance broker. FolioGuard Renters Insurance protects the personal belongings of renters, as well as the property itself, from certain unexpected damages.</w:t>
      </w:r>
    </w:p>
    <w:p>
      <w:pPr>
        <w:spacing w:after="0" w:line="5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We experience some seasonality in our Value Added Services revenue. See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for additional details regarding seasonality of revenue.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growth strategy is to provide increasingly valuable business management solutions to new and existing customers in the real estate industry. We are leveraging our growing footprint to expand within the property management market. Key components of our near and extended term growth strategy include:</w:t>
      </w:r>
    </w:p>
    <w:p>
      <w:pPr>
        <w:spacing w:after="0" w:line="6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Keep Our Existing Customers Happy. </w:t>
      </w:r>
      <w:r>
        <w:rPr>
          <w:rFonts w:ascii="Times New Roman" w:cs="Times New Roman" w:eastAsia="Times New Roman" w:hAnsi="Times New Roman"/>
          <w:sz w:val="18"/>
          <w:szCs w:val="18"/>
          <w:color w:val="auto"/>
        </w:rPr>
        <w:t>We believe customer success is essential to our long-term success, and we strive to have loyal and engaged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long-term customer relationships. We place significant emphasis on customer experience to differentiate our solutions from competing products. This emphasis will continue to be a critical component of our growth strategy in the future. We believe that maintaining our focus on customer success will lead to new product innovation, the referral of new customers from existing satisfied customers, and greater adoption and utilization of our solutions.</w:t>
      </w:r>
    </w:p>
    <w:p>
      <w:pPr>
        <w:spacing w:after="0" w:line="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 New Customers. </w:t>
      </w:r>
      <w:r>
        <w:rPr>
          <w:rFonts w:ascii="Times New Roman" w:cs="Times New Roman" w:eastAsia="Times New Roman" w:hAnsi="Times New Roman"/>
          <w:sz w:val="18"/>
          <w:szCs w:val="18"/>
          <w:color w:val="auto"/>
        </w:rPr>
        <w:t>We believe new customer acquisition is essential to our long-term success. We expect to continue to grow our base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and thus the number of units managed on our platform, with continued investments in the development of increasingly valuable business management solutions across not only the existing property types we currently serve but new ones as well, innovative sales and marketing programs, including evolving real estate industry thought leadership and education, and the referral power of satisfied customers. To continue to attract larger customers, we may increase our utilization of partnerships and integrations with select third parties to deliver key functionality.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6" w:name="page7"/>
    <w:bookmarkEnd w:id="6"/>
    <w:p>
      <w:pPr>
        <w:jc w:val="both"/>
        <w:ind w:firstLine="648"/>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Expand Adoption and Use by Existing Customers. </w:t>
      </w:r>
      <w:r>
        <w:rPr>
          <w:rFonts w:ascii="Times New Roman" w:cs="Times New Roman" w:eastAsia="Times New Roman" w:hAnsi="Times New Roman"/>
          <w:sz w:val="18"/>
          <w:szCs w:val="18"/>
          <w:color w:val="auto"/>
        </w:rPr>
        <w:t>We have made, and will continue to make, significant investments in our solutions that expand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functionality and enhance or add new capabilities to meet the current and evolving needs of our customers. We intend to continue using our market validation techniques and close relationships with our customers as a key source of feedback to inform and direct our product strategy. We expect our satisfied customers will expand their adoption and usage of our Value Added Services to adapt our platform to their specific operational requirements. In addition, as our customers grow, we expect they will continue to use our solutions to manage their larger businesses. To facilitate the continued use of our solutions by larger customers, we may increase our utilization of partnerships and integrations with select third parties to deliver key functionality while maintaining an elevated customer experience.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define customers as those paying for a subscription to our core solutions. As of December 31, 2022, we had 18,441 property management customers. No individual customer represented 10% or more of our total revenue for fiscal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Service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our success is tied to long-term customer relationships, not a one-time sale. Our team is structured to deliver ongoing service; this includes ongoing live and on-demand training, a library of resources, and personalized account management. We regularly measure our Net Promoter Score and solicit customer feedback in a variety of ways in an effort to continue to better serve our customers. Our solutions are designed to be easy to use and manage, and we offer training and support at no extra charge.</w:t>
      </w:r>
    </w:p>
    <w:p>
      <w:pPr>
        <w:spacing w:after="0" w:line="5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Onboarding consists of a dedicated team that works to ensure that customers are prepared to run their businesses on our platform. As a result of our assistance with data migration matters, we are able to provide valuable insights into data integrity and work with our customers to help resolve any issues in their underlying business processes. We also assist our customers with the configuration of our products for particular property types, as appropriate. We share insights on best practices for the markets we serve and dedicate resources to guide our customers through the adoption and utilization of our Value Added Services.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leverage a modern and scalable marketing approach along with marketing automation technology to attract and engage prospects and build brand recognition as an industry leader. We participate in industry thought leadership and education, and we use a variety of inbound and outbound marketing techniques to promote AppFolio solutions.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development team acts in partnership with our marketing and sales teams to reach potential customers, generate sales opportunities, and accelerate the time from evaluation to close. Our sales representatives assist prospective customers as they evaluate our products. Our interactive sales methodology allows our sales team to quickly build relationships, assess our customers’ business challenges, and demonstrate the benefits of our core functionality and, where applicable, Value Added Services.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Operations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products are powered by a highly scalable computing platform and are designed with a strong focus on data security and availability. We take great care to keep our application framework and the rest of our software stack current in order to mitigate known security vulnerabilities. Our computing platform and cloud infrastructure are primarily powered by Amazon Web Services’ Elastic Compute Cloud (EC2) platform. In order to ensure that data is not lost and that customer requests can be satisfied, production assets are securely replicated and regularly backed up to multiple geographic regions.</w:t>
      </w:r>
    </w:p>
    <w:p>
      <w:pPr>
        <w:spacing w:after="0" w:line="72" w:lineRule="exact"/>
        <w:rPr>
          <w:sz w:val="20"/>
          <w:szCs w:val="20"/>
          <w:color w:val="auto"/>
        </w:rPr>
      </w:pPr>
    </w:p>
    <w:p>
      <w:pPr>
        <w:jc w:val="both"/>
        <w:ind w:left="660" w:hanging="323"/>
        <w:spacing w:after="0" w:line="266" w:lineRule="auto"/>
        <w:rPr>
          <w:sz w:val="20"/>
          <w:szCs w:val="20"/>
          <w:color w:val="auto"/>
        </w:rPr>
      </w:pPr>
      <w:r>
        <w:rPr>
          <w:rFonts w:ascii="Times New Roman" w:cs="Times New Roman" w:eastAsia="Times New Roman" w:hAnsi="Times New Roman"/>
          <w:sz w:val="18"/>
          <w:szCs w:val="18"/>
          <w:color w:val="auto"/>
        </w:rPr>
        <w:t>We monitor our production infrastructure to ensure high performance and availability, and our architecture allows our operators significant flexibility in achieving these goals. In particular, we have fine-grained control over the specific server and region on which each customer's data resides, and can move such data between different geographic regions in order to avoid service disruption or to increase service performance.</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sensitive data in our systems, including passwords, Social Security numbers, and tax identification numbers, is encrypted during transmission, and before being written to disk. We regularly evaluate our product and infrastructure security, including through third-party penetration testing. In addition, our products allow our customers to define roles that provide different levels of access to users, allowing them to view and modify specific items depending on their role. Supervisors can distribute work to staff in a secure and controlled environment, while leadership retains visibility across the entire system. Some sensitive customer actions require secondary verification via two-factor authentication, and any customer can enable two-factor authentication for logging into their account.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Research and Product Development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heavily on input from our customers and prospective customers in developing products that meet their needs and in anticipating developments in their businesses. We perform research and market validation efforts to guide our product roadmap. We believe that it is easier for our customers to adjust to continuous updates to our platform, which incrementally change and improve their user experience than to adapt to infrequent, but more drastic, upgrades.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overall market for business management solutions in the real estate and other industries is global, highly competitive, and continually evolving to respond to changes in technology, operational requirements, and ever-changing laws and regulations. We believe our competitors primarily fall into the following categories:</w:t>
      </w:r>
    </w:p>
    <w:p>
      <w:pPr>
        <w:spacing w:after="0" w:line="68"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On-premise or cloud-based real estate business management service providers that serve companies of all sizes in our markets;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On-premise or cloud-based horizontal business management service providers that offer broad solutions across multiple industries.</w:t>
      </w:r>
    </w:p>
    <w:p>
      <w:pPr>
        <w:spacing w:after="0" w:line="1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experience competition from numerous cloud-based solutions providers that focus almost exclusively on one or more point solutions in the real estate industry or in other industries. Continued consolidation among cloud-based solution providers could significantly increase competition.</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Some of our competitors may have greater financial, technical and other resources, greater name recognition and larger sales and marketing budgets; therefore, we may not always compare favorably with respect to some or all of the foregoing factors. Further, the barrier to entry for competition in one or more areas we serve may be low, which could lead to competition from new entrants who solve similar problems in different ways.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rely on a combination of patents, copyrights, trademarks, trade secrets, confidentiality procedures and contractual restrictions to establish and protect our proprietary rights in our core solutions and Value Added Services. We may pursue additional patent protection to the extent we believe it would be beneficial and cost-effective.</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control access to our proprietary technology by entering into confidentiality and invention assignment agreements with our employees and contractors, and confidentiality agreements with third parties. Despite our precautions, it may be possible for unauthorized third parties to copy our products and use information that we regard as proprietary to create products and services that compete with ours.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people are at the heart of our success. Our employees’ dedication to and passion for creating and delivering transformative solutions provides us with a competitive advantage and creates long-lasting relationships with our customers. We believe our efforts in creating and maintaining strong connections — with our customers, partners, and team members — differentiates AppFolio as a great place to work. This has led to recognition that demonstrates our valued company culture and workplace: In 2022, Fortune recognized AppFolio as one of the Best Workplaces in Technology, and the Glassdoor Employees’ Choice Awards listed AppFolio as one of the Best Places to Work.</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company culture, driven by the following six core values, fuels our dedication and passion:</w:t>
      </w:r>
    </w:p>
    <w:p>
      <w:pPr>
        <w:spacing w:after="0" w:line="117"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Simpler Is Better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Innovative Products Are Key To A Great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People Make A Great Company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Listening To Customers Is In Our DNA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 Focused Teams Keep Us Agile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The Right Thing; It’s Good For Business</w:t>
      </w:r>
    </w:p>
    <w:p>
      <w:pPr>
        <w:spacing w:after="0" w:line="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2022, we had 1,785 employees. We routinely engage temporary employees and consultants. Approximately 3% of our workforce is represented by a union, the Communications Workers of America. While it is our firm belief that a direct relationship between employee and employer is best, we recognize the decision made by these employees. We consider our relationships with our employees and consultants to be strong. To maintain this strong relationship and attract new talent, our human capital management efforts focus on the following initiatives: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8" w:name="page9"/>
    <w:bookmarkEnd w:id="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Diversity, Equity, and Inclusion. </w:t>
      </w:r>
      <w:r>
        <w:rPr>
          <w:rFonts w:ascii="Times New Roman" w:cs="Times New Roman" w:eastAsia="Times New Roman" w:hAnsi="Times New Roman"/>
          <w:sz w:val="18"/>
          <w:szCs w:val="18"/>
          <w:color w:val="auto"/>
        </w:rPr>
        <w:t>Diversity is core to our values and, we believe, necessary to drive innovation and collective growth.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 to diversity, equity and inclusion starts at the leadership level and cascades to our talented employees. AppFolio’s employee-led resource groups aim to create an environment where everyone is valued for their uniqueness, while also feeling part of the larger whole. We work hard to make sure our employees’ voices are heard, from our practice of small, focused teams to setting annual company initiatives together as an organization.</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we conducted a voluntary survey of our workforce in 2022, of those who elected to share, approximately 54% identified as men, 45% identified as women, and less than 1% identified as nonbinary. Additionally approximately 65% identified as White, 12% identified as Asian, 11% identified as Hispanic or Latino, 5% identified as Black or African American, less than 1% identified as American Indian or Alaska Native, less than 1% identified as Native Hawaiian or Other Pacific Islander, and 6% identified as two or more races.</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recruiting practices focus on attracting and hiring employees with diverse backgrounds, experiences, and approaches at all levels of the company. We have key partnerships with universities and professional organizations and provide ongoing education to our hiring teams that are focused on closing the diversity gap and growing our team.</w:t>
      </w:r>
    </w:p>
    <w:p>
      <w:pPr>
        <w:spacing w:after="0" w:line="6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Development. </w:t>
      </w:r>
      <w:r>
        <w:rPr>
          <w:rFonts w:ascii="Times New Roman" w:cs="Times New Roman" w:eastAsia="Times New Roman" w:hAnsi="Times New Roman"/>
          <w:sz w:val="18"/>
          <w:szCs w:val="18"/>
          <w:color w:val="auto"/>
        </w:rPr>
        <w:t>We invest significant resources to develop the talent needed to remain at the forefront of innovation and make us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employer of choice. Employees throughout our organization have access to tailored training and learning programs designed both for our entire employee base as well as for distinct employee audiences. Our annual engagement survey provides a platform for employees to provide anonymous feedback directly to their managers and our executives.</w:t>
      </w:r>
    </w:p>
    <w:p>
      <w:pPr>
        <w:spacing w:after="0" w:line="6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Societal Impact. </w:t>
      </w:r>
      <w:r>
        <w:rPr>
          <w:rFonts w:ascii="Times New Roman" w:cs="Times New Roman" w:eastAsia="Times New Roman" w:hAnsi="Times New Roman"/>
          <w:sz w:val="18"/>
          <w:szCs w:val="18"/>
          <w:color w:val="auto"/>
        </w:rPr>
        <w:t>We believe in making an impactful contribution to the causes and communities that are meaningful to our employees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context of the real estate industry. We encourage employee volunteerism through our employee-led Give Back Committee and company-wide benefit of eight hours of paid volunteer time off annually. Our corporate philanthropy program “AppFolio Gives Back” supports housing affordability, an ongoing challenge in the real estate industry, through a combination of employee fundraising, team volunteering, and a corporate matching gift program.</w:t>
      </w:r>
    </w:p>
    <w:p>
      <w:pPr>
        <w:spacing w:after="0" w:line="6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Stewardship. </w:t>
      </w:r>
      <w:r>
        <w:rPr>
          <w:rFonts w:ascii="Times New Roman" w:cs="Times New Roman" w:eastAsia="Times New Roman" w:hAnsi="Times New Roman"/>
          <w:sz w:val="18"/>
          <w:szCs w:val="18"/>
          <w:color w:val="auto"/>
        </w:rPr>
        <w:t>We believe in a culture of environmental stewardship, and through our employee-led “Green Team” we strive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a positive impact on our environment both in the workplace and at home by educating employees on environmental issues and encouraging action.</w:t>
      </w:r>
    </w:p>
    <w:p>
      <w:pPr>
        <w:spacing w:after="0" w:line="4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and Benefits. </w:t>
      </w:r>
      <w:r>
        <w:rPr>
          <w:rFonts w:ascii="Times New Roman" w:cs="Times New Roman" w:eastAsia="Times New Roman" w:hAnsi="Times New Roman"/>
          <w:sz w:val="18"/>
          <w:szCs w:val="18"/>
          <w:color w:val="auto"/>
        </w:rPr>
        <w:t>Our compensation and benefits programs support the wellness of our employees and their families so they feel they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live their best lives both at work and at home. Our competitive compensation packages may include base salary, commission or annual performance-based bonuses, and stock-based compensation. We also offer paid parental leave, paid sabbaticals, paid leave to care for family members, and access to fertility networks and discounts on fertility care. We review our programs periodically to ensure they remain competitive.</w:t>
      </w:r>
    </w:p>
    <w:p>
      <w:pPr>
        <w:spacing w:after="0" w:line="6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 Safety, and Wellness. </w:t>
      </w:r>
      <w:r>
        <w:rPr>
          <w:rFonts w:ascii="Times New Roman" w:cs="Times New Roman" w:eastAsia="Times New Roman" w:hAnsi="Times New Roman"/>
          <w:sz w:val="18"/>
          <w:szCs w:val="18"/>
          <w:color w:val="auto"/>
        </w:rPr>
        <w:t>We are committed to providing a safe workplace for our employees and assisting them in maintaining a healthy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work-life balance. We regularly solicit feedback to assess the well-being and needs of our employees and offer resources focused on mental health and physical wellness. We have embraced Together@AppFolio, our hybrid work model, where many of our employees work out of one of our offices several days a week and others work remotely.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Copies of the reports, proxy statements and other information may also be obtained, free of charge, electronically through our corporate website, at www.appfolioinc.com, as soon as reasonably practical after we file such material with, or furnish it to, the SEC.</w:t>
      </w:r>
    </w:p>
    <w:p>
      <w:pPr>
        <w:spacing w:after="0" w:line="11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consider carefully the risks described below, together with all of the other information included in this Annual Report, as well as in our other filings with the SEC, in evaluating our business and/or an investment in our Class A common stock.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Please be advised that certain of the risks and uncertainties described below contain “forward-looking statements.” See the section of this Annual Report entitled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Risks Related to Growing Our Business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costs and operating expenses may increase without corresponding increases in revenue, which would adversely affect our operating results.</w:t>
      </w:r>
    </w:p>
    <w:p>
      <w:pPr>
        <w:spacing w:after="0" w:line="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experienced, and anticipate that we will continue to experience, significant growth in the size, complexity, and diversity of our business. This growth has placed, and we expect that it will continue to place, a significant strain on our administrative, operational, and financial resources. Our future success depends, in part, on our ability to manage this growth effectively. For example, to grow our customer base and facilitate the continuous launch and refinement of our products and services we invest significantly in our sales, marketing, and product development organizations as well as software and systems to support the efficient operation of such organizations. There is no guarantee that these or similar expenditures to support our growth will be successful. If we are unable to manage our growth successfully and efficiently, it could result in increased costs and operating expenses without corresponding increases in revenue, which would adversely affect our operating results.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accurately predict and respond promptly to rapidly evolving technological developments and customer needs, the demand for our products and our business and operating results may be harmed.</w:t>
      </w:r>
    </w:p>
    <w:p>
      <w:pPr>
        <w:spacing w:after="0" w:line="3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Customer demands are constantly changing in response to new technology and other market factors. To compete effectively, we must identify and innovate in the right technologies, accurately predict our customers’ evolving needs, and continually improve our own technology platform. If we fail to execute against any of the foregoing, our business and operating results may be harmed. In addition, the widespread adoption of quickly evolving disruptive technology products may significantly impact the real estate industry, even if such products are not specifically designed to apply directly to the real estate industry. The adoption of such new technologies could significantly reduce the volume or demand of our customers, thereby reducing our revenue, which could materially impact our business, financial condition and operating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an intensely competitive market and our business could be harmed if we do not compete effectively.</w:t>
      </w:r>
    </w:p>
    <w:p>
      <w:pPr>
        <w:spacing w:after="0" w:line="1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market for cloud-based business management solutions has relatively low barriers to entry and is global, highly competitive and continually evolving in response to a number of factors, including changes in technology, operational requirements, and laws and regulations. We compete with both other real estate industry cloud-based solution providers and providers of broad cloud-based solutions across multiple industries. We also face competition from numerous cloud-based solution providers that focus almost exclusively on one or more point solutions. Our competitors include established vendors, as well as newer entrants in the market. Our established competitors may have greater name recognition, longer operating histories, and significantly greater resources, which allows them to respond more quickly and effectively to new or changing opportunities or challenges, technologies, operational requirements and industry standards. Our competitors who are new entrants to the market, and generally smaller, may have more nimble operations due to having fewer products and less overhead and may be willing to take legal and operational risks, which allows them to launch products and meet customer demand more quickly and efficiently. Regardless of size, our current and potential competitors may develop, market and sell new technologies with comparable functionality to our solutions, which could cause us to lose customers, slow the rate of growth of new customers and/or cause us to decrease our prices to remain competitive, which could harm our business.</w:t>
      </w:r>
    </w:p>
    <w:p>
      <w:pPr>
        <w:spacing w:after="0" w:line="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we have introduced and expect to continue to introduce variations to our pricing model that are intended to provide broader usage and better align the cost of our services to the value they provide our customers. Although we believe that these pricing changes will increase customer adoption and revenue, it is possible that they will not and may make our services less appealing, which could negatively impact our business, revenue, and operating results.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sales of our solutions to new markets and new industries, our business and operating results may suffer.</w:t>
      </w:r>
    </w:p>
    <w:p>
      <w:pPr>
        <w:spacing w:after="0" w:line="12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growth strategy includes expanding sales of our solutions to new markets and, potentially, new industries. These new markets and industries, include larger customers within the real estate space, housing types outside of multi-family and single-family residential, and industries other than real estate. Acceptance of our current and future solutions in new markets and industries will depend on numerous factors, including our ability to provide more sophisticated functionality and features, the pricing of our solutions relative to competitive products, perceptions about the security, privacy and availability of our solutions relative to competitive products, and the time-to-market of updates and enhancements to our services and products. There is no guarantee we will be successful in achieving all or any of the foregoing. Additionally, sales to new markets and industries will involve risks that are not present, or are present to a lesser extent, in sales to the markets and industry we currently serve, and such risks may include new regulatory regimes, longer sale cycles, increased chance of litigation with customers, increased risk and impact of reputational harm, and increased competition. We may not be able to sufficiently mitigate such risks, which would impact our ability to successfully expand our business. If we are unable to successfully expand sales of our solutions to new markets and, potentially, industries, our revenue may increase at a slower rate than we expect and may even decline, which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existing customers renewing their subscriptions with us and expanding their use of our Value Added Services, and a decline in either could adversely affect our operating results.</w:t>
      </w:r>
    </w:p>
    <w:p>
      <w:pPr>
        <w:spacing w:after="0" w:line="6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For us to maintain or increase our revenue and improve our operating results, it is important that our existing customers continue to use our core solutions, as well as increase their adoption and utilization of our Value Added Services. Our customers may not renew their subscriptions with us, continue to broaden their adoption and utilization of our Value Added Services, or use our Value Added Services at all. If our existing customers do not renew their subscriptions and increase their adoption and utilization of our existing or newly developed Value Added Services, our revenue may increase at a slower rate than we expect and may decline, which could adversely affect our financial condition and operating results. A reduction in the number of our existing customers, even if offset by an increase in new customers, could reduce our revenue and operating margins.</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maintain and enhance our brands could adversely affect our ability to attract new customers and negatively affect our business and operating results.</w:t>
      </w:r>
    </w:p>
    <w:p>
      <w:pPr>
        <w:spacing w:after="0" w:line="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Maintaining and enhancing our brands is critical to achieving widespread awareness and acceptance of our solutions as well as maintaining and expanding our customer base. We expect the importance of brand recognition will increase, as competition for our products and services increases. If we do not continue to build awareness of our brands, we will be at a competitive disadvantage compared to companies whose brands are, or become, more recognizable than ours. Maintaining and enhancing our brands requires us to make substantial investments, and these investments may not result in commensurate increases in our revenue. In addition, new and existing technologies, industry trends, and laws that restrict online advertising or affect our ability to customize and target advertising may require us to significantly increase our marketing costs to generate and capture demand and maintain our brand awareness, level of sales, and operating results. If we fail to successfully maintain and enhance our brands, or if we make investments that are not offset by increased revenue, our operating results could be adversely affected.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manage our business to achieve long-term growth, which may not be consistent with the short-term expectations of some investors.</w:t>
      </w:r>
    </w:p>
    <w:p>
      <w:pPr>
        <w:spacing w:after="0" w:line="1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make product decisions and pursue opportunities that are consistent with our strategic objective to achieve long-term growth. These decisions may not be consistent with the short-term expectations of some investors, and may cause significant fluctuations in our results of operation and our stock price from period to period. In addition, notwithstanding our intention to make strategic decisions that positively impact long-term value, the decisions we make may not produce the long-term benefits we expect, which could materially affect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Our acquisition of other companies or technologies may subject us to risks.</w:t>
      </w:r>
    </w:p>
    <w:p>
      <w:pPr>
        <w:spacing w:after="0" w:line="10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have acquired, and may in the future acquire, other companies or technologies to complement or expand our products and solutions, optimize our technical capabilities, enhance our ability to compete, or otherwise offer growth or strategic opportunities. We have limited experience and success in acquiring other businesses and we may not be able to effectively integrate acquired assets, technologies, personnel and operations or achieve the anticipated synergies or other benefits from the acquired business due to the inherent risks associated with acquisitions. If an acquisition fails to meet our expectations in terms of its contribution to our overall business strategy or results of operation, or if the costs of acquiring or integrating the acquired business exceed our estimates, our business, results of operation, strategic objectives, and financial condition may suffer.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Attracting and Retaining Talent</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highly skilled personnel and, if we are unable to retain or hire additional qualified personnel or if we lose key members of our management team, we may not be able to achieve our strategic objectives and our business may be harmed.</w:t>
      </w:r>
    </w:p>
    <w:p>
      <w:pPr>
        <w:spacing w:after="0" w:line="5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success and future growth depend, in part, upon the continued services of our executive officers and other key employees. To execute our growth plan and achieve our strategic objectives, we must continue to attract and retain highly qualified and motivated personnel across our organization. In particular, to continue to enhance our products and solutions, add new and innovative core functionality and/or Value Added Services, as well as develop new products, it will be critical for us to increase the size of our research and product development organization, including hiring highly skilled software engineers. Further, for us to achieve broader market acceptance of our products and solutions, grow our customer base, and pursue new markets consistent with our strategic plan, we will need to continue to increase the size of our sales, marketing and customer service and support organizations. Competition for personnel is intense within our industry and there continues to be upward pressure on the compensation paid to these professionals. Identifying, recruiting, training and retaining qualified personnel is difficult and requires a significant investment of time and resources.</w:t>
      </w:r>
    </w:p>
    <w:p>
      <w:pPr>
        <w:spacing w:after="0" w:line="7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Many of the companies with which we compete for experienced personnel have greater name recognition and financial resources than we have. As a result, we may have greater difficulty hiring and retaining skilled personnel than our competitors. In addition, prospective and existing employees often consider the value of the equity awards they receive in connection with their employment. If the perceived value of our equity awards declines, we are unable to offer equity awards in competitive amounts, or if the price of our Class A common stock experiences significant volatility, this may adversely affect our ability to recruit and retain highly skilled employees. If we are unable to attract and retain the personnel necessary to execute our growth plan, we may be unable to achieve our strategic objectives and our operating results may suffer.</w:t>
      </w:r>
    </w:p>
    <w:p>
      <w:pPr>
        <w:spacing w:after="0" w:line="6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continue to foster this culture, we could lose the passion, creativity, teamwork, focus and innovation fostered by our culture.</w:t>
      </w:r>
    </w:p>
    <w:p>
      <w:pPr>
        <w:spacing w:after="0" w:line="6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As we grow, we may find it difficult to maintain our corporate culture. This difficulty may be exacerbated by our current commitment to remote work, which makes it more challenging for employees to interact and connect.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and Data Privacy</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Security vulnerabilities in our products or a breach of our security controls could result in the loss, theft, misuse, unauthorized disclosure, or unauthorized access to customer or employee data, or other confidential or sensitive information, which could harm our customer and/or employee relationships, expose us to litigation or harm our reputation.</w:t>
      </w:r>
    </w:p>
    <w:p>
      <w:pPr>
        <w:spacing w:after="0" w:line="3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Our business involves the storage and transmission of a significant amount of confidential and sensitive information, including sensitive and proprietary data and personal information collected by or on behalf of our customers, the personal information of our employees, customers, and prospective customers and our proprietary financial, operational and strategic information. Like many other businesses, we have experienced, and are continually at risk of being subject to, cyber attacks and data security incidents. As our business grows, the number of individuals using our products, as well as the amount of information we collect and store, is increasing, and our brands are becoming more widely recognized, which makes us a greater target for malicious activity. We have incurred, and expect to continue to incur, significant expenses in connection with our efforts to keep our systems, products and networks protected and up to date. However, there can be no assurance that the security measures we employ will prevent malicious or unauthorized access to our systems or information. Furthermore, no security program can entirely eliminate the risk of human error, such as an employee or contractor’s failure to follow one or more security protocols. Therefore, despite our significant efforts to keep our systems, products and networks protected and up to date, we may be unable to anticipate new modes for cyber attacks, detect security incidents or react to them in a timely manner, or implement adequate preventive measures, any of which may expose us to a risk of loss, litigation and potential liability. In addition, some of our third-party service providers and partners also collect and/or store our sensitive information and our customers’ data on our behalf, and these service providers and partners have been, and continue to be, subject to similar threats of cyber attacks and other malicious Internet-based activities. Our contracts with these third parties may not provide us with adequate remedies in the event of such an incident which could also expose us to risk of loss, litigation, and potential liability.</w:t>
      </w:r>
    </w:p>
    <w:p>
      <w:pPr>
        <w:spacing w:after="0" w:line="1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If our security measures, or the security measures of our third-party service providers or partners,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fines and actions from payment processing networks or by governmental bodies. If we experience a widespread security breach, our insurance coverage may not offset liabilities actually incurred and insurance may not continue to be available to us on reasonable terms, or at all. In addition, security breaches could result in reputational damage, adversely affect our ability to attract new customers and cause existing customers to reduce or discontinue the use of our products and solutions. Furthermore, the perception by our current or potential customers that our products could be vulnerable to exploitation or that our security measures are inadequate, even in the absence of a particular problem or threat, could reduce market acceptance of our products and solutions and cause us to lose customers. The legal and regulatory environment around data security and governance is evolving, and both regulators and consumers are increasingly taking action on data-related matters, which may contribute to increased reputational, economic and other harm in the event of a data security incident.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 laws and regulations could impose additional costs and reduce demand for our solutions.</w:t>
      </w:r>
    </w:p>
    <w:p>
      <w:pPr>
        <w:spacing w:after="0" w:line="10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For example, in the United States new comprehensive privacy laws have or will be enacted in 2023 in Colorado, Utah, Connecticut and Virginia, and updates to existing laws and regulations in California also became effective on January 1, 2023. These obligations have and will likely continue to increase the cost and complexity of delivering our services.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3" w:name="page14"/>
    <w:bookmarkEnd w:id="1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or Value Added Services.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clients, vendors, employees and other industry participants to resist providing the personal information necessary to allow our customers to use our applications effectively, which could reduce overall demand for our solutions. Any of these outcomes could adversely affect our business and operating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All of our revenues are presently generated by sales to customers in the real estate industry, and factors that adversely affect that industry, or our customers within it, could also adversely affect us.</w:t>
      </w:r>
    </w:p>
    <w:p>
      <w:pPr>
        <w:spacing w:after="0" w:line="6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expect that our real estate industry customers will continue to account for a significant portion or all of our revenue for the foreseeable future. Demand for our solutions and services could be affected by factors that are unique to and adversely affect the real estate industry and our customers within it. If the industry itself declines, our customers may decide not to renew their subscriptions or they may cease using our Value Added Services to reduce costs to remain competitive. For example, higher interest rates may make it difficult or impossible for our customers to obtain financing or may increase their cost of capital, which could negatively impact the demand for our solutions and services, increase customer churn, and impact our operating results. Further, we could lose real estate customers as a result of acquisitions or consolidations, bankruptcies or other financial difficulties facing our real estate customers, new or enhanced legal or regulatory regimes that negatively impact the real estate industry, and conditions or trends specific to the real estate industry such as the economic factors that impact the rental market.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are subject to significant uncertainty.</w:t>
      </w:r>
    </w:p>
    <w:p>
      <w:pPr>
        <w:spacing w:after="0" w:line="12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determine the level of our investment in various aspects of the business, in part, based on our market opportunity estimates. Market opportunity estimates are subject to significant uncertainty and are based on assumptions, including our internal analysis and industry experience. Assessing markets for cloud-based business management solutions in the real estate industry is particularly difficult due to a number of factors, including limited available information and rapid evolution of the industry and markets therein. If we do not accurately estimate our opportunities, we may fail to realize a return on our investment in various aspects of our business, which could lead to a failure to gain market share and negatively impact our long-term growth prospects.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Solutions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deliver effective customer service, it could harm our relationships with our existing customers and adversely affect our ability to attract new customers and our operating results.</w:t>
      </w:r>
    </w:p>
    <w:p>
      <w:pPr>
        <w:spacing w:after="0" w:line="5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business depends, in part, on our ability to satisfy our customers by providing onboarding services and ongoing customer service. Once our solutions are deployed, our customers depend on our customer service organization to resolve technical issues relating to their use of our solutions. Increased demand for our support services may increase our costs without corresponding revenue, which could adversely affect our operating results. Further, our sales process is highly dependent on the ease of use of our solutions, our reputation and positive recommendations from our existing customers. Any failure to maintain high-quality and responsive customer service, or a market perception that we do not maintain high-quality and responsive customer service, could harm our reputation, cause us to lose customers and adversely impact our ability to sell our solutions to prospective customers.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Errors, defects or other disruptions in our products could harm our reputation, cause us to lose customers, and result in significant expenditures to correct the problem.</w:t>
      </w:r>
    </w:p>
    <w:p>
      <w:pPr>
        <w:spacing w:after="0" w:line="6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Our customers use our products to manage critical aspects of their businesses, and any errors, defects or other disruptions in the performance of our products, or the products of our third party partners upon which certain of our products are dependent, may result in loss of or damage to our customers’ data and disruption to our customers’ businesses, which could harm our reputation. Such product problems could be caused by a variety of factors, including infrastructure changes, power or network outages, fire, flood or other natural disasters, human or software errors, viruses, security breaches, fraud or other malicious activity, spikes in customer usage or distributed denial of service attacks. In addition, we provide continuous updates to our products and these updates may contain undetected errors when first introduced. In the past, we have discovered errors, failures, vulnerabilities and bugs in our updates after they have been released, and similar problems may arise in the future. Real or perceived errors, failures, vulnerabilities or bugs in our products could result in negative publicity, reputational harm, loss of customers, delay in market acceptance of our products and solutions, loss of competitive position, withholding or delay of payment to us, claims by customers for losses sustained by them and potential litigation or regulatory action. In any such event, we may be required to expend additional resources to help correct the problem or we may choose to expend additional resources to take corrective action even where not required. The costs incurred in correcting any material errors, defects or other disruptions could be substantial. In addition, we may not carry insurance sufficient to offset any losses that may result from claims arising from errors, defects or other disruptions in our products.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in our electronic payment services business that could adversely affect our business and/or results of operation.</w:t>
      </w:r>
    </w:p>
    <w:p>
      <w:pPr>
        <w:spacing w:after="0" w:line="1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electronic payment services business facilitates the processing of inbound and outbound payments for our customers. These payments are settled through our sponsoring clearing bank, card payment processors and other third-party electronic payment services providers that we contract with from time to time. Our electronic payment services subject us to a number of risks, including liability for customer costs related to disputed transactions. Additionally, with respect to the processing of electronic payment transactions by our third-party electronic payment services providers, we are exposed to financial risks that could affect our operating results. Electronic payment transactions between our customers and another individual may be returned for various reasons such as insufficient funds or stop payment orders. If we or any of our electronic payment services providers are unable to collect such amounts from the customer’s account, we bear the ultimate risk of loss for the transaction amount.</w:t>
      </w:r>
    </w:p>
    <w:p>
      <w:pPr>
        <w:spacing w:after="0" w:line="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electronic payment services business also exposes us to risk in connection with theft, fraud and other malicious activity on the part of our employees, our partners’ employees, or third parties who improperly gain access to our systems or our customers’ systems. In the event of such activity, we may incur liability to compensate our customers, our customers' stakeholders, or payment partners for losses incurred. While we take reasonable measures to secure our systems and payments infrastructure, it is not possible to entirely eliminate the risk of intentional wrongdoing. In the past, third party bad actors have gained improper access to our systems and our customers’ systems and we experienced financial loss as a result. If third party bad actors again gain access to our systems or our customers’ systems, or our employees or partners’ employees misuse our payment systems for malicious purposes, we could experience significant financial loss that may affect our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payment card networks or bank fees, rules, or practices could harm our business.</w:t>
      </w:r>
    </w:p>
    <w:p>
      <w:pPr>
        <w:spacing w:after="0" w:line="12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do not directly access the payment card networks, such as Visa and MasterCard, that enable our acceptance of credit cards and debit cards, including some types of prepaid cards. Accordingly, we must rely on banks or other payment processors to process transactions and must pay fees for the services. From time to time, payment card networks have increased, and may increase in the future, the interchange fees and assessments that they charge for each transaction which accesses their networks. Our payment card processors may have the right to pass any increases in interchange fees and assessments on to us as well as increase their own fees for processing. Any changes in interchange fees and assessments could increase our operating costs and reduce our operating income. In addition, federal regulators have required Visa and MasterCard to reduce interchange fees, or have opened investigations as to whether Visa’s or MasterCard’s interchange fees and practices violate antitrust law. Any material change in credit or debit card interchange rates, including as a result of changes in interchange fee limitations, could have an adverse effect on our business.</w:t>
      </w:r>
    </w:p>
    <w:p>
      <w:pPr>
        <w:spacing w:after="0" w:line="7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are required by our processors to comply with payment card network operating rules, including special operating rules for payment service providers to merchants, and we have agreed to reimburse our processors for any fines they are assessed by payment card networks as a result of any rule violations by us or our merchants. The payment card networks set and interpret the card operating rules. From time to time, the networks have alleged that various aspects of our business model violate these operating rules. If such allegations are not resolved favorably, they may result in material fines and penalties or require changes in our business practices that may be costly. In addition, the payment card networks could adopt new operating rules or interpret or re-interpret existing rules that we or our processors might find difficult or even impossible to follow, or costly to implement. As a result, we could lose our ability to give consumers the option of using payment cards to fund their payments. If we are unable to accept payment cards or are meaningfully limited in our ability to do so, our business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in our tenant screening services business that could adversely affect our business and/or operating results.</w:t>
      </w:r>
    </w:p>
    <w:p>
      <w:pPr>
        <w:spacing w:after="0" w:line="1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tenant screening services business is subject to a number of complex laws that are subject to varying interpretations, including the Fair Credit Reporting Act (the "FCRA"), the Fair Housing Act, and related regulations. The FCRA continues to be the subject of multiple class-based litigation proceedings, as well as numerous regulatory inquiries and enforcement actions. In addition, entities such as the Federal Trade Commission and the Consumer Financial Protection Bureau have the authority to promulgate rules and regulations that may impact our customers and our business and have made various public statements that tenant screening is an area of focus for such agencies. Although we attempt to structure our tenant screening services to comply with relevant laws and regulations, we have previously been accused of not complying with such laws and regulations and may be found to be in violation of them. In addition we have been and expect in the future to be subject to routine regulatory inquiries, enforcement actions, class-based litigation and/or indemnity demands.</w:t>
      </w:r>
    </w:p>
    <w:p>
      <w:pPr>
        <w:spacing w:after="0" w:line="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previously disclosed, in January 2021, we entered into a settlement agreement with the Federal Trade Commission (the "FTC") to resolve allegations that we failed to comply with certain sections of the FCRA. In connection with the settlement, we paid a fine and agreed to ongoing compliance and reporting obligations. Our failure to comply with these obligations could result in material additional penalties or other actions by the FTC or other agencies, including enjoining our ability to provide screening services.</w:t>
      </w:r>
    </w:p>
    <w:p>
      <w:pPr>
        <w:spacing w:after="0" w:line="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Due to the large number of tenant screening transactions in which we participate, our potential liability in any enforcement action or a class action lawsuit could have a material impact on our business,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w:t>
      </w:r>
    </w:p>
    <w:p>
      <w:pPr>
        <w:spacing w:after="0" w:line="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property management customers stop requiring insurance coverage for their units, if insurance premiums decline or if insureds experience greater than expected losses, our operating results could be harmed.</w:t>
      </w:r>
    </w:p>
    <w:p>
      <w:pPr>
        <w:spacing w:after="0" w:line="3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generate a portion of our revenue by offering insurance-related services through wholly owned subsidiaries. If demand for rental housing declines, or if our property management customers believe that it may decline, these customers may stop requiring insurance coverage for their units to reduce the overall cost of renting and make their rental offerings more competitive. If our property management customers stop tracking and requiring insurance coverage for their units or elect to use other methods of tracking and acquiring insurance coverage, demand for our insurance-related products may drop and our revenues from our insurance related products could be adversely affected.</w:t>
      </w:r>
    </w:p>
    <w:p>
      <w:pPr>
        <w:spacing w:after="0" w:line="7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 the event we are found to be in violation of the legal requirements applicable to our products and services, our business and operating results may be adversely affected.</w:t>
      </w:r>
    </w:p>
    <w:p>
      <w:pPr>
        <w:spacing w:after="0" w:line="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our products and services are highly regulated or intended to be used in connection with other highly regulated activities. Some of the laws and regulations to which our products and services are subject include, without limitation:</w:t>
      </w: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Housing Act;</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FCRA;</w:t>
      </w:r>
    </w:p>
    <w:p>
      <w:pPr>
        <w:spacing w:after="0" w:line="49" w:lineRule="exact"/>
        <w:rPr>
          <w:rFonts w:ascii="Times New Roman" w:cs="Times New Roman" w:eastAsia="Times New Roman" w:hAnsi="Times New Roman"/>
          <w:sz w:val="18"/>
          <w:szCs w:val="18"/>
          <w:i w:val="1"/>
          <w:iCs w:val="1"/>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VII of the Civil Rights Act;</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Telephone Consumer Protection Act;</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Americans with Disabilities Act;</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Signatures in Global and National Commerce Act; and</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Trade Commission Act;</w:t>
      </w:r>
    </w:p>
    <w:p>
      <w:pPr>
        <w:spacing w:after="0" w:line="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State law equivalents of the foregoing, plus various state regulations related to insurance licensing and solicitation, utility billing practices and privacy also apply to certain of our products and services. In addition, the evolution and expansion of our products and services may subject us to additional risks and regulatory requirements. For example, as our electronic payments services business evolves, we may become directly subject to limitations, laws and regulations governing money transmission and anti-money laundering.</w:t>
      </w:r>
    </w:p>
    <w:p>
      <w:pPr>
        <w:spacing w:after="0" w:line="1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In addition, we periodically undergo examinations, audits and investigations related to our services, including those related to the affairs of insurance companies and agencies and electronic payment services providers. Such examining, auditing, and investigating authorities are generally vested</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with relatively broad discretion to grant, renew and revoke licenses and approvals, to implement and interpret rules and regulations, levy fines and penalties, and bring enforcement actions. While we have implemented various programs, processes and controls focused on compliance with applicable laws and regulations throughout our business, there is no guarantee that we will not be subject to fines, penalties or other regulatory actions in one or more jurisdictions, or be required to adjust our business practices to accommodate future regulatory requirements. In the event that we are found to be in violation of our legal, regulatory or contractual requirements, we may be subject to monetary fines or penalties, cease-and-desist orders, mandatory product changes, or other liabilities that could have an adverse effect on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6" w:name="page17"/>
    <w:bookmarkEnd w:id="16"/>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relationships with third-party partners that enable certain functionality within our solutions, our business and operating results may be harmed.</w:t>
      </w:r>
    </w:p>
    <w:p>
      <w:pPr>
        <w:spacing w:after="0" w:line="6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Certain functionality of our services is provided, supported or enhanced by third parties, including without limitation functions related to customer relationship management, utility billing management, cloud computing, texting, emailing, electronic payments, tenant screening, and insurance related offerings. If our third-party partners cease providing their products, if such third parties are acquired by competitors or if we are otherwise unable to integrate with such third-party products, our solutions and demand for our solutions could be adversely impacted and our business and operating results would be harmed. In addition, our competitors may be more effective than us in cost-effectively building relationships with third parties that enhance their products and services, allow them to provide more competitive pricing, or offer other benefits to their customers.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customer base and revenue could be impaired, which could negatively impact our operating results.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ensure that our solutions interoperate and keep pace with other technology, our solutions may become less competitive and our operating results may be harmed.</w:t>
      </w:r>
    </w:p>
    <w:p>
      <w:pPr>
        <w:spacing w:after="0" w:line="6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depend on the interoperability of our platform with web browsers, and in the case of our mobile applications - operating systems, that we do not control. Any changes in such web browsers or systems that degrade the functionality of our solutions or give preferential treatment to competitive services could adversely affect the adoption and usage of our solutions. In addition, to deliver high quality solutions, we will need to continuously enhance and modify our functionality to keep pace with technical, contractual, and other changes in Internet-related hardware, mobile operating systems such as iOS and Android, browsers, communication, network and database technologies. We may not be successful in developing enhancements and modifications that operate effectively with these devices, operating systems, web browsers or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solutions, our solutions may become less competitive, and our operating results could be adversely affected.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Matters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rights could impair our ability to protect our proprietary technology and our brands, which could harm our business.</w:t>
      </w:r>
    </w:p>
    <w:p>
      <w:pPr>
        <w:spacing w:after="0" w:line="6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currently rely on patent, trademark, copyright and trade secret laws, trade secret protection, and confidentiality or license agreements with our employees, customers, partners and others to protect our intellectual property rights. In addition, we utilize third party platforms to host our code for version control and collaboration and rely on the security features made available by such platforms to prevent unauthorized access to our code. Our success and ability to compete depend, in part, on our ability to continue to protect our intellectual property, including our code, proprietary technology and brands. If we are unable to protect our proprietary rights adequately or the security controls made available by our code hosting partners are compromised and our code is improperly accessed, which has previously occurred and could occur again in the future, our competitors could use the intellectual property we have developed to enhance their own products and services, which could harm our business. In addition, third parties may independently develop technologies or products that compete with ours, and we may be unable to prevent such competition.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7" w:name="page18"/>
    <w:bookmarkEnd w:id="17"/>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6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success depends, in part, on us refraining from infringing upon the intellectual property rights of others. Our competitors, as well as a number of other entities and individuals, may legally own or claim to own intellectual property relating to our technology or solutions, including without limitation technology we develop and build internally and/or acquire. From time to time, our competitors or other third parties may claim that we are infringing upon their intellectual property rights. Any claims or litigation, regardless of merit, could cause us to incur significant expenses, distract management, and, if successfully asserted against us, could require that we pay substantial damages, settlement costs or ongoing royalty payments, require that we comply with other unfavorable license and other terms, or prevent us from offering our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solutions contain both open source and third-party software, which may pose risks to our proprietary source code and/or introduce security vulnerabilities, and could have a material adverse impact on our business and operating results.</w:t>
      </w:r>
    </w:p>
    <w:p>
      <w:pPr>
        <w:spacing w:after="0" w:line="3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use open source software in our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We also use third-party commercial software in our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or open source software providers will continue to maintain and update the third-party software that we use. Should development of in-use third-party software cease, significant engineering effort may be required to create an in-house solution. These risks could also be difficult to eliminate or manage, and could have a material adverse impact on our business and operating results.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make substantial investments across our organization to grow our business, which may impact profitability.</w:t>
      </w:r>
    </w:p>
    <w:p>
      <w:pPr>
        <w:spacing w:after="0" w:line="12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To implement our business and growth strategy, we have made and will continue to make substantial investments across our organization and, as a result, our expenses may increase significantly impacting profitability. For example, we intend to continue to make substantial investments in, among other things: our research and product development organization to enhance the ease of use and functionality of our solutions and develop new products; our sales and marketing organization, including expansion of our direct sales organization and marketing programs, to increase the size of our customer base and increase adoption and utilization of new and existing Value Added Services by our new and existing customers; and maintaining and expanding our technology infrastructure and operational support to promote the security and availability of our products and solutions. Even if we are successful in growing our customer base and increasing revenue from new and existing customers, we may not be able to generate additional revenue in an amount that is sufficient to cover our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period-to-period comparisons of our results may not be meaningful.</w:t>
      </w:r>
    </w:p>
    <w:p>
      <w:pPr>
        <w:spacing w:after="0" w:line="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We may experience significant fluctuations in our operating results from period to period, including significant losses. This may make it difficult for us to effectively allocate our resources to achieve our strategic goals. Furthermore, if our quarterly results fall below the expectations of investors or any securities analysts who follow our stock, or below any financial guidance we may provide, the price of our common stock could decline substantially.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8" w:name="page19"/>
    <w:bookmarkEnd w:id="18"/>
    <w:p>
      <w:pPr>
        <w:ind w:right="2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There are risks associated with potential future indebtedness that may adversely affect our financial condition and future financing agreements may contain restrictive operating and financial covenants.</w:t>
      </w:r>
    </w:p>
    <w:p>
      <w:pPr>
        <w:spacing w:after="0" w:line="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incur indebtedness in the future and/or enter into new financing arrangements. Our ability to meet expenses, to remain in compliance with the covenants under any future debt instruments, and to pay fees, interest and principal on our indebtedness will depend on, among other things, our operating performance and market conditions. Accordingly, our cash flow may not be sufficient to allow us to pay principal and interest on future indebtedness and meet our other business and customer obligations.</w:t>
      </w:r>
    </w:p>
    <w:p>
      <w:pPr>
        <w:spacing w:after="0" w:line="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addition, increases in interest rates have increased the cost of borrowing and volatility in financial markets could impact our access to, or further increase the cost of, any new financing arrangements we may enter into. Past disruptions in the credit and equity markets made it more difficult for many businesses to obtain financing on acceptable terms. These conditions tended to increase the cost of borrowing in the past and if they recur, our borrowing costs could increase and it may be more difficult to obtain financing for our operations or investments. We may not be able to obtain financing on terms acceptable to us, if at all.</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"Internal Revenue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3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Class A common stock has been, and is likely to continue to be, highly volatile, and fluctuations in the price of our Class A common stock could cause our stockholders to lose all or part of their investments. There are a wide variety of factors, many of which are outside our control, that could cause fluctuations in the market price of our Class A common stock, including without limitation:</w:t>
      </w:r>
    </w:p>
    <w:p>
      <w:pPr>
        <w:spacing w:after="0" w:line="61"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our operating results;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recommendations by securities analysts;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services or technologies;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valuation or the valuation of similarly situated companies;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management team;</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by insiders or the market’s perception that insiders intend to sell their shares;</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 including sales upon exercise of outstanding options or vesting of equity awards; and</w:t>
      </w:r>
    </w:p>
    <w:p>
      <w:pPr>
        <w:spacing w:after="0" w:line="4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performance of the equity markets.</w:t>
      </w:r>
    </w:p>
    <w:p>
      <w:pPr>
        <w:spacing w:after="0" w:line="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Such factors could cause the market price of our Class A common stock to decline or make it more difficult for you to sell your Class A common stock at a time and price that you deem appropriate, and could impair our ability to raise capital through the sale of additional equity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9" w:name="page20"/>
    <w:bookmarkEnd w:id="19"/>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concentrates voting control with a limited number of stockholders, including our executive officers, directors and principal stockholders, effectively limiting your ability to influence corporate matters.</w:t>
      </w:r>
    </w:p>
    <w:p>
      <w:pPr>
        <w:spacing w:after="0" w:line="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As of December 31, 2022, the holders of the outstanding shares of our Class B common stock, including our executive officers, directors, and principal stockholders, collectively held approximately 88%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control the election of a majority of our directors and thereby have the power to control our affairs and policies, including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appointment of management and strategic decisions, as well as matters that are submitted to a vote by our holders of our common stock. The interests of</w:t>
      </w:r>
    </w:p>
    <w:p>
      <w:pPr>
        <w:spacing w:after="0" w:line="2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principal stockholders may be inconsistent with or adverse to those of holders of our Class A common stock. This concentrated control may also have the effect of delaying, deterring or preventing a change-in-control transaction, depriving our stockholders of an opportunity to receive a premium for their capital stock or negatively affecting the market price of our Class A common stock. In addition, 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that our capital structure may have on our stock price.</w:t>
      </w:r>
    </w:p>
    <w:p>
      <w:pPr>
        <w:spacing w:after="0" w:line="10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Many investment funds are precluded from investing in companies that are not included in major indices, and these funds would be unable to purchase our Class A common stock. Exclusion from these and other indices could make our Class A common stock less attractive to investors and, as a result, the market price of our Class A common stock could be adversely affected. In addition, several shareholder advisory firms have announced their opposition to the use of multiple class structures. As a result, shareholder advisory firms may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 and may repurchase stock in accordance with our Share Repurchase Program.</w:t>
      </w:r>
    </w:p>
    <w:p>
      <w:pPr>
        <w:spacing w:after="0" w:line="1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never declared, and we do not anticipate declaring or paying, any cash dividends to holders of our Class A common stock in the foreseeable future. In addition, the terms of our future borrowing arrangements we may enter into from time to time may restrict our ability to pay dividends. Consequently, investors may need to rely on sales of our Class A common stock after price appreciation, which may never occur, as the only way to realize any future gains on their investment.</w:t>
      </w:r>
    </w:p>
    <w:p>
      <w:pPr>
        <w:spacing w:after="0" w:line="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Price appreciation, which may never occur, may be further impacted by repurchases of our shares in accordance with our Share Repurchase Program. Repurchases of our shares could increase the volatility of the trading price of our shares, which could have a material adverse impact on the trading price of our shares. Similarly, the future announcement of the termination or suspension of the Share Repurchase Program, or our decision not to utilize the full authorized repurchase amount under the Share Repurchase Program, could result in a decrease in the trading price of our shares. In addition, the Share Repurchase Program could have the impact of diminishing our cash reserves, which may impact our ability to finance our growth, complete acquisitions and execute our strategic plan. For additional information regarding our Share Repurchase Program, refer to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 authorize the issuance of preferred stock with powers, preferences and rights that may be senior to our common stock, provide for the adoption of a staggered three-class Board of Directors, prohibit our stockholders from filling vacancies on our Board of Directors or calling special stockholder meetings, require the vote of at least two-thirds of the combined voting power of our outstanding capital stock to approve amendments to our certificate of incorporation or bylaws, and require the approval of the holders of at least a majority of the outstanding shares of our Class B common stock voting as a separate class prior to consummating a change-in-control transaction. 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 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could adversely affect our business, operating results, or financial condition. Additionally, the dramatic increase in the cost of directors’ and officers’ liability insurance may make it more expensive for us to obtain directors’ and officers’ liability insurance in the future and may require us to opt for lower overall policy limits and coverage or to forgo insurance that we may otherwise rely on to cover significant defense costs, settlements, and damages awarded to plaintiffs, or incur substantially higher costs to maintain the same or similar coverage. These factors could make it more difficult for us to attract and retain qualified executive officers and members of our board of directors.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Macroeconomic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and regional economic conditions could harm our business.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Adverse global and regional economic conditions such as turmoil affecting the banking system or financial markets, including, but not limited to, recessionary or inflationary pressures, tightening in the credit markets, extreme volatility or distress in the financial markets, supply chain issues, reduced consumer confidence or economic activity, government fiscal and tax policies, the ongoing impact of COVID-19, geopolitical events, and other negative financial news or macroeconomic developments could have a material adverse impact on the demand for our products and services or cause us to experience increased costs that could negatively affect our operating results.</w:t>
      </w:r>
    </w:p>
    <w:p>
      <w:pPr>
        <w:spacing w:after="0" w:line="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regulations and laws are continuously evolving and unfavorable changes could adversely affect our operating results, subject us to litigation or governmental investigation, or otherwise harm our business.</w:t>
      </w:r>
    </w:p>
    <w:p>
      <w:pPr>
        <w:spacing w:after="0" w:line="3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addition to regulations and laws directly applicable to our products and services, we are subject to general business regulations and laws. Unfavorable regulations, laws, and administrative or judicial decisions interpreting or applying laws and regulations applicable to our business could subject us to litigation or governmental investigation and increase our cost of doing business, any of which may adversely affect our operating results. For example, the Inflation Reduction Act of 2022 contains several revisions to the Internal Revenue Code, including a 15% corporate minimum income tax on adjusted financial statement income for companies with profits greater than $1.0 billion and a nondeductible 1% excise tax on corporate stock repurchases in tax years beginning after December 31, 2022. While the foregoing tax law changes have no immediate effect on our business, such changes or similar changes may adversely affect our operating results in the future. In addition, 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such taxes would represent and could ultimately result in a negative impact on our operating results. 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Health epidemics, including the COVID-19 pandemic, could have a material adverse impact on our operations, employees culture, customers, and business partners.</w:t>
      </w:r>
    </w:p>
    <w:p>
      <w:pPr>
        <w:spacing w:after="0" w:line="7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COVID-19 pandemic continues to have, and a future public health crisis could have, repercussions across local, regional, and global economies and financial markets. Travel restrictions, quarantines, and similar government orders to control the spread of COVID-19 or a future virus may result in business closures, work stoppages, slowdowns, and cancellation or postponement of events that, among other effects, could negatively impact our operations, as well as the operations of our customers, and business partners. The demand for our products and services, as well as our operating results, could be adversely impacted due to customers delaying decisions to adopt our products and services or terminating their use of our products and services, as they seek to reduce or delay spending to mitigate the impact of the COVID-19 pandemic or a future public health crisis on their businesses.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1" w:name="page22"/>
    <w:bookmarkEnd w:id="21"/>
    <w:p>
      <w:pPr>
        <w:ind w:left="8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may cause damage or disruption to our operations, commerce and the global economy, and have a negative effect on our business and operations.</w:t>
      </w:r>
    </w:p>
    <w:p>
      <w:pPr>
        <w:spacing w:after="0" w:line="51" w:lineRule="exact"/>
        <w:rPr>
          <w:sz w:val="20"/>
          <w:szCs w:val="20"/>
          <w:color w:val="auto"/>
        </w:rPr>
      </w:pPr>
    </w:p>
    <w:p>
      <w:pPr>
        <w:jc w:val="both"/>
        <w:ind w:left="80" w:firstLine="648"/>
        <w:spacing w:after="0" w:line="253" w:lineRule="auto"/>
        <w:rPr>
          <w:sz w:val="20"/>
          <w:szCs w:val="20"/>
          <w:color w:val="auto"/>
        </w:rPr>
      </w:pPr>
      <w:r>
        <w:rPr>
          <w:rFonts w:ascii="Times New Roman" w:cs="Times New Roman" w:eastAsia="Times New Roman" w:hAnsi="Times New Roman"/>
          <w:sz w:val="18"/>
          <w:szCs w:val="18"/>
          <w:color w:val="auto"/>
        </w:rPr>
        <w:t>Our business operations are subject to interruption by natural disasters, flooding, fire, power shortages, pandemics, terrorism, political unrest, telecommunications failure, vandalism, cyber-attacks, geopolitical instability, war, the effects of climate change (such as drought, wildfires, hurricanes, increased storm severity and sea level rise) and other events beyond our control. Although we maintain crisis management and disaster response plans, such events could make it difficult or impossible for us to deliver our services to our customers, could decrease demand for our services, and could cause us to incur substantial expense. Our insurance may not be sufficient to cover losses or additional expenses that we may sustain. The majority of our research and development activities, offices, information technology systems, and other critical business operations are located near major seismic faults in California. Customer data could be lost, significant recovery time could be required to resume operations and our financial condition and operating results could be adversely affected in the event of a major natural disaster or catastrophic event. In addition, the impacts of climate change on the global economy and our industry are rapidly evolving. We may be subject to increased regulations, reporting requirements, standards or expectations regarding the environmental impacts of our business.</w:t>
      </w:r>
    </w:p>
    <w:p>
      <w:pPr>
        <w:spacing w:after="0" w:line="200" w:lineRule="exact"/>
        <w:rPr>
          <w:sz w:val="20"/>
          <w:szCs w:val="20"/>
          <w:color w:val="auto"/>
        </w:rPr>
      </w:pPr>
    </w:p>
    <w:p>
      <w:pPr>
        <w:spacing w:after="0" w:line="247"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8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89" w:lineRule="exact"/>
        <w:rPr>
          <w:sz w:val="20"/>
          <w:szCs w:val="20"/>
          <w:color w:val="auto"/>
        </w:rPr>
      </w:pPr>
    </w:p>
    <w:p>
      <w:pPr>
        <w:jc w:val="both"/>
        <w:ind w:left="80"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Santa Barbara, California, where we lease approximately 86,000 square feet of space. We also lease office space in several other U.S. cities. We do not own any real estate.</w:t>
      </w:r>
    </w:p>
    <w:p>
      <w:pPr>
        <w:spacing w:after="0" w:line="54" w:lineRule="exact"/>
        <w:rPr>
          <w:sz w:val="20"/>
          <w:szCs w:val="20"/>
          <w:color w:val="auto"/>
        </w:rPr>
      </w:pPr>
    </w:p>
    <w:p>
      <w:pPr>
        <w:jc w:val="both"/>
        <w:ind w:left="80" w:right="20" w:firstLine="648"/>
        <w:spacing w:after="0" w:line="282" w:lineRule="auto"/>
        <w:rPr>
          <w:sz w:val="20"/>
          <w:szCs w:val="20"/>
          <w:color w:val="auto"/>
        </w:rPr>
      </w:pPr>
      <w:r>
        <w:rPr>
          <w:rFonts w:ascii="Times New Roman" w:cs="Times New Roman" w:eastAsia="Times New Roman" w:hAnsi="Times New Roman"/>
          <w:sz w:val="18"/>
          <w:szCs w:val="18"/>
          <w:color w:val="auto"/>
        </w:rPr>
        <w:t>We believe our current facilities are adequate for our current needs and that, should it be needed, suitable additional or alternative space will be available to us to accommodate any such expansion of our operations.</w:t>
      </w:r>
    </w:p>
    <w:p>
      <w:pPr>
        <w:spacing w:after="0" w:line="117"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364" w:lineRule="exact"/>
        <w:rPr>
          <w:sz w:val="20"/>
          <w:szCs w:val="20"/>
          <w:color w:val="auto"/>
        </w:rPr>
      </w:pPr>
    </w:p>
    <w:p>
      <w:pPr>
        <w:jc w:val="both"/>
        <w:ind w:left="8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labor,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160" w:lineRule="exact"/>
        <w:rPr>
          <w:sz w:val="20"/>
          <w:szCs w:val="20"/>
          <w:color w:val="auto"/>
        </w:rPr>
      </w:pPr>
    </w:p>
    <w:p>
      <w:pPr>
        <w:jc w:val="both"/>
        <w:ind w:left="80"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regarding legal proceedings, refer to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our Consolidated Financial Statements.</w:t>
      </w:r>
    </w:p>
    <w:p>
      <w:pPr>
        <w:spacing w:after="0" w:line="116"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820" w:right="260" w:hanging="809"/>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i w:val="1"/>
          <w:iCs w:val="1"/>
          <w:color w:val="auto"/>
        </w:rPr>
        <w:t>Market for our Common Stock</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"APPF".</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Our Class B common stock is not listed or traded on any stock exchange.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Holders of Record</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February 2, 2023, there were 35 holders of record of our Class A common stock and 72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do not anticipate declaring or paying any cash dividends to holders of our capital stock in the foreseeable future and intend to retain all future earnings for use in the growth of our business.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performance graph compares the cumulative total return on our Class A common stock with that of the S&amp;P 500 Index and the NASDAQ Computer Index. This chart assumes $100 was invested in our Class A common stock at the close of market on December 31, 2017, and in the S&amp;P 500 Index and the NASDAQ Computer Index, and assumes the reinvestment of any dividends.</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200025</wp:posOffset>
            </wp:positionV>
            <wp:extent cx="5254625" cy="4114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Exchange Act or incorporated by reference into any of our other filings under the Securities Act or the Exchange Act, except as shall be expressly set forth by specific reference in such filing.</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Purchases of Equity Securities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3" w:name="page24"/>
    <w:bookmarkEnd w:id="2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4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the related notes included elsewhere in this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of this Annual Report entitled "Risk Factors". See the section of this Annual Report entitled “Forward-Looking Statements” for additional information.</w:t>
      </w:r>
    </w:p>
    <w:p>
      <w:pPr>
        <w:spacing w:after="0" w:line="20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discusses 2022 and 2021 items and year-over-year comparisons between 2022 and 2021. For discussion of 2020 items and year-over-year comparisons between 2021 and 2020, refer to Part II. Item 7. “Management's Discussion and Analysis of Financial Condition and Results of Operations” of our Annual Report on Form 10-K for the year ended December 31, 2021.</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provider of cloud business management solutions for the real estate industry. Our solutions are designed to enable our property manager customers to digitally transform their businesses, address critical business operations and deliver a better customer experience. Our products assist our customers with an interconnected and growing network of stakeholders in their business ecosystems, including property owners, real estate investment managers, rental prospects, residents, and service providers, and provide key functionality related to critical transactions across the real estate lifecycle, including screening potential tenants, sending and receiving payments and even providing insurance-related risk mitigation services. AppFolio’s intuitive interface, coupled with streamlined and automated workflows, make it easier for our customers to eliminate redundant and manual processes so they can deliver a great experience for their network of stakeholders while improving financial and operational performance.</w:t>
      </w:r>
    </w:p>
    <w:p>
      <w:pPr>
        <w:spacing w:after="0" w:line="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work environment to motivate and develop our valuable human capital. As we navigate the challenges of increased competition for talent, we continue to evolve our compensation and employee reward practices.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Property management units under management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that our ability to increase our number of property management units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is an indicator of our market penetration, growth, and potential future business opportunities. We define property management units under management as active or committed units under management at the period end date. We had 7.3 million and 6.3 million property management units under management as of December 31, 2022 and 2021,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historically experienced seasonality in our Value Added Services revenue, primarily in our tenant screening services, due to seasonally higher leasing activities in the second quarter which increases tenant screening transactions in that period. We generally experience decreased tenant screening revenue in the fourth quarter, when seasonally lower leasing activities occur. Corresponding to the higher tenant applications in the second quarter, our property manager customers typically experience an increase in new tenants in the third quarter, resulting in a higher demand for our insurance-related risk mitigation services in that period. As a result of the seasonality of the rental lifecycle and the growth of our business, we have typically experienced a sequential increase in revenue in the first, second and third quarters and a sequential decline in revenue in the fourth quarter of each of our most recent fiscal years. These seasonal factors could be heightened or lessened due to the impact of a change in macroeconomic factors that could impact tenant behavior or a change in the adoption rate of our other less seasonally impacted Value Added Services. Although these seasonal factors are common in the real estate industry, historical patterns should not be considered a reliable indicator of our future sales activity 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solutions and certain of our Value Added Services are offered on a subscription basis. Our core solutions subscription fees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also offer certain Value Added Services, which are not covered by our subscription fees, on a per-use basis. Usage-based fees are charged either as a percentage of the transaction amount (e.g., for certain of our payment services) or on a flat fee per transaction basis with no minimum usage commitments (e.g., for our tenant screening and risk mitigation services). We recognize revenue for usage-based services in the period the service is rendered. Our payments services fees are recorded gross of the interchange and payment processing related fees. We generally invoice our usage-based services on a monthly basis or collect the fee at the time of service. A significant majority of our Value Added Services revenue comes from the use of our payment services, tenant screening services, and risk mitigation services.</w:t>
      </w:r>
    </w:p>
    <w:p>
      <w:pPr>
        <w:spacing w:after="0" w:line="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charge our customers for onboarding assistance to our core solutions and certain other non-recurring services. We generally invoice for these other services in advance of the services being completed and recognize revenue in the period the service is rendered. We generate revenue from the legacy customers of previously acquired businesses by providing services outside of our property management core solution platform. Revenue derived from these services is recorded in </w:t>
      </w:r>
      <w:r>
        <w:rPr>
          <w:rFonts w:ascii="Times New Roman" w:cs="Times New Roman" w:eastAsia="Times New Roman" w:hAnsi="Times New Roman"/>
          <w:sz w:val="18"/>
          <w:szCs w:val="18"/>
          <w:i w:val="1"/>
          <w:iCs w:val="1"/>
          <w:color w:val="auto"/>
        </w:rPr>
        <w:t>Other revenue.</w:t>
      </w:r>
      <w:r>
        <w:rPr>
          <w:rFonts w:ascii="Times New Roman" w:cs="Times New Roman" w:eastAsia="Times New Roman" w:hAnsi="Times New Roman"/>
          <w:sz w:val="18"/>
          <w:szCs w:val="18"/>
          <w:color w:val="auto"/>
        </w:rPr>
        <w:t xml:space="preserve"> As of December 31, 2022 and 2021, we had 18,441 and 17,215 property management customers, respectively.</w:t>
      </w: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Revenue (Exclusive of Depreciation and Amortization). </w:t>
      </w:r>
      <w:r>
        <w:rPr>
          <w:rFonts w:ascii="Times New Roman" w:cs="Times New Roman" w:eastAsia="Times New Roman" w:hAnsi="Times New Roman"/>
          <w:sz w:val="18"/>
          <w:szCs w:val="18"/>
          <w:color w:val="auto"/>
        </w:rPr>
        <w:t>Many of our Value Added Services are facilitated by third-party service providers.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of revenue paid to these third-party service providers includes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of personnel-related costs for our employees focused on sales and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Research and Product Development. </w:t>
      </w:r>
      <w:r>
        <w:rPr>
          <w:rFonts w:ascii="Times New Roman" w:cs="Times New Roman" w:eastAsia="Times New Roman" w:hAnsi="Times New Roman"/>
          <w:sz w:val="18"/>
          <w:szCs w:val="18"/>
          <w:color w:val="auto"/>
        </w:rPr>
        <w:t>Research and product development expense consists of personnel-related costs for our employees focused on</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product development (including salaries, performance-based compensation,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consists of personnel-related costs for employees in our executive,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technology, human resources, legal, compliance, corporate development and administrative organizations (including salaries, performance-based cash compensation, benefits, and stock-based compensation). In addition, general and administrative expense includes fees for third-party professional services (including audit, legal, compliance, and tax services), transaction costs related to sales of subsidiary businesses, regulatory fees, other corporate expenses, impairment of long-lived assets, and allocated shared and other costs.</w:t>
      </w:r>
    </w:p>
    <w:p>
      <w:pPr>
        <w:spacing w:after="0" w:line="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includes depreciation of property and equipment, amortization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includes gain on sale of our equity-method investments, gains and losses associated with the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and property and equipment, and income from certain post-closing transition services provided by us to MyCase, Inc. during fiscal year 2021.</w:t>
      </w:r>
    </w:p>
    <w:p>
      <w:pPr>
        <w:spacing w:after="0" w:line="5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income includes interest earned on investment securities, amortization and accretion of the premium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paid from the purchase of investment securities, and interest earned on cash deposited in our bank accounts. Interest expense includes interest paid on any outstanding borrowings during the year ended December 31, 2020.</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Provision for income taxes consists of federal and state income taxes in the United States.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6"/>
                <w:szCs w:val="16"/>
                <w:color w:val="auto"/>
              </w:rPr>
            </w:pPr>
          </w:p>
        </w:tc>
      </w:tr>
      <w:tr>
        <w:trPr>
          <w:trHeight w:val="23"/>
        </w:trPr>
        <w:tc>
          <w:tcPr>
            <w:tcW w:w="6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tcPr>
          <w:p>
            <w:pPr>
              <w:spacing w:after="0"/>
              <w:rPr>
                <w:sz w:val="17"/>
                <w:szCs w:val="17"/>
                <w:color w:val="auto"/>
              </w:rPr>
            </w:pPr>
          </w:p>
        </w:tc>
      </w:tr>
      <w:tr>
        <w:trPr>
          <w:trHeight w:val="23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solutions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Services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112,513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31 %</w:t>
            </w:r>
          </w:p>
        </w:tc>
      </w:tr>
      <w:tr>
        <w:trPr>
          <w:trHeight w:val="21"/>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revenue for the year ended December 31, 2022, compared to the prior year, was primarily attributable to growth in our base of property management customers driving an increase in the number of property management units under management, and growth in users of our subscription and usage-based services. During the year ended December 31, 2022, we experienced growth of 15% in the number of property management units under management resulting from 7% growth in the number of property management customers, compared to the prior year.</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payment services experienced increased adoption during the comparative periods as residents, property managers, and owners transacted more business online. Our tenant screening and risk mitigation services usage also increased during the comparative periods in line with the increase in units under management. A significant majority of our Value Added Services revenue comes from the use of our payment services, tenant screening services, and the risk mitigation services we make available to customers.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7"/>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9"/>
                <w:szCs w:val="19"/>
                <w:color w:val="auto"/>
              </w:rPr>
            </w:pPr>
          </w:p>
        </w:tc>
        <w:tc>
          <w:tcPr>
            <w:tcW w:w="98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Pr>
          <w:p>
            <w:pPr>
              <w:spacing w:after="0"/>
              <w:rPr>
                <w:sz w:val="16"/>
                <w:szCs w:val="16"/>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191,826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143,944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47,882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included above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2,640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616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4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for the year ended December 31, 2022, increased primarily due to increases in expenditures to third-party service providers related to the delivery of our Value Added Services of $34.1 million compared to the prior year. This increase was directly associated with the increased adoption and utilization of our Value Added Services. Personnel-related costs, including performance-based compensation, necessary to support growth and key investments, increased $12.5 million for the year ended December 31, 2022, compared to the prior year. Allocated shared and other costs increased by $1.2 million for the year ended December 31, 2022, compared to the prior year, primarily related to platform infrastructure, software and other costs incurred in support of our overall growth.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percentage of revenue, cost of revenue (exclusive of depreciation and amortization) fluctuates primarily based on the mix of Value Added Services revenue in the period, given the varying percentage of revenue we pay to third-party service providers. We expect cost of revenue (exclusive of depreciation and amortization) for the year ending December 31, 2023 to decrease as a percentage of revenue compared to the year ended December 31, 2022, as we expect to leverage headcount efficiencies to offset an increase in expenditures to third-party service providers related to the delivery of our Value Added Services.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gridSpan w:val="4"/>
          </w:tcPr>
          <w:p>
            <w:pPr>
              <w:jc w:val="right"/>
              <w:ind w:right="9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17"/>
                <w:szCs w:val="17"/>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107,398</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73,200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34,198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included above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8,681</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6,352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 for the year ended December 31, 2022 increased primarily due to increases in personnel-related costs, including performance-based compensation, necessary to support growth in the business of $23.9 million compared to the prior year. Advertising and promotion costs increased by $2.1 million primarily due to increased advertising and promotion spending to support the growth and key investments in the business. Allocated shared and other costs increased by $8.2 million year ended December 31, 2022 compared to the prior year, primarily related to software and other costs incurred in support of our overall growth.</w:t>
      </w:r>
    </w:p>
    <w:p>
      <w:pPr>
        <w:spacing w:after="0" w:line="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sales and marketing expense for the year ending December 31, 2023 to decrease as a percentage of revenue compared to the year ended December 31, 2022, as we continue to leverage headcount efficiencies.</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Product Development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6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10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17"/>
                <w:szCs w:val="17"/>
                <w:color w:val="auto"/>
              </w:rPr>
            </w:pPr>
          </w:p>
        </w:tc>
      </w:tr>
      <w:tr>
        <w:trPr>
          <w:trHeight w:val="23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111,118</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65,980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45,138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included above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16,030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5,457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10,573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product development expense for the year ended December 31, 2022 increased primarily due to an increase in personnel-related costs including performance-based compensation, net of capitalized software development costs, of $42.8 million, compared to the prior year. Allocated shared and other costs increased by $2.3 million year ended December 31, 2022 compared to the prior year, primarily related to software and other costs incurred in support of our overall growth.</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research and product development expenses for the year ending December 31, 2023 to increase as a percentage of revenue compared to the year ended December 31, 2022, as we continue to invest in our research and product development organization to support our strategy to expand the use cases of our product capabilities to the larger customer segment.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gridSpan w:val="4"/>
          </w:tcPr>
          <w:p>
            <w:pPr>
              <w:jc w:val="right"/>
              <w:ind w:right="103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17"/>
                <w:szCs w:val="17"/>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100,792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57,279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43,513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included above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13,584</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8,053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General and administrative expense for the year ended December 31, 2022 increased primarily due to a net ROU and other lease-related asset impairment of $22.0 million. Personnel-related costs, including performance-based compensation, increased $15.7 million for the year ended December 31, 2022, compared to the prior year. Allocated shared and other costs increased $3.9 million for the year ended December 31, 2022, compared to the prior year, for professional fees, education and training, insurance, software and other costs to support our growth. Additionally, offsetting general and administrative expense for the year ended December 31, 2021 was a $1.9 million insurance recovery related to our previously disclosed settlement with the Federal Trade Commission (the "FTC").</w:t>
      </w:r>
    </w:p>
    <w:p>
      <w:pPr>
        <w:spacing w:after="0" w:line="7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Excluding the impairment charge, we expect general and administrative expenses for the year ending December 31, 2023 to remain flat as a percentage of revenue compared to the year ended December 31, 2022.</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6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Pr>
          <w:p>
            <w:pPr>
              <w:spacing w:after="0"/>
              <w:rPr>
                <w:sz w:val="17"/>
                <w:szCs w:val="17"/>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33,119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30,845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8"/>
                <w:szCs w:val="18"/>
                <w:color w:val="auto"/>
              </w:rPr>
              <w:t>2,274</w:t>
            </w:r>
          </w:p>
        </w:tc>
        <w:tc>
          <w:tcPr>
            <w:tcW w:w="8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16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year ended December 31, 2022 increased, compared to the prior year, primarily due to increased amortization expense associated with accumulated capitalized software development balances.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depreciation and amortization expenses for the year ending December 31, 2023 to decrease as a percentage of revenue compared to the year ended December 31, 2022 due to a decrease in amortization of accumulated capitalized software development balances.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gridSpan w:val="4"/>
          </w:tcPr>
          <w:p>
            <w:pPr>
              <w:jc w:val="right"/>
              <w:ind w:right="9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80" w:type="dxa"/>
            <w:vAlign w:val="bottom"/>
          </w:tcPr>
          <w:p>
            <w:pPr>
              <w:spacing w:after="0"/>
              <w:rPr>
                <w:sz w:val="17"/>
                <w:szCs w:val="17"/>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4,469</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13,111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(8,642)</w:t>
            </w:r>
          </w:p>
        </w:tc>
        <w:tc>
          <w:tcPr>
            <w:tcW w:w="88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Other income, net for the year ended December 31, 2022 decreased, compared to the prior year, primarily due to a gain of $12.8 million related to the sale of our investment in SecureDocs during the year ended December 31, 2021. The decrease was offset by a gain of $4.2 million associated with the WegoWise Transaction during the year ended December 31, 2022. For additional information regarding the WegoWise Transaction, refer to Note 3, </w:t>
      </w:r>
      <w:r>
        <w:rPr>
          <w:rFonts w:ascii="Times New Roman" w:cs="Times New Roman" w:eastAsia="Times New Roman" w:hAnsi="Times New Roman"/>
          <w:sz w:val="18"/>
          <w:szCs w:val="18"/>
          <w:i w:val="1"/>
          <w:iCs w:val="1"/>
          <w:color w:val="auto"/>
        </w:rPr>
        <w:t>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Subsidiary Businesses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7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17"/>
                <w:szCs w:val="17"/>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1,402</w:t>
            </w:r>
          </w:p>
        </w:tc>
        <w:tc>
          <w:tcPr>
            <w:tcW w:w="86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706</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8"/>
                <w:szCs w:val="18"/>
                <w:color w:val="auto"/>
              </w:rPr>
              <w:t>696</w:t>
            </w:r>
          </w:p>
        </w:tc>
        <w:tc>
          <w:tcPr>
            <w:tcW w:w="84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99%</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59"/>
        </w:trPr>
        <w:tc>
          <w:tcPr>
            <w:tcW w:w="3740" w:type="dxa"/>
            <w:vAlign w:val="bottom"/>
          </w:tcPr>
          <w:p>
            <w:pPr>
              <w:spacing w:after="0"/>
              <w:rPr>
                <w:sz w:val="24"/>
                <w:szCs w:val="24"/>
                <w:color w:val="auto"/>
              </w:rPr>
            </w:pPr>
          </w:p>
        </w:tc>
        <w:tc>
          <w:tcPr>
            <w:tcW w:w="23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8" w:name="page29"/>
    <w:bookmarkEnd w:id="2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as compared to the U.S. federal statutory rate of 21% differs primarily due to change in valuation allowance against deferred taxes and non-deductible expenses, partially offset by state income taxes and tax benefits associated with stock-based compensation expense and research and development tax credits.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continue to be cash, cash equivalents, and investment securities, as well as cash flows generated from our operations. At December 31, 2022, our cash and cash equivalents and investment securities had an aggregate balance of $185.2 million.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and the timing and extent of our investments across our organization. Non-cancelable purchase commitments for business operations total $23.4 million as of December 31, 2022, due primarily over the next three years. Operating lease obligations totaling $65.1 million associated with leased facilities and have varying maturities with $30.1 million due over the next five years. Furthermore, our Board of Directors has authorized our management to repurchase up to $100.0 million of shares of our Class A common stock from time to time. To date, we have repurchased $4.2 million of our Class A common stock under the Share Repurchase Program. For additional information regarding our Share Repurchase Program, refer to Note 11,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cash flows for the periods indicated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8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25,365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Pr>
          <w:p>
            <w:pPr>
              <w:spacing w:after="0"/>
              <w:rPr>
                <w:sz w:val="19"/>
                <w:szCs w:val="19"/>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(110,459)</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(6,163)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w:t>
            </w:r>
          </w:p>
        </w:tc>
      </w:tr>
      <w:tr>
        <w:trPr>
          <w:trHeight w:val="223"/>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12,736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(82,416)</w:t>
            </w:r>
          </w:p>
        </w:tc>
      </w:tr>
      <w:tr>
        <w:trPr>
          <w:trHeight w:val="20"/>
        </w:trPr>
        <w:tc>
          <w:tcPr>
            <w:tcW w:w="8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$25.4 million for the year ended December 31, 2022 compared to net cash provided by operating activities of $35.4 million for the year ended December 31, 2021. The net decrease in cash provided by operating activities was primarily due to an increase in employee related costs and the settlement of accounts payable offset by an increase in cash collections from customers due to higher revenue growth and a decrease in income taxes paid related to the sale of MyCase, Inc. during the year ended December 31, 2021.</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is generally composed of purchases of investment securities, maturities and sales of investment securities, purchases of property and equipment, and additions to capitalized software development.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$6.5 million compared to $110.5 million for the year ended December 31, 2021. The net decrease in cash used in investing activities was primarily due to decreases in purchases of available-for-sale investment securities and capitalization of software development costs, offset by a decrease in proceeds from sales of available-for-sale investment securities and decrease in proceeds from sales of business and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is generally composed of net share settlements for employee tax withholdings associated with the vesting of equity awards offset by proceeds from the exercise of stock options.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was $6.2 million compared to $7.3 million for the year ended December 31, 2021. The decrease in cash used in financing activities was primarily due to an increase in proceeds from stock option exercises.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2022, we did not have any off-balance sheet arrangements.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3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and the related notes included elsewhere in this Annual Report are prepared in accordance with generally accepted accounting principles in the United States. The preparation of our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 Actual results could differ materially from those estimates.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Statements. For additional information,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our Consolidated Financial Statements included elsewhere in this Annual Report.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contracts with customers contain multiple performance obligations. Determining whether products and services are considered distinct performance obligations that should be accounted for separately versus together may require judgment. We account for individual performance obligations separately if they are distinct. The performance obligations for these contracts include access and use of our core solutions, implementation services, and customer support. Access and use of our core solutions and implementation services are considered distinct.</w:t>
      </w:r>
    </w:p>
    <w:p>
      <w:pPr>
        <w:spacing w:after="0" w:line="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on a relative standalone selling price basis. Judgment is required to determine the standalone selling price for each distinct performance obligation. We typically have more than one standalone selling price for individual products and services due to the stratification of those products and services by customers and circumstances. In these instances, we determine the standalone selling price based on our overall pricing objectives, taking into consideration customer demographics and other factors. Fees are fixed based on rates specified in the subscription agreements, which do not provide for any refunds or adjustments.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there are two key estimates within the capitalized software balance, which are the determination of the useful life of the software and the determination of the amounts to be capitalized.</w:t>
      </w:r>
    </w:p>
    <w:p>
      <w:pPr>
        <w:spacing w:after="0" w:line="5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determined that a three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years before being significantly replaced or modified to keep up with evolving customer and company needs. While we do not anticipate any significant changes to this three year estimate, a change in this estimate could produce a material impact on our financial statements.</w:t>
      </w:r>
    </w:p>
    <w:p>
      <w:pPr>
        <w:spacing w:after="0" w:line="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determine the amount of internal software costs to be capitalized based on the amount of time spent by our software engineers on projects. Costs associated with building or significantly enhancing our software solutions and new internally built software solutions are capitalized, while costs associated with planning new developments and maintaining our software solutions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assess the recoverability of our long-lived assets when events or changes in circumstances indicate that the carrying value of an asset may not be recoverable or that the useful lives of those assets are no longer appropriate. An impairment charge would be recognized when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w:t>
      </w:r>
    </w:p>
    <w:p>
      <w:pPr>
        <w:spacing w:after="0" w:line="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Any impairments to operating lease right of use ("ROU") assets, leasehold improvements, or other assets as a result of a sublease, abandonment, or other similar factor are assessed for impairment when a decision to do so is made and recorded as an operating expense. Similar to other long-lived assets, management tests ROU assets for impairment whenever events or changes in circumstances occur that could impact the recoverability of these assets. For ROU and other lease-related assets, such circumstances would include subleases that do not fully recover the costs of the associated leases or a decision to abandon the use of all or part of a leased asset. We recorded a net impairment of $22.0 million consisting of $17.6 million related to ROU assets and $4.4 million related to property and equipment associated with our leased office spaces as described further 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Significant judgment and estimates are required in assessing impairment of long-lived assets, including identifying whether events or changes in circumstances require an impairment assessment, estimating future cash flows, uncertainty associated with the time period it will take to obtain a sublessee, the anticipated sublease income and determining appropriate discount rates. Our estimates of fair value are based on assumptions believed to be reasonable, but which are inherently uncertain and unpredictable and, as a result, actual results may differ from estimates.</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 In evaluating the need for a valuation allowance, we consider the weighting of all available positive and negative evidence, which includes, among other things, the nature, frequency and severity of current and cumulative taxable income or losses, future projections of profitability, and the duration of statutory carryforward periods.</w:t>
      </w:r>
    </w:p>
    <w:p>
      <w:pPr>
        <w:spacing w:after="0" w:line="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Judgment is required to measure the amount of tax benefits that can be recognized associated with uncertain tax positions. We recognize the tax benefit from an uncertain tax position only if it is more likely than not that the tax position will be sustained on examination by the taxing authorities, based on the technical merits of the position. We recognize interest and penalties accrued with respect to uncertain tax positions, if any, in our provision for income taxes in the Consolidated Statements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recent accounting pronouncements,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our Consolidated Financial Statements included elsewhere in this Annual Report.</w:t>
      </w:r>
    </w:p>
    <w:p>
      <w:pPr>
        <w:spacing w:after="0" w:line="1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2022, we had $114.5 million of investment securities consisting of United States government agency securities, corporate bonds,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December 31, 2022, a hypothetical 100 basis point decrease in interest rates would have resulted in an increase in the fair value of our investment securities of approximately $0.7 million, and a hypothetical 100 basis point increase in interest rates would have resulted in a decrease in the fair value of our investment securities of approximately $0.7 million. This estimate is based on a sensitivity model which measured an instant change in interest rates by 100 basis points as of December 31, 2022.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97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891"/>
        </w:trPr>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3"/>
        </w:trPr>
        <w:tc>
          <w:tcPr>
            <w:tcW w:w="40" w:type="dxa"/>
            <w:vAlign w:val="bottom"/>
          </w:tcPr>
          <w:p>
            <w:pPr>
              <w:spacing w:after="0"/>
              <w:rPr>
                <w:sz w:val="15"/>
                <w:szCs w:val="15"/>
                <w:color w:val="auto"/>
              </w:rPr>
            </w:pPr>
          </w:p>
        </w:tc>
        <w:tc>
          <w:tcPr>
            <w:tcW w:w="97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820" w:type="dxa"/>
            <w:vAlign w:val="bottom"/>
            <w:gridSpan w:val="2"/>
          </w:tcPr>
          <w:p>
            <w:pPr>
              <w:jc w:val="center"/>
              <w:ind w:left="550"/>
              <w:spacing w:after="0" w:line="182" w:lineRule="exact"/>
              <w:rPr>
                <w:sz w:val="20"/>
                <w:szCs w:val="20"/>
                <w:color w:val="auto"/>
              </w:rPr>
            </w:pPr>
            <w:r>
              <w:rPr>
                <w:rFonts w:ascii="Times New Roman" w:cs="Times New Roman" w:eastAsia="Times New Roman" w:hAnsi="Times New Roman"/>
                <w:sz w:val="18"/>
                <w:szCs w:val="18"/>
                <w:color w:val="0000FF"/>
                <w:w w:val="99"/>
              </w:rPr>
              <w:t>30</w:t>
            </w:r>
          </w:p>
        </w:tc>
        <w:tc>
          <w:tcPr>
            <w:tcW w:w="64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20" w:type="dxa"/>
            <w:vAlign w:val="bottom"/>
            <w:gridSpan w:val="5"/>
          </w:tcPr>
          <w:p>
            <w:pPr>
              <w:spacing w:after="0"/>
              <w:rPr>
                <w:sz w:val="18"/>
                <w:szCs w:val="18"/>
                <w:color w:val="auto"/>
              </w:rPr>
            </w:pPr>
          </w:p>
        </w:tc>
        <w:tc>
          <w:tcPr>
            <w:tcW w:w="5500" w:type="dxa"/>
            <w:vAlign w:val="bottom"/>
          </w:tcPr>
          <w:p>
            <w:pPr>
              <w:spacing w:after="0"/>
              <w:rPr>
                <w:sz w:val="18"/>
                <w:szCs w:val="18"/>
                <w:color w:val="auto"/>
              </w:rPr>
            </w:pPr>
          </w:p>
        </w:tc>
        <w:tc>
          <w:tcPr>
            <w:tcW w:w="8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0000FF"/>
                <w:w w:val="99"/>
              </w:rPr>
              <w:t>32</w:t>
            </w:r>
          </w:p>
        </w:tc>
        <w:tc>
          <w:tcPr>
            <w:tcW w:w="6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6900" w:type="dxa"/>
            <w:vAlign w:val="bottom"/>
            <w:gridSpan w:val="5"/>
          </w:tcPr>
          <w:p>
            <w:pPr>
              <w:spacing w:after="0"/>
              <w:rPr>
                <w:sz w:val="18"/>
                <w:szCs w:val="18"/>
                <w:color w:val="auto"/>
              </w:rPr>
            </w:pPr>
          </w:p>
        </w:tc>
        <w:tc>
          <w:tcPr>
            <w:tcW w:w="8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0000FF"/>
                <w:w w:val="99"/>
              </w:rPr>
              <w:t>33</w:t>
            </w:r>
          </w:p>
        </w:tc>
        <w:tc>
          <w:tcPr>
            <w:tcW w:w="6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7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w:t>
            </w:r>
          </w:p>
        </w:tc>
        <w:tc>
          <w:tcPr>
            <w:tcW w:w="8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0000FF"/>
                <w:w w:val="99"/>
              </w:rPr>
              <w:t>34</w:t>
            </w:r>
          </w:p>
        </w:tc>
        <w:tc>
          <w:tcPr>
            <w:tcW w:w="6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50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500" w:type="dxa"/>
            <w:vAlign w:val="bottom"/>
          </w:tcPr>
          <w:p>
            <w:pPr>
              <w:spacing w:after="0"/>
              <w:rPr>
                <w:sz w:val="18"/>
                <w:szCs w:val="18"/>
                <w:color w:val="auto"/>
              </w:rPr>
            </w:pPr>
          </w:p>
        </w:tc>
        <w:tc>
          <w:tcPr>
            <w:tcW w:w="8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0000FF"/>
                <w:w w:val="99"/>
              </w:rPr>
              <w:t>35</w:t>
            </w:r>
          </w:p>
        </w:tc>
        <w:tc>
          <w:tcPr>
            <w:tcW w:w="6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gridSpan w:val="2"/>
          </w:tcPr>
          <w:p>
            <w:pPr>
              <w:spacing w:after="0"/>
              <w:rPr>
                <w:sz w:val="18"/>
                <w:szCs w:val="18"/>
                <w:color w:val="auto"/>
              </w:rPr>
            </w:pPr>
          </w:p>
        </w:tc>
        <w:tc>
          <w:tcPr>
            <w:tcW w:w="6200" w:type="dxa"/>
            <w:vAlign w:val="bottom"/>
            <w:gridSpan w:val="2"/>
          </w:tcPr>
          <w:p>
            <w:pPr>
              <w:spacing w:after="0"/>
              <w:rPr>
                <w:sz w:val="18"/>
                <w:szCs w:val="18"/>
                <w:color w:val="auto"/>
              </w:rPr>
            </w:pPr>
          </w:p>
        </w:tc>
        <w:tc>
          <w:tcPr>
            <w:tcW w:w="8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0000FF"/>
                <w:w w:val="99"/>
              </w:rPr>
              <w:t>36</w:t>
            </w:r>
          </w:p>
        </w:tc>
        <w:tc>
          <w:tcPr>
            <w:tcW w:w="6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560" w:type="dxa"/>
            <w:vAlign w:val="bottom"/>
            <w:gridSpan w:val="3"/>
          </w:tcPr>
          <w:p>
            <w:pPr>
              <w:spacing w:after="0"/>
              <w:rPr>
                <w:sz w:val="18"/>
                <w:szCs w:val="18"/>
                <w:color w:val="auto"/>
              </w:rPr>
            </w:pPr>
          </w:p>
        </w:tc>
        <w:tc>
          <w:tcPr>
            <w:tcW w:w="82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0000FF"/>
                <w:w w:val="99"/>
              </w:rPr>
              <w:t>38</w:t>
            </w:r>
          </w:p>
        </w:tc>
        <w:tc>
          <w:tcPr>
            <w:tcW w:w="6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32" w:name="page33"/>
    <w:bookmarkEnd w:id="3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AppFolio,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AppFolio, Inc. and its subsidiaries (the “Company”) as of December 31, 2022 and 2021, and the related consolidated statements of operations, of comprehensive (loss) income, of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described in Note 9 to the consolidated financial statements, the Company decided to exit and make available for sublease certain leased office spaces. Management reassessed the Company’s asset groupings and evaluated the recoverability of the Company’s right-of-use and other lease-related assets and determined that the carrying value of the respective asset groups was not fully recoverable. Management utilized discounted cash flow models to estimate the fair value of the asset groups taking into consideration the time period it will take to obtain a sublessee, the applicable discount rates and the anticipated sublease income and calculated the corresponding impairment loss. The Company recorded a net impairment of $22.0 million related to right-of-use assets and property and equipment associated with the leased office space.</w:t>
      </w:r>
    </w:p>
    <w:p>
      <w:pPr>
        <w:spacing w:after="0" w:line="21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impairment of long-lived assets is a critical audit matter are (i) the significant judgment by management in developing the fair value estimate of the asset groups; (ii) a high degree of auditor judgment, subjectivity, and effort in performing procedures and evaluating management’s significant assumptions related to the time period it will take to obtain a sublessee and the anticipated sublease income; and (iii) the audit effort involved the use of professionals with specialized skill and knowledge.</w:t>
      </w:r>
    </w:p>
    <w:p>
      <w:pPr>
        <w:spacing w:after="0" w:line="19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impairment of long-lived assets, including controls over the valuation of the asset groups. These procedures also included, among others (i) evaluating the reassessment of asset groupings and the recoverability of the right-of-use and other lease-related assets; (ii) testing management’s process for developing the fair value estimate of the asset groups; (iii) evaluating the appropriateness of the discounted cash flow models; (iv) testing the completeness and accuracy of underlying data used in the discounted cash flow models; and (v) evaluating the reasonableness of the significant assumptions used by management related to the time period it will take to obtain a sublessee and the anticipated sublease income. Professionals with specialized skill and knowledge were used to assist in evaluating the appropriateness of the discounted cash flow models and evaluating the reasonableness of the significant assumptions related to the time period it will take to obtain a sublessee and the anticipated sublease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9,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par values)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70,769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57,847</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securities—current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89,297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64,600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12,595</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24,899</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23,553</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201,468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158,595</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securities—noncurrent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41,212</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56,060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56,147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8,785</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381,217</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408,017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90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employee expenses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30,065</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8,893</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7,589</w:t>
            </w:r>
          </w:p>
        </w:tc>
        <w:tc>
          <w:tcPr>
            <w:tcW w:w="0" w:type="dxa"/>
            <w:vAlign w:val="bottom"/>
          </w:tcPr>
          <w:p>
            <w:pPr>
              <w:spacing w:after="0"/>
              <w:rPr>
                <w:sz w:val="1"/>
                <w:szCs w:val="1"/>
                <w:color w:val="auto"/>
              </w:rPr>
            </w:pPr>
          </w:p>
        </w:tc>
      </w:tr>
      <w:tr>
        <w:trPr>
          <w:trHeight w:val="207"/>
        </w:trPr>
        <w:tc>
          <w:tcPr>
            <w:tcW w:w="7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61,343</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52,642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55,733</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115,671</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110,636</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Preferred stock, $0.0001 par value, 25,000 shares authorized and no shares issued and outstanding as of December 31,</w:t>
            </w:r>
          </w:p>
        </w:tc>
        <w:tc>
          <w:tcPr>
            <w:tcW w:w="980" w:type="dxa"/>
            <w:vAlign w:val="bottom"/>
          </w:tcPr>
          <w:p>
            <w:pPr>
              <w:spacing w:after="0"/>
              <w:rPr>
                <w:sz w:val="14"/>
                <w:szCs w:val="14"/>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 and December 31, 2021</w:t>
            </w:r>
          </w:p>
        </w:tc>
        <w:tc>
          <w:tcPr>
            <w:tcW w:w="9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A common stock, $0.0001 par value, 250,000 shares authorized as of December 31, 2022 and December 31,</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2021; 20,988 and 19,836 shares issued as of December 31, 2022 and December 31, 2021, respectively; 20,569 and</w:t>
            </w:r>
          </w:p>
        </w:tc>
        <w:tc>
          <w:tcPr>
            <w:tcW w:w="9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19,417 shares outstanding as of December 31, 2022 and December 31, 2021, respectively</w:t>
            </w:r>
          </w:p>
        </w:tc>
        <w:tc>
          <w:tcPr>
            <w:tcW w:w="9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B common stock, $0.0001 par value, 50,000 shares authorized as of December 31, 2022 and December 31, 2021;</w:t>
            </w:r>
          </w:p>
        </w:tc>
        <w:tc>
          <w:tcPr>
            <w:tcW w:w="9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14,746 and 15,408 shares issued and outstanding as of December 31, 2022 and December 31, 2021, respectively</w:t>
            </w:r>
          </w:p>
        </w:tc>
        <w:tc>
          <w:tcPr>
            <w:tcW w:w="9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209,704</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171,930</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419 shares of Class A common stock as of December 31, 2022 and December 31, 2021</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83,278</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151,397</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265,546</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297,381</w:t>
            </w:r>
          </w:p>
        </w:tc>
        <w:tc>
          <w:tcPr>
            <w:tcW w:w="0" w:type="dxa"/>
            <w:vAlign w:val="bottom"/>
          </w:tcPr>
          <w:p>
            <w:pPr>
              <w:spacing w:after="0"/>
              <w:rPr>
                <w:sz w:val="1"/>
                <w:szCs w:val="1"/>
                <w:color w:val="auto"/>
              </w:rPr>
            </w:pPr>
          </w:p>
        </w:tc>
      </w:tr>
      <w:tr>
        <w:trPr>
          <w:trHeight w:val="207"/>
        </w:trPr>
        <w:tc>
          <w:tcPr>
            <w:tcW w:w="7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381,217</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408,017</w:t>
            </w:r>
          </w:p>
        </w:tc>
        <w:tc>
          <w:tcPr>
            <w:tcW w:w="0" w:type="dxa"/>
            <w:vAlign w:val="bottom"/>
          </w:tcPr>
          <w:p>
            <w:pPr>
              <w:spacing w:after="0"/>
              <w:rPr>
                <w:sz w:val="1"/>
                <w:szCs w:val="1"/>
                <w:color w:val="auto"/>
              </w:rPr>
            </w:pPr>
          </w:p>
        </w:tc>
      </w:tr>
      <w:tr>
        <w:trPr>
          <w:trHeight w:val="23"/>
        </w:trPr>
        <w:tc>
          <w:tcPr>
            <w:tcW w:w="7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to the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r>
      <w:tr>
        <w:trPr>
          <w:trHeight w:val="22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359,370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310,056</w:t>
            </w:r>
          </w:p>
        </w:tc>
        <w:tc>
          <w:tcPr>
            <w:tcW w:w="40" w:type="dxa"/>
            <w:vAlign w:val="bottom"/>
          </w:tcPr>
          <w:p>
            <w:pPr>
              <w:spacing w:after="0"/>
              <w:rPr>
                <w:sz w:val="19"/>
                <w:szCs w:val="19"/>
                <w:color w:val="auto"/>
              </w:rPr>
            </w:pPr>
          </w:p>
        </w:tc>
      </w:tr>
      <w:tr>
        <w:trPr>
          <w:trHeight w:val="229"/>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7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119,029</w:t>
            </w:r>
          </w:p>
        </w:tc>
        <w:tc>
          <w:tcPr>
            <w:tcW w:w="40" w:type="dxa"/>
            <w:vAlign w:val="bottom"/>
          </w:tcPr>
          <w:p>
            <w:pPr>
              <w:spacing w:after="0"/>
              <w:rPr>
                <w:sz w:val="19"/>
                <w:szCs w:val="19"/>
                <w:color w:val="auto"/>
              </w:rPr>
            </w:pPr>
          </w:p>
        </w:tc>
      </w:tr>
      <w:tr>
        <w:trPr>
          <w:trHeight w:val="229"/>
        </w:trPr>
        <w:tc>
          <w:tcPr>
            <w:tcW w:w="67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58,445</w:t>
            </w:r>
          </w:p>
        </w:tc>
        <w:tc>
          <w:tcPr>
            <w:tcW w:w="40" w:type="dxa"/>
            <w:vAlign w:val="bottom"/>
          </w:tcPr>
          <w:p>
            <w:pPr>
              <w:spacing w:after="0"/>
              <w:rPr>
                <w:sz w:val="19"/>
                <w:szCs w:val="19"/>
                <w:color w:val="auto"/>
              </w:rPr>
            </w:pPr>
          </w:p>
        </w:tc>
      </w:tr>
      <w:tr>
        <w:trPr>
          <w:trHeight w:val="229"/>
        </w:trPr>
        <w:tc>
          <w:tcPr>
            <w:tcW w:w="67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Research and product development</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48,529</w:t>
            </w:r>
          </w:p>
        </w:tc>
        <w:tc>
          <w:tcPr>
            <w:tcW w:w="40" w:type="dxa"/>
            <w:vAlign w:val="bottom"/>
          </w:tcPr>
          <w:p>
            <w:pPr>
              <w:spacing w:after="0"/>
              <w:rPr>
                <w:sz w:val="19"/>
                <w:szCs w:val="19"/>
                <w:color w:val="auto"/>
              </w:rPr>
            </w:pPr>
          </w:p>
        </w:tc>
      </w:tr>
      <w:tr>
        <w:trPr>
          <w:trHeight w:val="230"/>
        </w:trPr>
        <w:tc>
          <w:tcPr>
            <w:tcW w:w="67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40" w:type="dxa"/>
            <w:vAlign w:val="bottom"/>
          </w:tcPr>
          <w:p>
            <w:pPr>
              <w:spacing w:after="0"/>
              <w:rPr>
                <w:sz w:val="19"/>
                <w:szCs w:val="19"/>
                <w:color w:val="auto"/>
              </w:rPr>
            </w:pPr>
          </w:p>
        </w:tc>
      </w:tr>
      <w:tr>
        <w:trPr>
          <w:trHeight w:val="229"/>
        </w:trPr>
        <w:tc>
          <w:tcPr>
            <w:tcW w:w="6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26,790</w:t>
            </w:r>
          </w:p>
        </w:tc>
        <w:tc>
          <w:tcPr>
            <w:tcW w:w="40" w:type="dxa"/>
            <w:vAlign w:val="bottom"/>
          </w:tcPr>
          <w:p>
            <w:pPr>
              <w:spacing w:after="0"/>
              <w:rPr>
                <w:sz w:val="19"/>
                <w:szCs w:val="19"/>
                <w:color w:val="auto"/>
              </w:rPr>
            </w:pPr>
          </w:p>
        </w:tc>
      </w:tr>
      <w:tr>
        <w:trPr>
          <w:trHeight w:val="223"/>
        </w:trPr>
        <w:tc>
          <w:tcPr>
            <w:tcW w:w="672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544,253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371,248</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300,273</w:t>
            </w:r>
          </w:p>
        </w:tc>
        <w:tc>
          <w:tcPr>
            <w:tcW w:w="40" w:type="dxa"/>
            <w:vAlign w:val="bottom"/>
          </w:tcPr>
          <w:p>
            <w:pPr>
              <w:spacing w:after="0"/>
              <w:rPr>
                <w:sz w:val="19"/>
                <w:szCs w:val="19"/>
                <w:color w:val="auto"/>
              </w:rPr>
            </w:pPr>
          </w:p>
        </w:tc>
      </w:tr>
      <w:tr>
        <w:trPr>
          <w:trHeight w:val="22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40" w:type="dxa"/>
            <w:vAlign w:val="bottom"/>
          </w:tcPr>
          <w:p>
            <w:pPr>
              <w:spacing w:after="0"/>
              <w:rPr>
                <w:sz w:val="19"/>
                <w:szCs w:val="19"/>
                <w:color w:val="auto"/>
              </w:rPr>
            </w:pPr>
          </w:p>
        </w:tc>
      </w:tr>
      <w:tr>
        <w:trPr>
          <w:trHeight w:val="23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188,897</w:t>
            </w:r>
          </w:p>
        </w:tc>
        <w:tc>
          <w:tcPr>
            <w:tcW w:w="40" w:type="dxa"/>
            <w:vAlign w:val="bottom"/>
          </w:tcPr>
          <w:p>
            <w:pPr>
              <w:spacing w:after="0"/>
              <w:rPr>
                <w:sz w:val="19"/>
                <w:szCs w:val="19"/>
                <w:color w:val="auto"/>
              </w:rPr>
            </w:pPr>
          </w:p>
        </w:tc>
      </w:tr>
      <w:tr>
        <w:trPr>
          <w:trHeight w:val="22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40" w:type="dxa"/>
            <w:vAlign w:val="bottom"/>
          </w:tcPr>
          <w:p>
            <w:pPr>
              <w:spacing w:after="0"/>
              <w:rPr>
                <w:sz w:val="19"/>
                <w:szCs w:val="19"/>
                <w:color w:val="auto"/>
              </w:rPr>
            </w:pPr>
          </w:p>
        </w:tc>
      </w:tr>
      <w:tr>
        <w:trPr>
          <w:trHeight w:val="22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196,831</w:t>
            </w:r>
          </w:p>
        </w:tc>
        <w:tc>
          <w:tcPr>
            <w:tcW w:w="40" w:type="dxa"/>
            <w:vAlign w:val="bottom"/>
          </w:tcPr>
          <w:p>
            <w:pPr>
              <w:spacing w:after="0"/>
              <w:rPr>
                <w:sz w:val="19"/>
                <w:szCs w:val="19"/>
                <w:color w:val="auto"/>
              </w:rPr>
            </w:pPr>
          </w:p>
        </w:tc>
      </w:tr>
      <w:tr>
        <w:trPr>
          <w:trHeight w:val="229"/>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38,428</w:t>
            </w:r>
          </w:p>
        </w:tc>
        <w:tc>
          <w:tcPr>
            <w:tcW w:w="40" w:type="dxa"/>
            <w:vAlign w:val="bottom"/>
          </w:tcPr>
          <w:p>
            <w:pPr>
              <w:spacing w:after="0"/>
              <w:rPr>
                <w:sz w:val="19"/>
                <w:szCs w:val="19"/>
                <w:color w:val="auto"/>
              </w:rPr>
            </w:pPr>
          </w:p>
        </w:tc>
      </w:tr>
      <w:tr>
        <w:trPr>
          <w:trHeight w:val="22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158,403</w:t>
            </w:r>
          </w:p>
        </w:tc>
        <w:tc>
          <w:tcPr>
            <w:tcW w:w="40" w:type="dxa"/>
            <w:vAlign w:val="bottom"/>
          </w:tcPr>
          <w:p>
            <w:pPr>
              <w:spacing w:after="0"/>
              <w:rPr>
                <w:sz w:val="19"/>
                <w:szCs w:val="19"/>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67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per common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19"/>
                <w:szCs w:val="19"/>
                <w:color w:val="auto"/>
              </w:rPr>
            </w:pPr>
          </w:p>
        </w:tc>
      </w:tr>
      <w:tr>
        <w:trPr>
          <w:trHeight w:val="229"/>
        </w:trPr>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0" w:type="dxa"/>
            <w:vAlign w:val="bottom"/>
          </w:tcPr>
          <w:p>
            <w:pPr>
              <w:spacing w:after="0"/>
              <w:rPr>
                <w:sz w:val="19"/>
                <w:szCs w:val="19"/>
                <w:color w:val="auto"/>
              </w:rPr>
            </w:pPr>
          </w:p>
        </w:tc>
      </w:tr>
      <w:tr>
        <w:trPr>
          <w:trHeight w:val="230"/>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34,264</w:t>
            </w:r>
          </w:p>
        </w:tc>
        <w:tc>
          <w:tcPr>
            <w:tcW w:w="40" w:type="dxa"/>
            <w:vAlign w:val="bottom"/>
          </w:tcPr>
          <w:p>
            <w:pPr>
              <w:spacing w:after="0"/>
              <w:rPr>
                <w:sz w:val="19"/>
                <w:szCs w:val="19"/>
                <w:color w:val="auto"/>
              </w:rPr>
            </w:pPr>
          </w:p>
        </w:tc>
      </w:tr>
      <w:tr>
        <w:trPr>
          <w:trHeight w:val="234"/>
        </w:trPr>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40" w:type="dxa"/>
            <w:vAlign w:val="bottom"/>
          </w:tcPr>
          <w:p>
            <w:pPr>
              <w:spacing w:after="0"/>
              <w:rPr>
                <w:sz w:val="20"/>
                <w:szCs w:val="20"/>
                <w:color w:val="auto"/>
              </w:rPr>
            </w:pPr>
          </w:p>
        </w:tc>
      </w:tr>
      <w:tr>
        <w:trPr>
          <w:trHeight w:val="469"/>
        </w:trPr>
        <w:tc>
          <w:tcPr>
            <w:tcW w:w="6720" w:type="dxa"/>
            <w:vAlign w:val="bottom"/>
            <w:gridSpan w:val="2"/>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Includes stock-based compensation expense as follows: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8"/>
        </w:trPr>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
        </w:trPr>
        <w:tc>
          <w:tcPr>
            <w:tcW w:w="6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included in costs and operating expenses:</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9"/>
        </w:trPr>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4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40" w:type="dxa"/>
            <w:vAlign w:val="bottom"/>
          </w:tcPr>
          <w:p>
            <w:pPr>
              <w:spacing w:after="0"/>
              <w:rPr>
                <w:sz w:val="19"/>
                <w:szCs w:val="19"/>
                <w:color w:val="auto"/>
              </w:rPr>
            </w:pPr>
          </w:p>
        </w:tc>
      </w:tr>
      <w:tr>
        <w:trPr>
          <w:trHeight w:val="230"/>
        </w:trPr>
        <w:tc>
          <w:tcPr>
            <w:tcW w:w="6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40" w:type="dxa"/>
            <w:vAlign w:val="bottom"/>
            <w:shd w:val="clear" w:color="auto" w:fill="CCEEFF"/>
          </w:tcPr>
          <w:p>
            <w:pPr>
              <w:spacing w:after="0"/>
              <w:rPr>
                <w:sz w:val="19"/>
                <w:szCs w:val="19"/>
                <w:color w:val="auto"/>
              </w:rPr>
            </w:pPr>
          </w:p>
        </w:tc>
      </w:tr>
      <w:tr>
        <w:trPr>
          <w:trHeight w:val="230"/>
        </w:trPr>
        <w:tc>
          <w:tcPr>
            <w:tcW w:w="6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40" w:type="dxa"/>
            <w:vAlign w:val="bottom"/>
          </w:tcPr>
          <w:p>
            <w:pPr>
              <w:spacing w:after="0"/>
              <w:rPr>
                <w:sz w:val="19"/>
                <w:szCs w:val="19"/>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40,935</w:t>
            </w:r>
          </w:p>
        </w:tc>
        <w:tc>
          <w:tcPr>
            <w:tcW w:w="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4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unrealized (losses) gains on investment securities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158,426</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84" w:right="359" w:bottom="144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26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6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8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16,552</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161,509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131,950</w:t>
            </w:r>
          </w:p>
        </w:tc>
        <w:tc>
          <w:tcPr>
            <w:tcW w:w="0" w:type="dxa"/>
            <w:vAlign w:val="bottom"/>
          </w:tcPr>
          <w:p>
            <w:pPr>
              <w:spacing w:after="0"/>
              <w:rPr>
                <w:sz w:val="1"/>
                <w:szCs w:val="1"/>
                <w:color w:val="auto"/>
              </w:rPr>
            </w:pPr>
          </w:p>
        </w:tc>
      </w:tr>
      <w:tr>
        <w:trPr>
          <w:trHeight w:val="19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11,112</w:t>
            </w:r>
          </w:p>
        </w:tc>
        <w:tc>
          <w:tcPr>
            <w:tcW w:w="0" w:type="dxa"/>
            <w:vAlign w:val="bottom"/>
          </w:tcPr>
          <w:p>
            <w:pPr>
              <w:spacing w:after="0"/>
              <w:rPr>
                <w:sz w:val="1"/>
                <w:szCs w:val="1"/>
                <w:color w:val="auto"/>
              </w:rPr>
            </w:pPr>
          </w:p>
        </w:tc>
      </w:tr>
      <w:tr>
        <w:trPr>
          <w:trHeight w:val="139"/>
        </w:trPr>
        <w:tc>
          <w:tcPr>
            <w:tcW w:w="2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Vesting of restricted stock units, net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(12,196)</w:t>
            </w:r>
          </w:p>
        </w:tc>
        <w:tc>
          <w:tcPr>
            <w:tcW w:w="0" w:type="dxa"/>
            <w:vAlign w:val="bottom"/>
          </w:tcPr>
          <w:p>
            <w:pPr>
              <w:spacing w:after="0"/>
              <w:rPr>
                <w:sz w:val="1"/>
                <w:szCs w:val="1"/>
                <w:color w:val="auto"/>
              </w:rPr>
            </w:pPr>
          </w:p>
        </w:tc>
      </w:tr>
      <w:tr>
        <w:trPr>
          <w:trHeight w:val="193"/>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5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Conversion of Class B common stock to</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158,403</w:t>
            </w:r>
          </w:p>
        </w:tc>
        <w:tc>
          <w:tcPr>
            <w:tcW w:w="0" w:type="dxa"/>
            <w:vAlign w:val="bottom"/>
          </w:tcPr>
          <w:p>
            <w:pPr>
              <w:spacing w:after="0"/>
              <w:rPr>
                <w:sz w:val="1"/>
                <w:szCs w:val="1"/>
                <w:color w:val="auto"/>
              </w:rPr>
            </w:pPr>
          </w:p>
        </w:tc>
      </w:tr>
      <w:tr>
        <w:trPr>
          <w:trHeight w:val="189"/>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18,729</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161,247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150,369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285,920</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0" w:type="dxa"/>
            <w:vAlign w:val="bottom"/>
          </w:tcPr>
          <w:p>
            <w:pPr>
              <w:spacing w:after="0"/>
              <w:rPr>
                <w:sz w:val="1"/>
                <w:szCs w:val="1"/>
                <w:color w:val="auto"/>
              </w:rPr>
            </w:pPr>
          </w:p>
        </w:tc>
      </w:tr>
      <w:tr>
        <w:trPr>
          <w:trHeight w:val="19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18,031</w:t>
            </w:r>
          </w:p>
        </w:tc>
        <w:tc>
          <w:tcPr>
            <w:tcW w:w="0" w:type="dxa"/>
            <w:vAlign w:val="bottom"/>
          </w:tcPr>
          <w:p>
            <w:pPr>
              <w:spacing w:after="0"/>
              <w:rPr>
                <w:sz w:val="1"/>
                <w:szCs w:val="1"/>
                <w:color w:val="auto"/>
              </w:rPr>
            </w:pPr>
          </w:p>
        </w:tc>
      </w:tr>
      <w:tr>
        <w:trPr>
          <w:trHeight w:val="146"/>
        </w:trPr>
        <w:tc>
          <w:tcPr>
            <w:tcW w:w="2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Vesting of restricted stock units, net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(9,962)</w:t>
            </w:r>
          </w:p>
        </w:tc>
        <w:tc>
          <w:tcPr>
            <w:tcW w:w="0" w:type="dxa"/>
            <w:vAlign w:val="bottom"/>
          </w:tcPr>
          <w:p>
            <w:pPr>
              <w:spacing w:after="0"/>
              <w:rPr>
                <w:sz w:val="1"/>
                <w:szCs w:val="1"/>
                <w:color w:val="auto"/>
              </w:rPr>
            </w:pPr>
          </w:p>
        </w:tc>
      </w:tr>
      <w:tr>
        <w:trPr>
          <w:trHeight w:val="19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 Class B common stock to</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189"/>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19,417</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15,408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171,930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151,397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297,381</w:t>
            </w:r>
          </w:p>
        </w:tc>
        <w:tc>
          <w:tcPr>
            <w:tcW w:w="0" w:type="dxa"/>
            <w:vAlign w:val="bottom"/>
          </w:tcPr>
          <w:p>
            <w:pPr>
              <w:spacing w:after="0"/>
              <w:rPr>
                <w:sz w:val="1"/>
                <w:szCs w:val="1"/>
                <w:color w:val="auto"/>
              </w:rPr>
            </w:pPr>
          </w:p>
        </w:tc>
      </w:tr>
      <w:tr>
        <w:trPr>
          <w:trHeight w:val="21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0" w:type="dxa"/>
            <w:vAlign w:val="bottom"/>
          </w:tcPr>
          <w:p>
            <w:pPr>
              <w:spacing w:after="0"/>
              <w:rPr>
                <w:sz w:val="1"/>
                <w:szCs w:val="1"/>
                <w:color w:val="auto"/>
              </w:rPr>
            </w:pPr>
          </w:p>
        </w:tc>
      </w:tr>
      <w:tr>
        <w:trPr>
          <w:trHeight w:val="19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43,937</w:t>
            </w:r>
          </w:p>
        </w:tc>
        <w:tc>
          <w:tcPr>
            <w:tcW w:w="0" w:type="dxa"/>
            <w:vAlign w:val="bottom"/>
          </w:tcPr>
          <w:p>
            <w:pPr>
              <w:spacing w:after="0"/>
              <w:rPr>
                <w:sz w:val="1"/>
                <w:szCs w:val="1"/>
                <w:color w:val="auto"/>
              </w:rPr>
            </w:pPr>
          </w:p>
        </w:tc>
      </w:tr>
      <w:tr>
        <w:trPr>
          <w:trHeight w:val="146"/>
        </w:trPr>
        <w:tc>
          <w:tcPr>
            <w:tcW w:w="25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Vesting of restricted stock units, net of</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(10,637)</w:t>
            </w:r>
          </w:p>
        </w:tc>
        <w:tc>
          <w:tcPr>
            <w:tcW w:w="0" w:type="dxa"/>
            <w:vAlign w:val="bottom"/>
          </w:tcPr>
          <w:p>
            <w:pPr>
              <w:spacing w:after="0"/>
              <w:rPr>
                <w:sz w:val="1"/>
                <w:szCs w:val="1"/>
                <w:color w:val="auto"/>
              </w:rPr>
            </w:pPr>
          </w:p>
        </w:tc>
      </w:tr>
      <w:tr>
        <w:trPr>
          <w:trHeight w:val="19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5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Conversion of Class B common stock to</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0" w:type="dxa"/>
            <w:vAlign w:val="bottom"/>
          </w:tcPr>
          <w:p>
            <w:pPr>
              <w:spacing w:after="0"/>
              <w:rPr>
                <w:sz w:val="1"/>
                <w:szCs w:val="1"/>
                <w:color w:val="auto"/>
              </w:rPr>
            </w:pPr>
          </w:p>
        </w:tc>
      </w:tr>
      <w:tr>
        <w:trPr>
          <w:trHeight w:val="203"/>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(68,119)</w:t>
            </w:r>
          </w:p>
        </w:tc>
        <w:tc>
          <w:tcPr>
            <w:tcW w:w="0" w:type="dxa"/>
            <w:vAlign w:val="bottom"/>
          </w:tcPr>
          <w:p>
            <w:pPr>
              <w:spacing w:after="0"/>
              <w:rPr>
                <w:sz w:val="1"/>
                <w:szCs w:val="1"/>
                <w:color w:val="auto"/>
              </w:rPr>
            </w:pPr>
          </w:p>
        </w:tc>
      </w:tr>
      <w:tr>
        <w:trPr>
          <w:trHeight w:val="203"/>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20,569</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209,704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83,278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265,546</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1"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APPFOLIO, INC.</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(68,119)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158,403</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25,507</w:t>
            </w: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w:t>
            </w:r>
          </w:p>
        </w:tc>
      </w:tr>
      <w:tr>
        <w:trPr>
          <w:trHeight w:val="213"/>
        </w:trPr>
        <w:tc>
          <w:tcPr>
            <w:tcW w:w="7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29,002</w:t>
            </w:r>
          </w:p>
        </w:tc>
      </w:tr>
      <w:tr>
        <w:trPr>
          <w:trHeight w:val="213"/>
        </w:trPr>
        <w:tc>
          <w:tcPr>
            <w:tcW w:w="7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including as amortized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10,308</w:t>
            </w: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business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(187,658)</w:t>
            </w:r>
          </w:p>
        </w:tc>
      </w:tr>
      <w:tr>
        <w:trPr>
          <w:trHeight w:val="213"/>
        </w:trPr>
        <w:tc>
          <w:tcPr>
            <w:tcW w:w="7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equity-method investment and recovery of note receivable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7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(5,894)</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employee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r>
      <w:tr>
        <w:trPr>
          <w:trHeight w:val="213"/>
        </w:trPr>
        <w:tc>
          <w:tcPr>
            <w:tcW w:w="7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w:t>
            </w:r>
          </w:p>
        </w:tc>
      </w:tr>
      <w:tr>
        <w:trPr>
          <w:trHeight w:val="219"/>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13"/>
        </w:trPr>
        <w:tc>
          <w:tcPr>
            <w:tcW w:w="71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9,896</w:t>
            </w:r>
          </w:p>
        </w:tc>
      </w:tr>
      <w:tr>
        <w:trPr>
          <w:trHeight w:val="212"/>
        </w:trPr>
        <w:tc>
          <w:tcPr>
            <w:tcW w:w="7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48,299</w:t>
            </w:r>
          </w:p>
        </w:tc>
      </w:tr>
      <w:tr>
        <w:trPr>
          <w:trHeight w:val="19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(43,877)</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available-for-sale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16,711</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maturities of available-for-sale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27,330</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(19,038)</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of software development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(26,042)</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business, net of cash divested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191,427</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equity-method investment</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1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(110,459)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146,511</w:t>
            </w:r>
          </w:p>
        </w:tc>
      </w:tr>
      <w:tr>
        <w:trPr>
          <w:trHeight w:val="19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from financing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withholding for net share settlement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(12,196)</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50,752</w:t>
            </w:r>
          </w:p>
        </w:tc>
      </w:tr>
      <w:tr>
        <w:trPr>
          <w:trHeight w:val="210"/>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payments on debt</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(99,565)</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0" w:type="dxa"/>
            <w:vAlign w:val="bottom"/>
          </w:tcPr>
          <w:p>
            <w:pPr>
              <w:spacing w:after="0"/>
              <w:rPr>
                <w:sz w:val="1"/>
                <w:szCs w:val="1"/>
                <w:color w:val="auto"/>
              </w:rPr>
            </w:pPr>
          </w:p>
        </w:tc>
      </w:tr>
      <w:tr>
        <w:trPr>
          <w:trHeight w:val="207"/>
        </w:trPr>
        <w:tc>
          <w:tcPr>
            <w:tcW w:w="71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(6,163)</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(70,358)</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124,452</w:t>
            </w:r>
          </w:p>
        </w:tc>
        <w:tc>
          <w:tcPr>
            <w:tcW w:w="0" w:type="dxa"/>
            <w:vAlign w:val="bottom"/>
          </w:tcPr>
          <w:p>
            <w:pPr>
              <w:spacing w:after="0"/>
              <w:rPr>
                <w:sz w:val="1"/>
                <w:szCs w:val="1"/>
                <w:color w:val="auto"/>
              </w:rPr>
            </w:pPr>
          </w:p>
        </w:tc>
      </w:tr>
      <w:tr>
        <w:trPr>
          <w:trHeight w:val="21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140,699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16,247</w:t>
            </w:r>
          </w:p>
        </w:tc>
        <w:tc>
          <w:tcPr>
            <w:tcW w:w="0" w:type="dxa"/>
            <w:vAlign w:val="bottom"/>
          </w:tcPr>
          <w:p>
            <w:pPr>
              <w:spacing w:after="0"/>
              <w:rPr>
                <w:sz w:val="1"/>
                <w:szCs w:val="1"/>
                <w:color w:val="auto"/>
              </w:rPr>
            </w:pPr>
          </w:p>
        </w:tc>
      </w:tr>
      <w:tr>
        <w:trPr>
          <w:trHeight w:val="20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71,019</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58,283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140,699</w:t>
            </w:r>
          </w:p>
        </w:tc>
        <w:tc>
          <w:tcPr>
            <w:tcW w:w="0" w:type="dxa"/>
            <w:vAlign w:val="bottom"/>
          </w:tcPr>
          <w:p>
            <w:pPr>
              <w:spacing w:after="0"/>
              <w:rPr>
                <w:sz w:val="1"/>
                <w:szCs w:val="1"/>
                <w:color w:val="auto"/>
              </w:rPr>
            </w:pPr>
          </w:p>
        </w:tc>
      </w:tr>
      <w:tr>
        <w:trPr>
          <w:trHeight w:val="26"/>
        </w:trPr>
        <w:tc>
          <w:tcPr>
            <w:tcW w:w="7140" w:type="dxa"/>
            <w:vAlign w:val="bottom"/>
            <w:vMerge w:val="restart"/>
          </w:tcPr>
          <w:p>
            <w:pPr>
              <w:jc w:val="center"/>
              <w:ind w:left="4039"/>
              <w:spacing w:after="0"/>
              <w:rPr>
                <w:sz w:val="20"/>
                <w:szCs w:val="20"/>
                <w:color w:val="auto"/>
              </w:rPr>
            </w:pPr>
            <w:r>
              <w:rPr>
                <w:rFonts w:ascii="Times New Roman" w:cs="Times New Roman" w:eastAsia="Times New Roman" w:hAnsi="Times New Roman"/>
                <w:sz w:val="16"/>
                <w:szCs w:val="16"/>
                <w:b w:val="1"/>
                <w:bCs w:val="1"/>
                <w:color w:val="auto"/>
              </w:rPr>
              <w:t>APPFOLIO, INC.</w:t>
            </w: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1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80" w:type="dxa"/>
            <w:vAlign w:val="bottom"/>
            <w:gridSpan w:val="2"/>
          </w:tcPr>
          <w:p>
            <w:pPr>
              <w:jc w:val="center"/>
              <w:ind w:left="357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40" w:type="dxa"/>
            <w:vAlign w:val="bottom"/>
          </w:tcPr>
          <w:p>
            <w:pPr>
              <w:jc w:val="center"/>
              <w:ind w:left="40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2"/>
        </w:trPr>
        <w:tc>
          <w:tcPr>
            <w:tcW w:w="7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6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 included in operating cash flows</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0" w:type="dxa"/>
            <w:vAlign w:val="bottom"/>
          </w:tcPr>
          <w:p>
            <w:pPr>
              <w:spacing w:after="0"/>
              <w:rPr>
                <w:sz w:val="1"/>
                <w:szCs w:val="1"/>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187"/>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cash, cash equivalents and restricted cash reported within the Consolidated Balance Sheets to the total of the same such amounts shown above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70,769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57,847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140,263</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3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71,019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58,283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140,699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AUDITED FINANCIAL STATEMENTS</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AppFolio, Inc. ("we," "us" or "our") is a leading provider of cloud business management solutions for the real estate industry. Our solutions are designed to enable our property manager customers to digitally transform their businesses, address critical business operations and deliver a better customer experience. Digital transformation is effectively a requirement for business success in the modern world, and the way we work and live requires powerful software solutions.</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2020, we also provided cloud-based solutions and services to the legal industry via MyCase, a solution primarily designed for small and mid-sized law firms. As previously disclosed, we completed the sale of MyCase, Inc. on September 30, 2020. For additional details, see Note 3, </w:t>
      </w:r>
      <w:r>
        <w:rPr>
          <w:rFonts w:ascii="Times New Roman" w:cs="Times New Roman" w:eastAsia="Times New Roman" w:hAnsi="Times New Roman"/>
          <w:sz w:val="18"/>
          <w:szCs w:val="18"/>
          <w:i w:val="1"/>
          <w:iCs w:val="1"/>
          <w:color w:val="auto"/>
        </w:rPr>
        <w:t>Sales of Subsidiary Businesses</w:t>
      </w:r>
      <w:r>
        <w:rPr>
          <w:rFonts w:ascii="Times New Roman" w:cs="Times New Roman" w:eastAsia="Times New Roman" w:hAnsi="Times New Roman"/>
          <w:sz w:val="18"/>
          <w:szCs w:val="18"/>
          <w:color w:val="auto"/>
        </w:rPr>
        <w:t>.</w:t>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were prepared in accordance with accounting principles generally accepted in the United States of America (“GAAP”).</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reclassified certain amounts in our Consolidated Balance Sheets and Consolidated Statements of Cash Flows within the cash flows from operating activities section in the prior year to conform to the current year's presentation.</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operations of AppFolio, Inc. and its wholly owned subsidiaries. All intercompany balances and transactions have been eliminated in consolidation.</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accounted for our investment in SecureDocs, Inc. (“SecureDocs”) under the equity method of accounting as we had the ability to exert significant influence, but did not control and were not the primary beneficiary of the entity. Our investment in SecureDocs was not material and any income (loss) activity was not material individually or in the aggregate to our Consolidated Financial Statements for any period presented. In December 2021, we sold our interest in SecureDocs. Refer to Note 4, </w:t>
      </w:r>
      <w:r>
        <w:rPr>
          <w:rFonts w:ascii="Times New Roman" w:cs="Times New Roman" w:eastAsia="Times New Roman" w:hAnsi="Times New Roman"/>
          <w:sz w:val="18"/>
          <w:szCs w:val="18"/>
          <w:i w:val="1"/>
          <w:iCs w:val="1"/>
          <w:color w:val="auto"/>
        </w:rPr>
        <w:t>Investment Securities and Fair Value Measurements</w:t>
      </w:r>
      <w:r>
        <w:rPr>
          <w:rFonts w:ascii="Times New Roman" w:cs="Times New Roman" w:eastAsia="Times New Roman" w:hAnsi="Times New Roman"/>
          <w:sz w:val="18"/>
          <w:szCs w:val="18"/>
          <w:color w:val="auto"/>
        </w:rPr>
        <w:t xml:space="preserve"> for additional information.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assumptions underlying stock-based compensation. Actual results could differ from those estimates and any such differences may have a material impact on our Consolidated Financial Statements.</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chief operating decision maker reviews financial information presented on an aggregated and consolidated basis, together with revenue information for our core solutions, Value Added Services, and other service offerings, principally to make decisions about how to allocate resources and to measure our performance. Accordingly, we have determined that we have one reportable and operating segment.</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credit risk consist principally of cash, cash equivalents, restricted cash, accounts receivable, and investment securities. We maintain cash balances at financial institutions in excess of amounts insured by United States government agencies or payable by the United States government directly. We place our cash with high credit, quality financial institutions. We invest in investment securities with a minimum rating of A by Standard &amp; Poor's or A-1 by Moody's and regularly monitor our investment security portfolio for changes in credit ratings.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Concentrations of credit risk with respect to accounts receivable and revenue are limited due to a large, diverse customer base. No individual customer represented 10% or more of accounts receivable at December 31, 2022 and 2021 or revenue for the years ended December 31, 2022, 2021 and 2020.</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We use a fair value hierarchy based on three levels of inputs, of which the first two are considered observable and the last unobservable, that may be used to measure fair value, which are the following:</w:t>
      </w:r>
    </w:p>
    <w:p>
      <w:pPr>
        <w:spacing w:after="0" w:line="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in the marketplace.</w:t>
      </w:r>
    </w:p>
    <w:p>
      <w:pPr>
        <w:spacing w:after="0" w:line="1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readily convertible to cash, and which have a remaining maturity date of three months or less at the date of purchase, to be cash equivalents. Cash and cash equivalents are recorded at fair value and consist primarily of bank deposits and money market funds.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investment securities currently consist of corporate bonds, United States government agency securities and treasury securities. We classify investment securities as available-for-sale at the time of purchase and reevaluate such classification at each balance sheet date. All investments are recorded at estimated fair value and investments with original maturities of less than one year at the time of purchase are classified as short-term. Unrealized gains and losses for available-for-sale investment securities are included in accumulated other comprehensive income, a component of stockholders' equity.</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December 31, 2022 and 2021.</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the invoiced amount, net of an allowance for credit losses. The allowance for credit losses is based on historical loss experience, the number of days that receivables are past due, and an evaluation of the potential risk of loss associated with delinquent accounts. Accounts receivable considered uncollectible are charged against the allowance for credit losses when identified. We do not have any off-balance sheet credit exposure related to our customers. At December 31, 2022 and 2021, our allowance for credit losses was not material.</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Depreciation is calculated using the straight-line method over the estimated useful lives of assets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Asset Type</w:t>
            </w:r>
          </w:p>
        </w:tc>
        <w:tc>
          <w:tcPr>
            <w:tcW w:w="340" w:type="dxa"/>
            <w:vAlign w:val="bottom"/>
            <w:tcBorders>
              <w:bottom w:val="single" w:sz="8" w:color="CCEEFF"/>
            </w:tcBorders>
          </w:tcPr>
          <w:p>
            <w:pPr>
              <w:spacing w:after="0"/>
              <w:rPr>
                <w:sz w:val="20"/>
                <w:szCs w:val="20"/>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Depreciation Period</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shd w:val="clear" w:color="auto" w:fill="CCEEFF"/>
          </w:tcPr>
          <w:p>
            <w:pPr>
              <w:spacing w:after="0"/>
              <w:rPr>
                <w:sz w:val="19"/>
                <w:szCs w:val="19"/>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shd w:val="clear" w:color="auto" w:fill="CCEEFF"/>
          </w:tcPr>
          <w:p>
            <w:pPr>
              <w:spacing w:after="0"/>
              <w:rPr>
                <w:sz w:val="19"/>
                <w:szCs w:val="19"/>
                <w:color w:val="auto"/>
              </w:rPr>
            </w:pPr>
          </w:p>
        </w:tc>
        <w:tc>
          <w:tcPr>
            <w:tcW w:w="5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remaining life of lease or asset life</w:t>
            </w:r>
          </w:p>
        </w:tc>
      </w:tr>
      <w:tr>
        <w:trPr>
          <w:trHeight w:val="873"/>
        </w:trPr>
        <w:tc>
          <w:tcPr>
            <w:tcW w:w="54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46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 right-of-use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to the lessor before or at the lease commencement date and excludes lease incentives received and initial direct costs incurred. Our lease terms may include options to extend the lease when it is reasonably certain that we will exercise that option.</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We have lease arrangements with lease and non-lease components, which are generally accounted for as a single lease component. Leases with an initial term of twelve months or less are not recorded on the balance sheet; we recognize lease expense for these leases on a straight-line basis over the lease term.</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Software development costs consist of certain payroll and stock compensation costs incurred to develop functionality of our internal-use software solutions. We capitalize certain software development costs for new offerings as well as significant upgrades and enhancements to our existing software solutions. Capitalized software development costs are amortized using the straight-line method over an estimated useful life of three years. We do not transfer ownership of our software, license, or lease our software to third parties.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at least annually at the reporting unit level or at other times if an event occurs or circumstances change that would more likely than not reduce the fair value of a reporting unit below its carrying amount. A qualitative assessment is performed to determine whether it is more likely than not that the fair value of its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that the reporting unit’s carrying value exceeds its fair value.</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test for goodwill impairment annually during the fourth quarter of the calendar year. Based on the assessment performed at November 1, 2022, we determined it was not more likely than not that our reporting unit fair value was less than its carrying value and no quantitative impairment test assessment was required. No impairment losses were recorded for goodwill during the years ended December 31, 2022, 2021 and 2020.</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Intangible assets primarily consist of acquired database and technology, non-compete agreements, customer and partner relationships, trademarks and trade names, domain names and patents, which are recorded at cost, less accumulated amortization. We determine the appropriate useful life of our intangible assets by performing an analysis of expected cash flows of the acquired assets. Intangible assets are amortized over their estimated useful lives on a straight-line basis, which approximates the pattern in which the economic benefits of the assets are consumed.</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assess the recoverability of our long-lived assets when events or changes in circumstances indicate that the carrying value of an asset may not be recoverable or that the useful lives of those assets are no longer appropriate. An impairment charge would be recognized when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We recorded net lease-related impairment charges of $22.0 million for the year ended December 31, 2022.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 There were no impairment charges related to the identified long-lived assets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generate revenue from our customers primarily for subscriptions to access our core solutions and Value Added Services. Revenue is recognized upon transfer of control of promised services in an amount that reflects the consideration we expect to receive in exchange for those services. We enter into contracts that can include various combinations of services, which are generally capable of being distinct, distinct within the context of the contract, and accounted for as separate performance obligations. Revenue is recognized net of any taxes collected from customers, which are subsequently remitted to governmental authorities. We recognize revenue in proportion to the amount we have the right to invoice for certain core solutions and Value Added Services revenue, as that amount corresponds directly with our performance completed to date. Refer to Note 14, </w:t>
      </w:r>
      <w:r>
        <w:rPr>
          <w:rFonts w:ascii="Times New Roman" w:cs="Times New Roman" w:eastAsia="Times New Roman" w:hAnsi="Times New Roman"/>
          <w:sz w:val="18"/>
          <w:szCs w:val="18"/>
          <w:i w:val="1"/>
          <w:iCs w:val="1"/>
          <w:color w:val="auto"/>
        </w:rPr>
        <w:t>Revenue and Other Information</w:t>
      </w:r>
      <w:r>
        <w:rPr>
          <w:rFonts w:ascii="Times New Roman" w:cs="Times New Roman" w:eastAsia="Times New Roman" w:hAnsi="Times New Roman"/>
          <w:sz w:val="18"/>
          <w:szCs w:val="18"/>
          <w:color w:val="auto"/>
        </w:rPr>
        <w:t xml:space="preserve"> for the disaggregated breakdown of revenue between Core solutions, Value Added Services and Other revenue.</w:t>
      </w:r>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Core Solutions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charge our customers on a subscription basis for our core solutions. Our customers do not have rights to the underlying software code of our solutions, and, accordingly, we recognize subscription revenue over time on a straight-line basis over the contract term beginning on the date that our service is made available to the customer. The terms of our subscription agreements are monthly, annual, and multiyear and we typically invoice our customers for subscription services in monthly or annual installments, in advance of the subscription period.</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Value Added Services</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primarily charge our customers on a usage basis for our Value Added Services. Usage-based fees are charged either as a percentage of the transaction amount (e.g., for certain of our electronic payment services) or on a flat fee per transaction basis with no minimum usage commitments (e.g., for our tenant screening and risk mitigation services). We recognize revenue for usage-based services in the period the service is rendered. Our electronic payments services fees are recorded gross of the interchange and payment processing related fees. We generally invoice our customers for usage-based services on a monthly basis for services rendered in the preceding month. We also have certain Value Added Services which are charged on a subscription basis. We typically invoice our customers for subscription-based services in monthly installments, in advance of the subscription period. We recognize revenue for subscription-based services over time on a straight-line basis over the contract term beginning on the date that our service is made available to the customer. Some subscription or usage-based Value Added Services, such as fees for electronic payment services, are paid by either our customers or clients of our customers at the time the services are rendered.</w:t>
      </w:r>
    </w:p>
    <w:p>
      <w:pPr>
        <w:spacing w:after="0" w:line="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work with third-party partners to provide certain of our Value Added Services. For these Value Added Services, we evaluate whether we are the principal, and report revenue on a gross basis, or the agent, and report revenue on a net basis. In this assessment we consider if we obtain control of the specified services before they are transferred to the customer, as well as other indicators such as whether we are the party primarily responsible for fulfillment, and whether we have discretion in establishing price.</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revenue include fees from one-time services related to the implementation of our software solutions and other recurring or one-time fees related to our customers who are not otherwise using our core solutions. This includes legacy customers of businesses we have acquired where the customers haven't migrated to our core solutions. The fees for implementation and data migration services are billed upon signing our core subscription contract and are recognized as revenue in the period the service is rendered. Other services are billed when the services rendered are completed and delivered to the customer or billed in advance and deferred over the subscription period.</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deferred revenue when cash payments are received in advance of our performance. Deferred revenue as of December 31, 2022 and 2021 was $0.9 million and $2.5 million, respectively. During the twelve months ended December 31, 2022 and 2021, we recognized revenue of $2.4 million and $2.2 million, respectively, that were included in the deferred revenue balances at December 31, 2021 and 2020, respectively.</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(“RPO”) represents contracted revenue that has not been recognized, which includes deferred revenue and non-cancelable amounts that will be invoiced and recognized as revenue in future periods. RPO does not include revenue related to performance obligations that are part of a contract whose original expected duration is one year or less or related to usage-based Value Added Services that are billed in arrears.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4" w:name="page45"/>
    <w:bookmarkEnd w:id="44"/>
    <w:p>
      <w:pPr>
        <w:jc w:val="both"/>
        <w:ind w:firstLine="648"/>
        <w:spacing w:after="0" w:line="279" w:lineRule="auto"/>
        <w:rPr>
          <w:sz w:val="20"/>
          <w:szCs w:val="20"/>
          <w:color w:val="auto"/>
        </w:rPr>
      </w:pPr>
      <w:r>
        <w:rPr>
          <w:rFonts w:ascii="Times New Roman" w:cs="Times New Roman" w:eastAsia="Times New Roman" w:hAnsi="Times New Roman"/>
          <w:sz w:val="18"/>
          <w:szCs w:val="18"/>
          <w:color w:val="auto"/>
        </w:rPr>
        <w:t>As of December 31, 2022, the total non-cancelable RPO under our contracts with customers was $15 million, and we expect to recognize revenue on approximately 47% of these RPO over the following 12 months, with the balance to be recognized thereafter.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Costs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Deferred costs, which primarily consist of sales commissions, are considered incremental and recoverable costs of obtaining a contract with a customer. These costs are deferred and then amortized on a straight-line basis over a period of benefit that we have determined to be three years. We typically do not pay commissions for contract renewals. We determined the period of benefit by taking into consideration our customer contract term, the useful life of our internal-use software, average customer life, and other factors. Amortization expense for the deferred costs is included within sales and marketing expense in the accompanying Consolidated Statements of Operations.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Deferred costs were $15.8 million and $12.4 million at December 31, 2022 and 2021, respectively, of which $8.1 million and $6.4 million, respectively, are included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and $7.7 million and $6.0 million, respectively, are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accompanying Consolidated Balance Sheets. Amortization expense for deferred costs was $8.1 million, $6.8 million, and $5.8 million for the years ended December 31, 2022, 2021, and 2020, respectively. For the years ended December 31, 2022 and 2021, no impairments were identified in relation to the costs capitalized for the periods presented.</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(Exclusive of Depreciation and Amortization)</w:t>
      </w:r>
    </w:p>
    <w:p>
      <w:pPr>
        <w:spacing w:after="0" w:line="1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Many of our Value Added Services are facilitated by third-party service providers. Cost of revenue paid to these third-party service providers includes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Sales and marketing expense consists of personnel-related costs for our employees focused on sales and marketing (including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 Advertising expenses were $9.2 million, $9.4 million and $7.0 million for each of the years ended December 31, 2022, 2021 and 2020, respectively, and are expensed as incurred.</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Product Development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Research and product development expense consists of personnel-related costs for our employees focused on research and product development (including salaries, performance-based compensation,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which meet the criteria for capitalization. Amortization of capitalized software development costs is included in depreciation and amortization expense.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consists of personnel-related costs for employees in our executive, finance, information technology, human resources, legal, compliance, corporate development and administrative organizations (including salaries, performance-based compensation, benefits, and stock-based compensation). In addition, general and administrative expense includes fees for third-party professional services (including audit, legal, compliance, and tax services), transaction costs related to sales of subsidiary businesses, regulatory f, other corporate expenses, impairment of long-lived assets, and allocated shared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 stock-based compensation expense for restricted stock awards ("RSAs") and restricted stock units ("RSUs") with only service conditions on a straight-line basis over the requisite service period. For RSUs with both service and performance conditions (performance share units ("PSUs")), compensation cost is recorded on a graded-vesting method, if it is probable that the performance condition will be achieved. Adjustments to compensation expense are made each period based on changes in our estimate of the number of PSUs that are probable of vesting. PSUs will vest on the vesting date and upon achievement of the relevant performance metric once such calculation is finalized in accordance with our internal policies. We estimate a forfeiture rate to calculate our stock-based compensation expense for our stock-based awards.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 In evaluating the need for a valuation allowance, we consider the weighting of all available positive and negative evidence, which includes, among other things, the nature, frequency and severity of current and cumulative taxable income or losses, future projections of profitability, and the duration of statutory carryforward periods.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Share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income per share includes no dilution and is computed by dividing net (loss) income for the period by the weighted average number of common shares outstanding during the period. Diluted net income per share is computed by dividing net income for the period by the weighted average number of shares of common stock and potentially dilutive common stock outstanding during the period. The dilutive effect of outstanding options and equity incentive awards is reflected in diluted net income per share by application of the treasury stock method. The calculation of diluted net income per share excludes all anti-dilutive common shares.</w:t>
      </w:r>
    </w:p>
    <w:p>
      <w:pPr>
        <w:spacing w:after="0" w:line="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(loss) income per common share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6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r>
      <w:tr>
        <w:trPr>
          <w:trHeight w:val="23"/>
        </w:trPr>
        <w:tc>
          <w:tcPr>
            <w:tcW w:w="7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34,269</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Weighted average unvested restricted shares subject to repurchase</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34,264</w:t>
            </w:r>
          </w:p>
        </w:tc>
      </w:tr>
      <w:tr>
        <w:trPr>
          <w:trHeight w:val="175"/>
        </w:trPr>
        <w:tc>
          <w:tcPr>
            <w:tcW w:w="7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Plus: Weighted average options, restricted stock units and restricted shares used to compute diluted net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48"/>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2021 and 2020, an aggregate of 181,000 and 79,000 shares, respectively, underlying performance-based restricted stock units ("PSUs") were not included in the computations of diluted and anti-dilutive shares as they are considered contingently issuable upon satisfaction of pre-defined performance measures and their respective performance measures had not been met. Restricted stock units ("RSUs") with an anti-dilutive effect were excluded from the calculation of weighted average number of shares used to compute diluted net income per common share and they were not material for the years ended December 31, 2021 and 2020. Because we reported a net loss for the years ended December 31, 2022, all potentially dilutive common shares are anti-dilutive for these periods and have been excluded from the calculation of net loss per share.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1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2021-08,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 (Topic 805): Accounting for Contract Assets and Contract Liabilities from Contracts with Customers</w:t>
      </w:r>
      <w:r>
        <w:rPr>
          <w:rFonts w:ascii="Times New Roman" w:cs="Times New Roman" w:eastAsia="Times New Roman" w:hAnsi="Times New Roman"/>
          <w:sz w:val="18"/>
          <w:szCs w:val="18"/>
          <w:color w:val="auto"/>
        </w:rPr>
        <w:t>," which requires contract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liabilities acquired in a business combination to be recognized and measured by the acquirer on the acquisition date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 if the acquirer had originated the contracts. ASU 2021-08 is effective for fiscal years beginning after December 15, 2022, with early adoption permitted. We expect to adopt ASU 2021-08 on January 1, 2023.</w:t>
      </w:r>
    </w:p>
    <w:p>
      <w:pPr>
        <w:spacing w:after="0" w:line="296" w:lineRule="exact"/>
        <w:rPr>
          <w:sz w:val="20"/>
          <w:szCs w:val="20"/>
          <w:color w:val="auto"/>
        </w:rPr>
      </w:pPr>
    </w:p>
    <w:p>
      <w:pPr>
        <w:ind w:left="660" w:right="8700" w:hanging="607"/>
        <w:spacing w:after="0" w:line="367" w:lineRule="auto"/>
        <w:tabs>
          <w:tab w:leader="none" w:pos="23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Sales of Subsidiary Businesses </w:t>
      </w:r>
      <w:r>
        <w:rPr>
          <w:rFonts w:ascii="Times New Roman" w:cs="Times New Roman" w:eastAsia="Times New Roman" w:hAnsi="Times New Roman"/>
          <w:sz w:val="17"/>
          <w:szCs w:val="17"/>
          <w:b w:val="1"/>
          <w:bCs w:val="1"/>
          <w:i w:val="1"/>
          <w:iCs w:val="1"/>
          <w:color w:val="auto"/>
        </w:rPr>
        <w:t>Sale of WegoWise</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August 2022, we completed the sale of AppFolio Utility Management, Inc., dba WegoWise ("WegoWise"), a former wholly owned subsidiary of the Company that provided cloud-based utility analytics reporting software solutions to our customers. We sold WegoWise for $5.2 million (the “WegoWise Transaction”) and recognized a pre-tax gain on the sale of $4.2 million. Net assets divested are primarily comprised of intangible assets of $2.5 million and deferred revenue of $1.7 million. The gain on the sale is included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our Consolidated Statements of Operations.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 of MyCase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30, 2020, we completed the sale of MyCase, Inc. ("MyCase"), a former wholly owned subsidiary that provided legal practice and case management software solutions to our legal customers, for $193.0 million, consisting of $192.2 million of cash proceeds, plus a $2.2 million employee retention bonus pool funded by us, less cash divested of $0.8 million and a preliminary working capital adjustment of $0.6 million (the "MyCase Transaction"). The retention bonus pool was refundable to the Company to the extent that MyCase employees were terminated prior to the retention period, which was one year from the closing date of the MyCase Transaction.</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recognized a pre-tax gain on the sale of $188.0 million on the MyCase Transaction, consisting of cash proceeds of $192.2 million, less net assets divested of $4.6 million, plus an adjustment in the employee retention bonus pool of $0.4 million. Net assets divested is primarily comprised of capitalized software of $3.9 million, deferred revenue of $2.8 million and goodwill allocated to MyCase of $2.3 million. The gain on the sale was recorded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Income received during the twelve months ended December 31, 2021 and 2020 in relation to the transition services provided by us to MyCase was $2.4 million, and $1.1 million respectively, and is included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b w:val="1"/>
          <w:bCs w:val="1"/>
          <w:color w:val="auto"/>
        </w:rPr>
        <w:t>4. Investment Securities and Fair Value Measurements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securities classified as available-for-sale consisted of the following at December 31, 2022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42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80,048</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116,609</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114,458</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4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1"/>
                <w:szCs w:val="11"/>
                <w:color w:val="auto"/>
              </w:rPr>
            </w:pPr>
          </w:p>
        </w:tc>
        <w:tc>
          <w:tcPr>
            <w:tcW w:w="142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125,941</w:t>
            </w:r>
          </w:p>
        </w:tc>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125,676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2022,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December 31, 2022 or 2021.</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values of available-for-sale investment securities, by remaining contractual maturity, are as follows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4"/>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6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0"/>
        </w:trPr>
        <w:tc>
          <w:tcPr>
            <w:tcW w:w="48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89,297</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64,600</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three years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61,314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61,076</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investment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114,458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we had sales and maturities (which include calls) of investment securities, as follows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8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Gains</w:t>
            </w:r>
          </w:p>
        </w:tc>
        <w:tc>
          <w:tcPr>
            <w:tcW w:w="1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 Realized Losses</w:t>
            </w:r>
          </w:p>
        </w:tc>
        <w:tc>
          <w:tcPr>
            <w:tcW w:w="100" w:type="dxa"/>
            <w:vAlign w:val="bottom"/>
          </w:tcPr>
          <w:p>
            <w:pPr>
              <w:spacing w:after="0"/>
              <w:rPr>
                <w:sz w:val="11"/>
                <w:szCs w:val="11"/>
                <w:color w:val="auto"/>
              </w:rPr>
            </w:pPr>
          </w:p>
        </w:tc>
        <w:tc>
          <w:tcPr>
            <w:tcW w:w="15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120" w:type="dxa"/>
            <w:vAlign w:val="bottom"/>
          </w:tcPr>
          <w:p>
            <w:pPr>
              <w:spacing w:after="0"/>
              <w:rPr>
                <w:sz w:val="11"/>
                <w:szCs w:val="11"/>
                <w:color w:val="auto"/>
              </w:rPr>
            </w:pPr>
          </w:p>
        </w:tc>
        <w:tc>
          <w:tcPr>
            <w:tcW w:w="1400" w:type="dxa"/>
            <w:vAlign w:val="bottom"/>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20" w:type="dxa"/>
            <w:vAlign w:val="bottom"/>
          </w:tcPr>
          <w:p>
            <w:pPr>
              <w:spacing w:after="0"/>
              <w:rPr>
                <w:sz w:val="17"/>
                <w:szCs w:val="17"/>
                <w:color w:val="auto"/>
              </w:rPr>
            </w:pPr>
          </w:p>
        </w:tc>
        <w:tc>
          <w:tcPr>
            <w:tcW w:w="14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38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56,635</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87,883</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8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Realized Gains</w:t>
            </w:r>
          </w:p>
        </w:tc>
        <w:tc>
          <w:tcPr>
            <w:tcW w:w="16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Gross Realized Losses</w:t>
            </w:r>
          </w:p>
        </w:tc>
        <w:tc>
          <w:tcPr>
            <w:tcW w:w="100" w:type="dxa"/>
            <w:vAlign w:val="bottom"/>
          </w:tcPr>
          <w:p>
            <w:pPr>
              <w:spacing w:after="0"/>
              <w:rPr>
                <w:sz w:val="11"/>
                <w:szCs w:val="11"/>
                <w:color w:val="auto"/>
              </w:rPr>
            </w:pPr>
          </w:p>
        </w:tc>
        <w:tc>
          <w:tcPr>
            <w:tcW w:w="15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120" w:type="dxa"/>
            <w:vAlign w:val="bottom"/>
          </w:tcPr>
          <w:p>
            <w:pPr>
              <w:spacing w:after="0"/>
              <w:rPr>
                <w:sz w:val="11"/>
                <w:szCs w:val="11"/>
                <w:color w:val="auto"/>
              </w:rPr>
            </w:pPr>
          </w:p>
        </w:tc>
        <w:tc>
          <w:tcPr>
            <w:tcW w:w="1400" w:type="dxa"/>
            <w:vAlign w:val="bottom"/>
          </w:tcPr>
          <w:p>
            <w:pPr>
              <w:jc w:val="right"/>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Gross Proceeds from</w:t>
            </w: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120" w:type="dxa"/>
            <w:vAlign w:val="bottom"/>
          </w:tcPr>
          <w:p>
            <w:pPr>
              <w:spacing w:after="0"/>
              <w:rPr>
                <w:sz w:val="16"/>
                <w:szCs w:val="16"/>
                <w:color w:val="auto"/>
              </w:rPr>
            </w:pPr>
          </w:p>
        </w:tc>
        <w:tc>
          <w:tcPr>
            <w:tcW w:w="14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39,075</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Agency securities</w:t>
            </w:r>
          </w:p>
        </w:tc>
        <w:tc>
          <w:tcPr>
            <w:tcW w:w="6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43,198</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107,354</w:t>
            </w:r>
          </w:p>
        </w:tc>
        <w:tc>
          <w:tcPr>
            <w:tcW w:w="0" w:type="dxa"/>
            <w:vAlign w:val="bottom"/>
          </w:tcPr>
          <w:p>
            <w:pPr>
              <w:spacing w:after="0"/>
              <w:rPr>
                <w:sz w:val="1"/>
                <w:szCs w:val="1"/>
                <w:color w:val="auto"/>
              </w:rPr>
            </w:pPr>
          </w:p>
        </w:tc>
      </w:tr>
      <w:tr>
        <w:trPr>
          <w:trHeight w:val="21"/>
        </w:trPr>
        <w:tc>
          <w:tcPr>
            <w:tcW w:w="4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SecureDocs</w:t>
      </w:r>
    </w:p>
    <w:p>
      <w:pPr>
        <w:spacing w:after="0" w:line="20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December 2021, we sold all of our interest in SecureDocs. A gain of $12.8 million was recognized within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xml:space="preserve"> in our Consolidated Statements of Operations, a portion of which relates to the recovery of a $2.0 million note receivable which had been previously reserved.</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financial assets and liabilities measured at fair value on a recurring basis as of December 31, 2022 and 2021 by level within the fair value hierarchy (in thousands):</w:t>
      </w:r>
    </w:p>
    <w:p>
      <w:pPr>
        <w:spacing w:after="0" w:line="317"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ind w:right="375"/>
              <w:spacing w:after="0" w:line="129"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securities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Agency securities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Treasury securities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6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jc w:val="right"/>
              <w:ind w:right="335"/>
              <w:spacing w:after="0" w:line="129"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investment securities: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Agency securities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securities</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131,781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receivable, accounts payable and accrued liabilities approximate their fair value because of the short maturity of these items.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to our valuation techniques used to measure asset and liability fair values on a recurring basis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valuation techniques for the financial assets in the tables above are as follows: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December 31, 2022 and 2021, cash equivalents include cash invested in money market funds and treasury securities with a maturity of three months or less. Fair value is based on market prices for identical assets.</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Available-for-Sale Investment Securities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22,679</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r>
      <w:tr>
        <w:trPr>
          <w:trHeight w:val="223"/>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41,242</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(10,763)</w:t>
            </w:r>
          </w:p>
        </w:tc>
      </w:tr>
      <w:tr>
        <w:trPr>
          <w:trHeight w:val="223"/>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30,479</w:t>
            </w: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Depreciation expense for property and equipment totaled $5.1 million, $4.7 million, and $4.0 million for the years ended December 31, 2022, 2021 and 2020, respectively. During the year ended December 31, 2022, we recorded an impairment of $4.4 million related to property and equipment associated with our leased office spaces. For additional information,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Capitalized Software Development Costs,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software development costs, net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gross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115,377</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(74,165)</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Capitalized software development costs were $17.7 million, $27.2 million and $27.3 million for the years ended December 31, 2022, 2021 and 2020, respectively. Amortization expense with respect to software development costs totaled $23.6 million, $21.5 million and $17.9 million for the years ended December 31, 2022, 2021 and 2020, respectively. During the years ended December 31, 2022 and 2021, we disposed of $3.3 million and $8.8 million, respectively, of fully amortized capitalized software development costs.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amortization expense with respect to capitalized software development costs is estimated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5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63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7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bottom w:val="single" w:sz="8" w:color="CCEEFF"/>
            </w:tcBorders>
            <w:vMerge w:val="restart"/>
          </w:tcPr>
          <w:p>
            <w:pPr>
              <w:jc w:val="right"/>
              <w:ind w:right="3830"/>
              <w:spacing w:after="0"/>
              <w:rPr>
                <w:sz w:val="20"/>
                <w:szCs w:val="20"/>
                <w:color w:val="auto"/>
              </w:rPr>
            </w:pPr>
            <w:r>
              <w:rPr>
                <w:rFonts w:ascii="Times New Roman" w:cs="Times New Roman" w:eastAsia="Times New Roman" w:hAnsi="Times New Roman"/>
                <w:sz w:val="18"/>
                <w:szCs w:val="18"/>
                <w:color w:val="auto"/>
              </w:rPr>
              <w:t>48</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86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b w:val="1"/>
          <w:bCs w:val="1"/>
          <w:color w:val="auto"/>
        </w:rPr>
        <w:t>7. Intangible Assets, net and Goodwill</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 except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gridSpan w:val="6"/>
          </w:tcPr>
          <w:p>
            <w:pPr>
              <w:jc w:val="right"/>
              <w:ind w:right="115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Pr>
          <w:p>
            <w:pPr>
              <w:spacing w:after="0"/>
              <w:rPr>
                <w:sz w:val="11"/>
                <w:szCs w:val="11"/>
                <w:color w:val="auto"/>
              </w:rPr>
            </w:pPr>
          </w:p>
        </w:tc>
        <w:tc>
          <w:tcPr>
            <w:tcW w:w="162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48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6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48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Database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 relationships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Domain names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8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tcBorders>
              <w:bottom w:val="single" w:sz="8" w:color="auto"/>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80" w:type="dxa"/>
            <w:vAlign w:val="bottom"/>
            <w:gridSpan w:val="6"/>
          </w:tcPr>
          <w:p>
            <w:pPr>
              <w:jc w:val="right"/>
              <w:ind w:right="11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Pr>
          <w:p>
            <w:pPr>
              <w:spacing w:after="0"/>
              <w:rPr>
                <w:sz w:val="11"/>
                <w:szCs w:val="11"/>
                <w:color w:val="auto"/>
              </w:rPr>
            </w:pPr>
          </w:p>
        </w:tc>
        <w:tc>
          <w:tcPr>
            <w:tcW w:w="16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148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Useful</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6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4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0" w:type="dxa"/>
            <w:vAlign w:val="bottom"/>
          </w:tcPr>
          <w:p>
            <w:pPr>
              <w:spacing w:after="0"/>
              <w:rPr>
                <w:sz w:val="1"/>
                <w:szCs w:val="1"/>
                <w:color w:val="auto"/>
              </w:rPr>
            </w:pPr>
          </w:p>
        </w:tc>
      </w:tr>
      <w:tr>
        <w:trPr>
          <w:trHeight w:val="228"/>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Database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Partner relationships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Domain names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90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year ended December 31, 2022, we divested intangible assets of $2.5 million as part of the WegoWise Transaction. For additional information see Note 3, </w:t>
      </w:r>
      <w:r>
        <w:rPr>
          <w:rFonts w:ascii="Times New Roman" w:cs="Times New Roman" w:eastAsia="Times New Roman" w:hAnsi="Times New Roman"/>
          <w:sz w:val="18"/>
          <w:szCs w:val="18"/>
          <w:i w:val="1"/>
          <w:iCs w:val="1"/>
          <w:color w:val="auto"/>
        </w:rPr>
        <w:t>Sales of Subsidiary Businesses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Amortization expense with respect to intangible assets totaled $4.4 million, $4.6 million and $4.9 million for the years ended December 31, 2022, 2021 and 2020, respectively. Future amortization expense with respect to intangible assets is estimated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30"/>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48"/>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goodwill balance is solely attributed to acquisitions. The change in the carrying amount of goodwill during the year ended December 31, 2022 is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2021</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56,147</w:t>
            </w:r>
          </w:p>
        </w:tc>
      </w:tr>
      <w:tr>
        <w:trPr>
          <w:trHeight w:val="230"/>
        </w:trPr>
        <w:tc>
          <w:tcPr>
            <w:tcW w:w="9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attributed to WegoWise Transaction</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8"/>
        </w:trPr>
        <w:tc>
          <w:tcPr>
            <w:tcW w:w="9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2022</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56,060</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b w:val="1"/>
          <w:bCs w:val="1"/>
          <w:color w:val="auto"/>
        </w:rPr>
        <w:t>8. Accrued Employee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employee expenses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80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80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bonuses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13,101</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w:t>
            </w:r>
          </w:p>
        </w:tc>
      </w:tr>
      <w:tr>
        <w:trPr>
          <w:trHeight w:val="223"/>
        </w:trPr>
        <w:tc>
          <w:tcPr>
            <w:tcW w:w="8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employee expenses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30,065</w:t>
            </w:r>
          </w:p>
        </w:tc>
      </w:tr>
      <w:tr>
        <w:trPr>
          <w:trHeight w:val="21"/>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leases for our corporate offices have remaining lease terms ranging from five months to ten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recognized in the Consolidated Statements of Operations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8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48"/>
        </w:trPr>
        <w:tc>
          <w:tcPr>
            <w:tcW w:w="7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lease cost</w:t>
            </w: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Lease-related assets and liabilities were as follows (in thousands, except years and %):</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23"/>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4,854</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23,485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41,710</w:t>
            </w:r>
          </w:p>
        </w:tc>
      </w:tr>
      <w:tr>
        <w:trPr>
          <w:trHeight w:val="270"/>
        </w:trPr>
        <w:tc>
          <w:tcPr>
            <w:tcW w:w="8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1,874</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50,237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55,733</w:t>
            </w:r>
          </w:p>
        </w:tc>
      </w:tr>
      <w:tr>
        <w:trPr>
          <w:trHeight w:val="223"/>
        </w:trPr>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53,594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57,607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tbl>
      <w:tblPr>
        <w:tblLayout w:type="fixed"/>
        <w:tblInd w:w="140" w:type="dxa"/>
        <w:tblCellMar>
          <w:top w:w="0" w:type="dxa"/>
          <w:left w:w="0" w:type="dxa"/>
          <w:bottom w:w="0" w:type="dxa"/>
          <w:right w:w="0" w:type="dxa"/>
        </w:tblCellMar>
      </w:tblPr>
      <w:tr>
        <w:trPr>
          <w:trHeight w:val="234"/>
        </w:trPr>
        <w:tc>
          <w:tcPr>
            <w:tcW w:w="9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2022 were as follows (in thousands):</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22"/>
        </w:trPr>
        <w:tc>
          <w:tcPr>
            <w:tcW w:w="96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9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2023</w:t>
            </w:r>
            <w:r>
              <w:rPr>
                <w:rFonts w:ascii="Times New Roman" w:cs="Times New Roman" w:eastAsia="Times New Roman" w:hAnsi="Times New Roman"/>
                <w:sz w:val="23"/>
                <w:szCs w:val="23"/>
                <w:color w:val="auto"/>
                <w:vertAlign w:val="superscript"/>
              </w:rPr>
              <w:t>(1)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r>
      <w:tr>
        <w:trPr>
          <w:trHeight w:val="229"/>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7,239</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35,042</w:t>
            </w:r>
          </w:p>
        </w:tc>
      </w:tr>
      <w:tr>
        <w:trPr>
          <w:trHeight w:val="223"/>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65,119</w:t>
            </w:r>
          </w:p>
        </w:tc>
      </w:tr>
      <w:tr>
        <w:trPr>
          <w:trHeight w:val="23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r>
      <w:tr>
        <w:trPr>
          <w:trHeight w:val="223"/>
        </w:trPr>
        <w:tc>
          <w:tcPr>
            <w:tcW w:w="9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53,594</w:t>
            </w:r>
          </w:p>
        </w:tc>
      </w:tr>
      <w:tr>
        <w:trPr>
          <w:trHeight w:val="21"/>
        </w:trPr>
        <w:tc>
          <w:tcPr>
            <w:tcW w:w="9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Future minimum lease payments for the year ending December 31, 2023 are presented net of tenant improvement allowances of $3.5 million.</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During the current year, we decided to exit and make available for sublease certain leased office spaces. As a result, we reassessed our asset groupings and evaluated the recoverability of our right-of-use and other lease related assets, and determined that the carrying value of the respective asset groups was not fully recoverable. We utilized discounted cash flow models to estimate the fair value of the asset groups taking into consideration the time period it will take to obtain a sublessee, the applicable discount rates and the anticipated sublease income and calculated the corresponding impairment loss. We used prices and other relevant information generated primarily by recent market transactions involving similar or comparable assets, as well as our historical experience in real estate transactions. When available, we use valuation inputs from independent valuation experts, such as real estate appraisers and brokers, to corroborate our estimates of fair value. We recorded a net impairment of $22.0 million consisting of $17.6 million related to ROU assets and $4.4 million related to property and equipment associated with our leased office spaces. These amounts were recorded within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in our Consolidated Statements of Operations.</w:t>
      </w: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Liability to Landlord Insurance</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December 31, 2022 and 2021 was $2.7 million and $1.7 million, respectively, and is included in </w:t>
      </w:r>
      <w:r>
        <w:rPr>
          <w:rFonts w:ascii="Times New Roman" w:cs="Times New Roman" w:eastAsia="Times New Roman" w:hAnsi="Times New Roman"/>
          <w:sz w:val="18"/>
          <w:szCs w:val="18"/>
          <w:i w:val="1"/>
          <w:iCs w:val="1"/>
          <w:color w:val="auto"/>
        </w:rPr>
        <w:t>Other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on our Consolidated Balance Sheets.</w:t>
      </w:r>
    </w:p>
    <w:p>
      <w:pPr>
        <w:spacing w:after="0" w:line="7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as of December 31, 2022 and 2021 are $4.5 million and $3.0 million, respectively, of deposits held with a third party related to requirements to maintain collateral for this risk mitigation service.</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investigative inquiries, and other disputes arising from or related to matters incident to the ordinary course of our business activities. We are not currently a party to any legal proceedings, nor are we aware of any pending or threatened legal proceedings, that we believe would have a material adverse effect on our business, operating results, cash flows or financial condition should such proceedings be resolved unfavorably.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Consolidated Financial Statements.</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effectiveness of our Amended and Restated Certificate of Incorporation on June 25, 2015, the number of shares of capital stock that is authorized to be issued was increased to 325,000,000 shares, of which 250,000,000 shares are Class A common stock, 50,000,000 shares are Class B common stock and 25,000,000 are undesignated preferred stock. The Class A common stock, Class B common stock and preferred stock have a par value of $0.0001 per share.</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 and Class B Common Stock</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for voting rights, or as otherwise required by applicable law, the shares of our Class A common stock and Class B common stock have the same powers, preferences and rights and rank equally, share ratably and are identical in all respects as to all matters. The rights and preferences are as follows:</w:t>
      </w:r>
    </w:p>
    <w:p>
      <w:pPr>
        <w:spacing w:after="0" w:line="6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Subject to preferences that may apply to any shares of preferred stock outstanding at the time, the holders of outstanding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Class A common stock and Class B common stock are entitled to receive dividends out of funds legally available at the times and in the amounts that our Board of Directors may determine.</w:t>
      </w:r>
    </w:p>
    <w:p>
      <w:pPr>
        <w:spacing w:after="0" w:line="6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our Class A common stock are entitled to one vote per share, and holders of our Class B common stock are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 votes per share. The holders of our Class A common stock and Class B common stock will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addition, our amended and restated certificate of incorporation requires the approval of the holders of at least a majority of the outstanding shares of our Class B common stock, voting as a separate class to approve a change-in-control transaction.</w:t>
      </w:r>
    </w:p>
    <w:p>
      <w:pPr>
        <w:spacing w:after="0" w:line="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Each share of our Class B common stock is convertible at any time at the option of the holder into one share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addition, each share of our Class B common stock will convert into one share of our Class A common stock upon any transfer, whether or not for value, except for certain transfers described in our amended and restated certificate of incorporation, including, without limitation, (i) a transfer by a partnership or limited liability company that was a registered holder of our Class B common stock at the “effective time,” as defined in our amended and restated certificate of incorporation, to a partner or member thereof at the effective time or (ii) a transfer to a “qualified recipient,” as defined in our amended and restated certificate of incorporation.</w:t>
      </w:r>
    </w:p>
    <w:p>
      <w:pPr>
        <w:spacing w:after="0" w:line="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the outstanding shares of our Class B common stock will convert automatically into shares of our Class A common stock upon the date when the number of outstanding shares of our Class B common stock represents less than 10% of all outstanding shares of our Class A common stock and Class B common stock. Once converted into our Class A common stock, our Class B common stock may not be reissued.</w:t>
      </w:r>
    </w:p>
    <w:p>
      <w:pPr>
        <w:spacing w:after="0" w:line="6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Right to Receive Liquidation Distributions</w:t>
      </w:r>
      <w:r>
        <w:rPr>
          <w:rFonts w:ascii="Times New Roman" w:cs="Times New Roman" w:eastAsia="Times New Roman" w:hAnsi="Times New Roman"/>
          <w:sz w:val="18"/>
          <w:szCs w:val="18"/>
          <w:color w:val="auto"/>
        </w:rPr>
        <w:t>. Upon our dissolution, liquidation or winding-up, the assets legally available for distribution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up to 25,000,000 shares of our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action by our stockholders. The number of authorized shares of any series of preferred stock may be increased or decreased, but not below the number of shares of that series then outstanding, by the affirmative vote of the holders of a majority of the voting power of our outstanding capital stock entitled to vote thereon, or such other vote as may be required by the certificate of designation establishing the series.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20, 2019, our Board of Directors authorized a $100.0 million share repurchase program (the "Share Repurchase Program") relating to our outstanding shares of Class A common stock. Under the Share Repurchase Program, share repurchases may be made from time to time, as directed by a committee consisting of three directors, in open market purchases or in privately negotiated transactions at a repurchase price that the members of the committee unanimously believe is below intrinsic value conservatively determined. The Share Repurchase Program does not obligate us to repurchase any specific dollar amount or number of shares, there is no expiration date for the Share Repurchase Program, which may be modified, suspended or terminated at any time and for any reason.</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we repurchased a total of 48,002 shares of our Class A common stock through open market repurchases, and recorded a $4.2 million reduction to stockholders' equity, which includes broker commissions. We have not made any other repurchases under the Share Repurchase Program.</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have two stock incentive plans, our 2007 Stock Incentive Plan (the "2007 Plan") and the 2015 Stock Incentive Plan (the "2015 Plan"). The 2007 Plan expired on February 14, 2017, however it will continue to govern outstanding awards granted under the 2007 Plan.</w:t>
      </w:r>
    </w:p>
    <w:p>
      <w:pPr>
        <w:spacing w:after="0" w:line="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2015 Plan, 2,000,000 shares of our Class A common stock were reserved and available for grant and issuance. On January 1 of each subsequent calendar year, the number of shares available for grant and issuance under the 2015 Plan increase by the lesser of (i) the number of shares of our Class A common stock subject to awards granted under the 2015 Plan during the preceding calendar year and (ii) such lesser number of shares of our Class A common stock determined by our Board of Directors. At December 31, 2022, we have reserved an aggregate of 4,450,726 shares of our Class A common stock for grant and issuance under the 2015 Plan. The number of shares of our Class A common stock is also subject to adjustment in the event of a recapitalization, stock split, reclassification, stock dividend or other change in our capitalization. The 2015 Plan authorizes the award of stock options, stock appreciation rights, RSAs, RSUs, performance awards and stock bonuses. The 2015 Plan provides for the grant of awards to our employees, directors, consultants and independent contractors, subject to certain exceptions. RSUs, PSUs, and RSAs have been issued during 2022 pursuant to the 2015 Plan.</w:t>
      </w:r>
    </w:p>
    <w:p>
      <w:pPr>
        <w:spacing w:after="0" w:line="3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RSUs and PSUs represent the right on the part of the holder to receive shares of our Class A common stock at a specified date in the future or the achievement of performance conditions at the discretion of our compensation committee, subject to forfeiture of that right due to termination of employment. If an RSU or PSU has not been forfeited, then, on the specified date, we will deliver to the holder of the RSU or PSU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activity in connection with our stock options for the year ended December 31, 2022 is as follows (number of shares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16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98"/>
        </w:trPr>
        <w:tc>
          <w:tcPr>
            <w:tcW w:w="6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 in Years</w:t>
            </w:r>
          </w:p>
        </w:tc>
        <w:tc>
          <w:tcPr>
            <w:tcW w:w="0" w:type="dxa"/>
            <w:vAlign w:val="bottom"/>
          </w:tcPr>
          <w:p>
            <w:pPr>
              <w:spacing w:after="0"/>
              <w:rPr>
                <w:sz w:val="1"/>
                <w:szCs w:val="1"/>
                <w:color w:val="auto"/>
              </w:rPr>
            </w:pPr>
          </w:p>
        </w:tc>
      </w:tr>
      <w:tr>
        <w:trPr>
          <w:trHeight w:val="22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2021</w:t>
            </w:r>
          </w:p>
        </w:tc>
        <w:tc>
          <w:tcPr>
            <w:tcW w:w="1620" w:type="dxa"/>
            <w:vAlign w:val="bottom"/>
            <w:tcBorders>
              <w:top w:val="single" w:sz="8" w:color="auto"/>
            </w:tcBorders>
            <w:shd w:val="clear" w:color="auto" w:fill="CCEEFF"/>
          </w:tcPr>
          <w:p>
            <w:pPr>
              <w:jc w:val="center"/>
              <w:ind w:left="1133"/>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620" w:type="dxa"/>
            <w:vAlign w:val="bottom"/>
            <w:tcBorders>
              <w:bottom w:val="single" w:sz="8" w:color="auto"/>
            </w:tcBorders>
          </w:tcPr>
          <w:p>
            <w:pPr>
              <w:jc w:val="center"/>
              <w:ind w:left="1113"/>
              <w:spacing w:after="0"/>
              <w:rPr>
                <w:sz w:val="20"/>
                <w:szCs w:val="20"/>
                <w:color w:val="auto"/>
              </w:rPr>
            </w:pPr>
            <w:r>
              <w:rPr>
                <w:rFonts w:ascii="Times New Roman" w:cs="Times New Roman" w:eastAsia="Times New Roman" w:hAnsi="Times New Roman"/>
                <w:sz w:val="18"/>
                <w:szCs w:val="18"/>
                <w:color w:val="auto"/>
                <w:w w:val="97"/>
              </w:rPr>
              <w:t>(330)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December 31, 2022</w:t>
            </w:r>
          </w:p>
        </w:tc>
        <w:tc>
          <w:tcPr>
            <w:tcW w:w="1620" w:type="dxa"/>
            <w:vAlign w:val="bottom"/>
            <w:tcBorders>
              <w:bottom w:val="single" w:sz="8" w:color="auto"/>
            </w:tcBorders>
            <w:shd w:val="clear" w:color="auto" w:fill="CCEEFF"/>
          </w:tcPr>
          <w:p>
            <w:pPr>
              <w:jc w:val="center"/>
              <w:ind w:left="1133"/>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2022:</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620" w:type="dxa"/>
            <w:vAlign w:val="bottom"/>
          </w:tcPr>
          <w:p>
            <w:pPr>
              <w:jc w:val="center"/>
              <w:ind w:left="1133"/>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w:t>
            </w:r>
          </w:p>
        </w:tc>
        <w:tc>
          <w:tcPr>
            <w:tcW w:w="1620" w:type="dxa"/>
            <w:vAlign w:val="bottom"/>
            <w:shd w:val="clear" w:color="auto" w:fill="CCEEFF"/>
          </w:tcPr>
          <w:p>
            <w:pPr>
              <w:jc w:val="center"/>
              <w:ind w:left="1133"/>
              <w:spacing w:after="0"/>
              <w:rPr>
                <w:sz w:val="20"/>
                <w:szCs w:val="20"/>
                <w:color w:val="auto"/>
              </w:rPr>
            </w:pPr>
            <w:r>
              <w:rPr>
                <w:rFonts w:ascii="Times New Roman" w:cs="Times New Roman" w:eastAsia="Times New Roman" w:hAnsi="Times New Roman"/>
                <w:sz w:val="18"/>
                <w:szCs w:val="18"/>
                <w:color w:val="auto"/>
              </w:rPr>
              <w:t>516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stock-based compensation expense for stock options were not material for the periods presented.</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stock options were granted during the years ended December 31, 2022, 2021 or 2020.</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total intrinsic value of options exercised in 2022, 2021 and 2020 was $31.1 million, $39.1 million, and $17.9 million, respectively. This intrinsic value represents the difference between the fair value of our common stock on the date of exercise and the exercise price of each option. Based on the fair value of our common stock at December 31, 2022, the total intrinsic value of all outstanding options, exercisable options, and options vested and expected to vest was $47.7 million.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activity in connection with our RSUs for the year ended December 31, 2022 is as follows (number of shares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7"/>
        </w:trPr>
        <w:tc>
          <w:tcPr>
            <w:tcW w:w="7380" w:type="dxa"/>
            <w:vAlign w:val="bottom"/>
          </w:tcPr>
          <w:p>
            <w:pPr>
              <w:spacing w:after="0"/>
              <w:rPr>
                <w:sz w:val="11"/>
                <w:szCs w:val="11"/>
                <w:color w:val="auto"/>
              </w:rPr>
            </w:pPr>
          </w:p>
        </w:tc>
        <w:tc>
          <w:tcPr>
            <w:tcW w:w="18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738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 per Share</w:t>
            </w:r>
          </w:p>
        </w:tc>
        <w:tc>
          <w:tcPr>
            <w:tcW w:w="0" w:type="dxa"/>
            <w:vAlign w:val="bottom"/>
          </w:tcPr>
          <w:p>
            <w:pPr>
              <w:spacing w:after="0"/>
              <w:rPr>
                <w:sz w:val="1"/>
                <w:szCs w:val="1"/>
                <w:color w:val="auto"/>
              </w:rPr>
            </w:pPr>
          </w:p>
        </w:tc>
      </w:tr>
      <w:tr>
        <w:trPr>
          <w:trHeight w:val="23"/>
        </w:trPr>
        <w:tc>
          <w:tcPr>
            <w:tcW w:w="73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Unvested RSUs as of December 31, 2022 were composed of 1.0 million RSUs with only service conditions and 0.2 million PSUs with both service conditions and performance conditions. RSUs granted with only service conditions generally vest over a four-year period. The number of PSUs granted, as included in the above table, assumes achievement of the performance metric at 100% of the performance target. Of the unvested PSUs as of December 31, 2022, 0.1 million are subject to vesting based on the achievement of pre-established performance metrics for the year ending December 31, 2022 and will vest over a three year period, assuming continued employment throughout the performance period. The actual number of shares to be issued at the end of the performance period will range from 0% to 150% of the target number of shares depending on achievement relative to the performance metric over the applicable period. The remaining 0.1 million PSUs unvested as of December 31, 2022 are subject to vesting based on the achievement of pre-established performance metrics for the years ending December 31, 2022 and 2023, assuming continued employment throughout the performance period.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57" w:name="page58"/>
    <w:bookmarkEnd w:id="5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recognized stock-based compensation expense for the RSUs and PSUs of $43.3 million, $17.3 million and $10.4 million for the years ended December 31, 2022, 2021 and 2020, respectively. Excluded from stock-based compensation expense is capitalized software development costs of $3.0 million, $2.7 million, and $2.1 million for the years ended December 31, 2022, 2021 and 2020, respectively. As of December 31, 2022, the total estimated remaining stock-based compensation expense for the aforementioned RSUs and PSUs was $100.1 million, which is expected to be recognized over a weighted average period of 2.6 years. The total fair value of RSUs and PSUs vested during the years ended December 31, 2022, 2021 and 2020 was approximately $27.5 million, $26.6 million and $32.0 million, respectively.</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activity in connection with our RSAs for the year ended December 31, 2022 is as follows (number of shares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7420" w:type="dxa"/>
            <w:vAlign w:val="bottom"/>
          </w:tcPr>
          <w:p>
            <w:pPr>
              <w:spacing w:after="0"/>
              <w:rPr>
                <w:sz w:val="12"/>
                <w:szCs w:val="12"/>
                <w:color w:val="auto"/>
              </w:rPr>
            </w:pPr>
          </w:p>
        </w:tc>
        <w:tc>
          <w:tcPr>
            <w:tcW w:w="15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3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742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0" w:type="dxa"/>
            <w:vAlign w:val="bottom"/>
          </w:tcPr>
          <w:p>
            <w:pPr>
              <w:spacing w:after="0"/>
              <w:rPr>
                <w:sz w:val="1"/>
                <w:szCs w:val="1"/>
                <w:color w:val="auto"/>
              </w:rPr>
            </w:pPr>
          </w:p>
        </w:tc>
      </w:tr>
      <w:tr>
        <w:trPr>
          <w:trHeight w:val="230"/>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0" w:type="dxa"/>
            <w:vAlign w:val="bottom"/>
          </w:tcPr>
          <w:p>
            <w:pPr>
              <w:spacing w:after="0"/>
              <w:rPr>
                <w:sz w:val="1"/>
                <w:szCs w:val="1"/>
                <w:color w:val="auto"/>
              </w:rPr>
            </w:pPr>
          </w:p>
        </w:tc>
      </w:tr>
      <w:tr>
        <w:trPr>
          <w:trHeight w:val="229"/>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5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the right to repurchase any unvested RSAs subject to certain conditions. Restricted stock awards vest over a one-year period. Our stock-based compensation expense for RSAs was not material for the periods presented.</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the total estimated remaining stock-based compensation expense for unvested restricted stock awards with a repurchase right was $0.3 million, which is expected to be recognized over a weighted average period of 0.5 years.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as compared to the U.S. federal statutory rate of 21% differs primarily due to change in valuation allowance against deferred taxes and non-deductible expenses, partially offset by state income taxes and tax benefits associated with stock-based compensation expense and research and development tax credits.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a reconciliation of the components that caused our provision for income taxes to differ from amounts computed by applying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federal statutory rate:</w:t>
      </w:r>
    </w:p>
    <w:p>
      <w:pPr>
        <w:spacing w:after="0" w:line="160"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33655</wp:posOffset>
            </wp:positionV>
            <wp:extent cx="27343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gridSpan w:val="2"/>
          </w:tcPr>
          <w:p>
            <w:pPr>
              <w:ind w:left="7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3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9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officers' compensation</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The provision for income tax consists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60" w:type="dxa"/>
            <w:vAlign w:val="bottom"/>
            <w:gridSpan w:val="9"/>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1,313</w:t>
            </w:r>
          </w:p>
        </w:tc>
        <w:tc>
          <w:tcPr>
            <w:tcW w:w="2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1,999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bottom w:val="single" w:sz="8" w:color="CCEEFF"/>
            </w:tcBorders>
            <w:vMerge w:val="restart"/>
          </w:tcPr>
          <w:p>
            <w:pPr>
              <w:ind w:left="640"/>
              <w:spacing w:after="0"/>
              <w:rPr>
                <w:sz w:val="20"/>
                <w:szCs w:val="20"/>
                <w:color w:val="auto"/>
              </w:rPr>
            </w:pPr>
            <w:r>
              <w:rPr>
                <w:rFonts w:ascii="Times New Roman" w:cs="Times New Roman" w:eastAsia="Times New Roman" w:hAnsi="Times New Roman"/>
                <w:sz w:val="18"/>
                <w:szCs w:val="18"/>
                <w:color w:val="auto"/>
              </w:rPr>
              <w:t>The components of deferred tax assets (liabilities) were as follows (in thousands):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80" w:type="dxa"/>
            <w:vAlign w:val="bottom"/>
          </w:tcPr>
          <w:p>
            <w:pPr>
              <w:spacing w:after="0"/>
              <w:rPr>
                <w:sz w:val="19"/>
                <w:szCs w:val="19"/>
                <w:color w:val="auto"/>
              </w:rPr>
            </w:pPr>
          </w:p>
        </w:tc>
        <w:tc>
          <w:tcPr>
            <w:tcW w:w="4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software costs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software costs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commissions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Lease asset</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December 31, 2022, we had state net operating loss carryforwards $66.0 million. The state net operating losses will begin to expire in 2028. At December 31, 2022, we also had federal and state research and development credit carryforwards of $8.7 million and $19.3 million, respectively. The federal credit carryforwards will begin to expire in 2040, while the state credit carryforwards apply indefinitely. Utilization of our net operating loss and credit carryforwards may be subject to annual limitation due to the ownership change limitations provided by the Internal Revenue Code and similar state provisions. We have undertaken an analysis and have determined that there are no limitations on the tax attributes at December 31,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The change in the valuation allowance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3"/>
        </w:trPr>
        <w:tc>
          <w:tcPr>
            <w:tcW w:w="7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7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reserves for unrecognized tax benefits from uncertain tax positions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3"/>
        </w:trPr>
        <w:tc>
          <w:tcPr>
            <w:tcW w:w="72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7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2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beginning of year</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7,816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Increases-tax positions in current year</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1,639</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end of year</w:t>
            </w: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9,455</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unrecognized tax benefits are recorded as a reduction to the deferred tax assets and liabilities.</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2022 and 2021, we had no accrued interest and penalties related to uncertain income tax positions. We do not anticipate that the amount of unrecognized tax benefits will significantly increase or decrease within the next twelve months.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states. Due to the net operating loss carryforwards, our federal and state returns are open to examination by the Internal Revenue Service and state jurisdictions for all years since inception.</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Revenue and Other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revenue categories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23"/>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solutions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100,938</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Services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195,146</w:t>
            </w: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471,883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359,370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310,056</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revenue is generated primarily from United States customers. All of our property and equipment is located in the United States.</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Retirement Plans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401(k) retirement and savings plan made available to all employees. We may, at our discretion, make matching contributions to the 401(k) plan. Cash contributions to the plan were $5.9 million, $4.0 million, and $3.2 million for the years ended December 31, 2022, 2021 and 2020, respectively.</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0" w:name="page61"/>
    <w:bookmarkEnd w:id="60"/>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tab/>
        <w:t>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supervision and participation of our principal executive officer and principal financial officer, evaluated the effectiveness of our disclosure controls and procedures at December 31, 2022, the last day of the period covered by this Annual Report. Disclosure controls and procedures include, without limitation, controls and other procedures designed to provide reasonable assurance that information required to be disclosed by a company in the reports that it files or submits under the Exchange Act is recorded, processed, summarized and reported within the time periods specified by the SEC’s rules and forms and that such information is accumulated and communicated to its management, including its principal executive officer and principal financial officer, as appropriate, to allow timely decisions regarding required disclosure. Based on our management's evaluation, our principal executive officer and principal financial officer have concluded that, at December 31, 2022, our disclosure controls and procedures were effective at the reasonable assurance level.</w:t>
      </w: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December 31, 2022, our management assessed the effectiveness of our internal control over financial reporting using the criteria set forth in the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as issued by the Committee of Sponsoring Organizations (COSO) of the Treadway Commission. Based on our evaluation under the COSO criteria, our management concluded that our internal control over financial reporting was effective at the reasonable assurance level as of December 31, 2022.</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PricewaterhouseCoopers LLP, an independent registered public accounting firm, as stated in their audit report which expresses an unqualified opinion on the effectiveness of our internal control over financial reporting at December 31, 2022.</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under the Exchange Act that occurred during the quarter ended December 31, 2022 that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8, 2023, the Company entered into an employment agreement (the “Employment Agreement”) with William Shane Trigg, the Company’s President and General Manager, Real Estate. Pursuant to the Employment Agreement, Mr. Trigg is entitled to receive (a) an annual base salary paid in accordance with the Company's regular payroll practices, (b) an annual cash bonus award, with a target set annually by the Board of Directors, (c) a performance-based restricted stock unit award, which award will vest if applicable performance conditions are achieved over a performance period of up to three years, and (d) a time-based restricted stock unit award, which award will vest consistent with the Company’s standard time-vesting schedule. In the event the Company terminates Mr. Trigg’s employment without “cause” or he resigns for “good reason,” he will be entitled to (i) twelve months of base salary continuation, (ii) a prorated cash bonus award for the year of termination, (iii) payment of COBRA premiums for twelve months, and (iv) payment of any earned but unpaid cash bonus awards.</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Employment Agreement does not purport to be complete and is qualified in its entirety by reference to the full text of the Employment Agreement, a copy of which is filed as an exhibit to this Annual Report.</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DISCLOSURES REGARDING FOREIGN JURISDICTION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1" w:name="page62"/>
    <w:bookmarkEnd w:id="6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or an amendment to this Annual Report, which will be filed with the SEC not later than 120 days after the end of our fiscal year ended December 31, 2022, and is incorporated herein by reference.</w:t>
      </w:r>
    </w:p>
    <w:p>
      <w:pPr>
        <w:spacing w:after="0" w:line="3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or an amendment to this Annual Report, which will be filed with the SEC not later than 120 days after the end of our fiscal year ended December 31, 2022, and is incorporated herein by reference.</w:t>
      </w:r>
    </w:p>
    <w:p>
      <w:pPr>
        <w:spacing w:after="0" w:line="158" w:lineRule="exact"/>
        <w:rPr>
          <w:sz w:val="20"/>
          <w:szCs w:val="20"/>
          <w:color w:val="auto"/>
        </w:rPr>
      </w:pPr>
    </w:p>
    <w:p>
      <w:pPr>
        <w:ind w:left="940" w:right="420" w:hanging="1295"/>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or an amendment to this Annual Report, which will be filed with the SEC not later than 120 days after the end of our fiscal year ended December 31, 2022,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or an amendment to this Annual Report, which will be filed with the SEC not later than 120 days after the end of our fiscal year ended December 31, 2022,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or an amendment to this Annual Report, which will be filed with the SEC not later than 120 days after the end of our fiscal year ended December 31, 2022, and is incorporated herein by reference.</w:t>
      </w:r>
    </w:p>
    <w:p>
      <w:pPr>
        <w:spacing w:after="0" w:line="1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STATEMENTS SCHEDULES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252" w:lineRule="exact"/>
        <w:rPr>
          <w:sz w:val="20"/>
          <w:szCs w:val="20"/>
          <w:color w:val="auto"/>
        </w:rPr>
      </w:pPr>
    </w:p>
    <w:p>
      <w:pPr>
        <w:ind w:left="1700" w:hanging="396"/>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17" w:lineRule="exact"/>
        <w:rPr>
          <w:rFonts w:ascii="Times New Roman" w:cs="Times New Roman" w:eastAsia="Times New Roman" w:hAnsi="Times New Roman"/>
          <w:sz w:val="18"/>
          <w:szCs w:val="18"/>
          <w:color w:val="auto"/>
        </w:rPr>
      </w:pPr>
    </w:p>
    <w:p>
      <w:pPr>
        <w:ind w:left="17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are listed in the “Index to Consolidated Financial Statements” under Part II, Item 8, of this Annual Report.</w:t>
      </w:r>
    </w:p>
    <w:p>
      <w:pPr>
        <w:spacing w:after="0" w:line="364"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7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 schedules have been omitted because they are not required or are not applicable, or the required information is shown in our Consolidated Financial Statements or the notes thereto.</w:t>
      </w:r>
    </w:p>
    <w:p>
      <w:pPr>
        <w:spacing w:after="0" w:line="37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17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listed in the Exhibit Index of this Annual Report are filed or furnished with, or incorporated by reference into, this Annual Report, in each case as indicated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gridSpan w:val="17"/>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20" w:type="dxa"/>
            <w:vAlign w:val="bottom"/>
            <w:gridSpan w:val="29"/>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43"/>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20" w:type="dxa"/>
            <w:vAlign w:val="bottom"/>
            <w:gridSpan w:val="29"/>
            <w:vMerge w:val="continue"/>
          </w:tcPr>
          <w:p>
            <w:pPr>
              <w:spacing w:after="0"/>
              <w:rPr>
                <w:sz w:val="21"/>
                <w:szCs w:val="21"/>
                <w:color w:val="auto"/>
              </w:rPr>
            </w:pPr>
          </w:p>
        </w:tc>
        <w:tc>
          <w:tcPr>
            <w:tcW w:w="1040" w:type="dxa"/>
            <w:vAlign w:val="bottom"/>
            <w:gridSpan w:val="3"/>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60" w:type="dxa"/>
            <w:vAlign w:val="bottom"/>
            <w:tcBorders>
              <w:top w:val="single" w:sz="8" w:color="auto"/>
            </w:tcBorders>
            <w:gridSpan w:val="33"/>
          </w:tcPr>
          <w:p>
            <w:pPr>
              <w:spacing w:after="0" w:line="182"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Amended and Restated Certificate of Incorporation of</w:t>
              </w:r>
            </w:hyperlink>
          </w:p>
        </w:tc>
        <w:tc>
          <w:tcPr>
            <w:tcW w:w="120" w:type="dxa"/>
            <w:vAlign w:val="bottom"/>
          </w:tcPr>
          <w:p>
            <w:pPr>
              <w:spacing w:after="0"/>
              <w:rPr>
                <w:sz w:val="15"/>
                <w:szCs w:val="15"/>
                <w:color w:val="auto"/>
              </w:rPr>
            </w:pPr>
          </w:p>
        </w:tc>
        <w:tc>
          <w:tcPr>
            <w:tcW w:w="8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30"/>
              <w:spacing w:after="0" w:line="182" w:lineRule="exact"/>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12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6"/>
              </w:rPr>
              <w:t>8/6/2015</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the registrant as currently in effect.</w:t>
              </w:r>
            </w:hyperlink>
          </w:p>
        </w:tc>
        <w:tc>
          <w:tcPr>
            <w:tcW w:w="136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Amended and Restated Bylaws of the registrant as</w:t>
              </w:r>
            </w:hyperlink>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8/3/2020</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79">
              <w:r>
                <w:rPr>
                  <w:rFonts w:ascii="Times New Roman" w:cs="Times New Roman" w:eastAsia="Times New Roman" w:hAnsi="Times New Roman"/>
                  <w:sz w:val="18"/>
                  <w:szCs w:val="18"/>
                  <w:color w:val="0000FF"/>
                  <w:w w:val="98"/>
                </w:rPr>
                <w:t>currently in effect.</w:t>
              </w:r>
            </w:hyperlink>
          </w:p>
        </w:tc>
        <w:tc>
          <w:tcPr>
            <w:tcW w:w="23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Specimen Certificate for Class A Common Stock.</w:t>
              </w:r>
            </w:hyperlink>
          </w:p>
        </w:tc>
        <w:tc>
          <w:tcPr>
            <w:tcW w:w="580" w:type="dxa"/>
            <w:vAlign w:val="bottom"/>
            <w:gridSpan w:val="18"/>
          </w:tcPr>
          <w:p>
            <w:pPr>
              <w:spacing w:after="0"/>
              <w:rPr>
                <w:sz w:val="19"/>
                <w:szCs w:val="19"/>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333-204262</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6/4/2015</w:t>
            </w:r>
          </w:p>
        </w:tc>
        <w:tc>
          <w:tcPr>
            <w:tcW w:w="0" w:type="dxa"/>
            <w:vAlign w:val="bottom"/>
          </w:tcPr>
          <w:p>
            <w:pPr>
              <w:spacing w:after="0"/>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Amended and Restated Investor Rights Agreement, by</w:t>
              </w:r>
            </w:hyperlink>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333-204262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6/4/2015</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and among the registrant and the investors named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therein, dated November 26, 2013.</w:t>
              </w:r>
            </w:hyperlink>
          </w:p>
        </w:tc>
        <w:tc>
          <w:tcPr>
            <w:tcW w:w="1060" w:type="dxa"/>
            <w:vAlign w:val="bottom"/>
            <w:tcBorders>
              <w:top w:val="single" w:sz="8" w:color="0000FF"/>
            </w:tcBorders>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Description of Capital Stock of the registrant.</w:t>
              </w:r>
            </w:hyperlink>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3/2/2020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Industrial Lease, by and between the registrant and 50</w:t>
              </w:r>
            </w:hyperlink>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12/11/2019</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Castilian Drive, LLC, effective December 6, 2019 (50</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gridSpan w:val="27"/>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Castilian Drive, Goleta, CA 93117)</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Industrial Lease, by and between the registrant and 50</w:t>
              </w:r>
            </w:hyperlink>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12/11/2019</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Castilian Drive, LLC, effective December 6, 2019 (70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Castilian Drive, Goleta, CA 93117)</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Industrial Lease, by and between the registrant and 50</w:t>
              </w:r>
            </w:hyperlink>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12/11/2019</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Castilian Drive, LLC, effective December 6, 2019 (90</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Castilian Drive, Goleta, CA 93117)</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First Amendment to Industrial Lease, by and between</w:t>
              </w:r>
            </w:hyperlink>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the registrant and 50 Castilian Drive, LLC, effective</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February 10, 2022 (50 Castilian Drive, Goleta, CA</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86">
              <w:r>
                <w:rPr>
                  <w:rFonts w:ascii="Times New Roman" w:cs="Times New Roman" w:eastAsia="Times New Roman" w:hAnsi="Times New Roman"/>
                  <w:sz w:val="18"/>
                  <w:szCs w:val="18"/>
                  <w:color w:val="0000FF"/>
                  <w:w w:val="97"/>
                </w:rPr>
                <w:t>93117).</w:t>
              </w:r>
            </w:hyperlink>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First Amendment to Industrial Lease, by and between</w:t>
              </w:r>
            </w:hyperlink>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the registrant and 50 Castilian Drive, LLC, effective</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February 10, 2022 (70 Castilian Drive, Goleta, CA</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87">
              <w:r>
                <w:rPr>
                  <w:rFonts w:ascii="Times New Roman" w:cs="Times New Roman" w:eastAsia="Times New Roman" w:hAnsi="Times New Roman"/>
                  <w:sz w:val="18"/>
                  <w:szCs w:val="18"/>
                  <w:color w:val="0000FF"/>
                  <w:w w:val="97"/>
                </w:rPr>
                <w:t>93117).</w:t>
              </w:r>
            </w:hyperlink>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First Amendment to Industrial Lease, by and between</w:t>
              </w:r>
            </w:hyperlink>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the registrant and 50 Castilian Drive, LLC, effective</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February 10, 2022 (90 Castilian Drive, Goleta, CA</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88">
              <w:r>
                <w:rPr>
                  <w:rFonts w:ascii="Times New Roman" w:cs="Times New Roman" w:eastAsia="Times New Roman" w:hAnsi="Times New Roman"/>
                  <w:sz w:val="18"/>
                  <w:szCs w:val="18"/>
                  <w:color w:val="0000FF"/>
                  <w:w w:val="97"/>
                </w:rPr>
                <w:t>93117).</w:t>
              </w:r>
            </w:hyperlink>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Umbrella Termination Agreement, by and between the</w:t>
              </w:r>
            </w:hyperlink>
          </w:p>
        </w:tc>
        <w:tc>
          <w:tcPr>
            <w:tcW w:w="220" w:type="dxa"/>
            <w:vAlign w:val="bottom"/>
            <w:gridSpan w:val="6"/>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34"/>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registrant and Castilian 90, LLC, Castilian 70, LLC and</w:t>
              </w:r>
            </w:hyperlink>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Castilian 50, LLC, effective February 10, 2022.</w:t>
              </w:r>
            </w:hyperlink>
          </w:p>
        </w:tc>
        <w:tc>
          <w:tcPr>
            <w:tcW w:w="5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Employment agreement between the Company and</w:t>
              </w:r>
            </w:hyperlink>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7/28/2022</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Jason Randall</w:t>
              </w:r>
              <w:r>
                <w:rPr>
                  <w:rFonts w:ascii="Times New Roman" w:cs="Times New Roman" w:eastAsia="Times New Roman" w:hAnsi="Times New Roman"/>
                  <w:sz w:val="18"/>
                  <w:szCs w:val="18"/>
                  <w:color w:val="000000"/>
                </w:rPr>
                <w:t>.</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2007 Stock Incentive Plan, as amended, and related</w:t>
              </w:r>
            </w:hyperlink>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333-204262</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6/4/2015</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agreements.</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2015 Stock Incentive Plan and related form agreements.</w:t>
              </w:r>
            </w:hyperlink>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333-204262</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6/4/2015</w:t>
            </w:r>
          </w:p>
        </w:tc>
        <w:tc>
          <w:tcPr>
            <w:tcW w:w="0" w:type="dxa"/>
            <w:vAlign w:val="bottom"/>
          </w:tcPr>
          <w:p>
            <w:pPr>
              <w:spacing w:after="0"/>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40" w:type="dxa"/>
            <w:vAlign w:val="bottom"/>
            <w:tcBorders>
              <w:top w:val="single" w:sz="8" w:color="0000FF"/>
            </w:tcBorders>
            <w:gridSpan w:val="32"/>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2015 Employee Stock Purchase Plan.</w:t>
              </w:r>
            </w:hyperlink>
          </w:p>
        </w:tc>
        <w:tc>
          <w:tcPr>
            <w:tcW w:w="140" w:type="dxa"/>
            <w:vAlign w:val="bottom"/>
            <w:gridSpan w:val="2"/>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333-204262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6/4/2015</w:t>
            </w:r>
          </w:p>
        </w:tc>
        <w:tc>
          <w:tcPr>
            <w:tcW w:w="0" w:type="dxa"/>
            <w:vAlign w:val="bottom"/>
          </w:tcPr>
          <w:p>
            <w:pPr>
              <w:spacing w:after="0"/>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Long-Term Cash Incentive Plan.</w:t>
              </w:r>
            </w:hyperlink>
          </w:p>
        </w:tc>
        <w:tc>
          <w:tcPr>
            <w:tcW w:w="340" w:type="dxa"/>
            <w:vAlign w:val="bottom"/>
            <w:tcBorders>
              <w:top w:val="single" w:sz="8" w:color="0000FF"/>
            </w:tcBorders>
            <w:gridSpan w:val="4"/>
          </w:tcPr>
          <w:p>
            <w:pPr>
              <w:spacing w:after="0"/>
              <w:rPr>
                <w:sz w:val="18"/>
                <w:szCs w:val="18"/>
                <w:color w:val="auto"/>
              </w:rPr>
            </w:pPr>
          </w:p>
        </w:tc>
        <w:tc>
          <w:tcPr>
            <w:tcW w:w="1480" w:type="dxa"/>
            <w:vAlign w:val="bottom"/>
            <w:gridSpan w:val="23"/>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2/26/2018</w:t>
            </w:r>
          </w:p>
        </w:tc>
        <w:tc>
          <w:tcPr>
            <w:tcW w:w="0" w:type="dxa"/>
            <w:vAlign w:val="bottom"/>
          </w:tcPr>
          <w:p>
            <w:pPr>
              <w:spacing w:after="0"/>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95">
              <w:r>
                <w:rPr>
                  <w:rFonts w:ascii="Times New Roman" w:cs="Times New Roman" w:eastAsia="Times New Roman" w:hAnsi="Times New Roman"/>
                  <w:sz w:val="18"/>
                  <w:szCs w:val="18"/>
                  <w:color w:val="0000FF"/>
                  <w:w w:val="98"/>
                </w:rPr>
                <w:t>Form of Long-Term Cash Incentive Award Offer.</w:t>
              </w:r>
            </w:hyperlink>
          </w:p>
        </w:tc>
        <w:tc>
          <w:tcPr>
            <w:tcW w:w="620" w:type="dxa"/>
            <w:vAlign w:val="bottom"/>
            <w:gridSpan w:val="20"/>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2/26/2018</w:t>
            </w:r>
          </w:p>
        </w:tc>
        <w:tc>
          <w:tcPr>
            <w:tcW w:w="0" w:type="dxa"/>
            <w:vAlign w:val="bottom"/>
          </w:tcPr>
          <w:p>
            <w:pPr>
              <w:spacing w:after="0"/>
              <w:rPr>
                <w:sz w:val="1"/>
                <w:szCs w:val="1"/>
                <w:color w:val="auto"/>
              </w:rPr>
            </w:pPr>
          </w:p>
        </w:tc>
      </w:tr>
      <w:tr>
        <w:trPr>
          <w:trHeight w:val="21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Form of Indemnification Agreement by and between</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the registrant and certain of its senior employees and</w:t>
            </w:r>
          </w:p>
        </w:tc>
        <w:tc>
          <w:tcPr>
            <w:tcW w:w="180" w:type="dxa"/>
            <w:vAlign w:val="bottom"/>
            <w:gridSpan w:val="7"/>
          </w:tcPr>
          <w:p>
            <w:pPr>
              <w:spacing w:after="0"/>
              <w:rPr>
                <w:sz w:val="13"/>
                <w:szCs w:val="13"/>
                <w:color w:val="auto"/>
              </w:rPr>
            </w:pPr>
          </w:p>
        </w:tc>
        <w:tc>
          <w:tcPr>
            <w:tcW w:w="1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directors.</w:t>
            </w:r>
          </w:p>
        </w:tc>
        <w:tc>
          <w:tcPr>
            <w:tcW w:w="200" w:type="dxa"/>
            <w:vAlign w:val="bottom"/>
            <w:gridSpan w:val="8"/>
          </w:tcPr>
          <w:p>
            <w:pPr>
              <w:spacing w:after="0"/>
              <w:rPr>
                <w:sz w:val="13"/>
                <w:szCs w:val="13"/>
                <w:color w:val="auto"/>
              </w:rPr>
            </w:pPr>
          </w:p>
        </w:tc>
        <w:tc>
          <w:tcPr>
            <w:tcW w:w="1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gridSpan w:val="2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4"/>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Employment agreement between the Company and Fay</w:t>
              </w:r>
            </w:hyperlink>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001-37468</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11/8/2021</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Sien Goon</w:t>
              </w:r>
              <w:r>
                <w:rPr>
                  <w:rFonts w:ascii="Times New Roman" w:cs="Times New Roman" w:eastAsia="Times New Roman" w:hAnsi="Times New Roman"/>
                  <w:sz w:val="18"/>
                  <w:szCs w:val="18"/>
                  <w:color w:val="000000"/>
                </w:rPr>
                <w:t>.</w:t>
              </w:r>
            </w:hyperlink>
          </w:p>
        </w:tc>
        <w:tc>
          <w:tcPr>
            <w:tcW w:w="180" w:type="dxa"/>
            <w:vAlign w:val="bottom"/>
            <w:gridSpan w:val="4"/>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621665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13335</wp:posOffset>
            </wp:positionV>
            <wp:extent cx="7461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9900" w:space="320"/>
            <w:col w:w="720"/>
          </w:cols>
          <w:pgMar w:left="360" w:top="887" w:right="599" w:bottom="1440" w:gutter="0" w:footer="0" w:header="0"/>
        </w:sectPr>
      </w:pPr>
    </w:p>
    <w:bookmarkStart w:id="63" w:name="page64"/>
    <w:bookmarkEnd w:id="63"/>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20" w:type="dxa"/>
            <w:vAlign w:val="bottom"/>
            <w:gridSpan w:val="19"/>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20" w:type="dxa"/>
            <w:vAlign w:val="bottom"/>
            <w:gridSpan w:val="1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60" w:type="dxa"/>
            <w:vAlign w:val="bottom"/>
            <w:tcBorders>
              <w:top w:val="single" w:sz="8" w:color="auto"/>
            </w:tcBorders>
            <w:gridSpan w:val="21"/>
          </w:tcPr>
          <w:p>
            <w:pPr>
              <w:spacing w:after="0" w:line="18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Restricted Stock Unit Award Agreement (New</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Hire) under 2015 Stock Incentive Plan</w:t>
              </w:r>
              <w:r>
                <w:rPr>
                  <w:rFonts w:ascii="Times New Roman" w:cs="Times New Roman" w:eastAsia="Times New Roman" w:hAnsi="Times New Roman"/>
                  <w:sz w:val="18"/>
                  <w:szCs w:val="18"/>
                  <w:color w:val="00000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21"/>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Form of Restricted Stock Unit Award Agreement</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(Refresh) under 2015 Stock Incentive Plan</w:t>
              </w:r>
              <w:r>
                <w:rPr>
                  <w:rFonts w:ascii="Times New Roman" w:cs="Times New Roman" w:eastAsia="Times New Roman" w:hAnsi="Times New Roman"/>
                  <w:sz w:val="18"/>
                  <w:szCs w:val="18"/>
                  <w:color w:val="000000"/>
                </w:rPr>
                <w:t>.</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21"/>
          </w:tcPr>
          <w:p>
            <w:pPr>
              <w:spacing w:after="0"/>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Form of Restricted Stock Unit Award Agreement (PSU)</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under 2015 Stock Incentive Plan</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Nonemployee Director Deferred Compensation Plan.</w:t>
              </w:r>
            </w:hyperlink>
          </w:p>
        </w:tc>
        <w:tc>
          <w:tcPr>
            <w:tcW w:w="20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21"/>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Related form of Deferral Election under Nonemployee</w:t>
              </w:r>
            </w:hyperlink>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Director Deferred Compensation Plan.</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Employment agreement between the Company and</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8"/>
              </w:rPr>
              <w:t>William Shane Trigg.</w:t>
            </w:r>
          </w:p>
        </w:tc>
        <w:tc>
          <w:tcPr>
            <w:tcW w:w="21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194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firm.</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of</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this report).</w:t>
            </w:r>
          </w:p>
        </w:tc>
        <w:tc>
          <w:tcPr>
            <w:tcW w:w="6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w:t>
            </w:r>
          </w:p>
        </w:tc>
        <w:tc>
          <w:tcPr>
            <w:tcW w:w="32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Rule 13a-14(a) or Rule 15d-14(a) promulgated under</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the Securities Exchange Act of 1934, as amended.</w:t>
            </w:r>
          </w:p>
        </w:tc>
        <w:tc>
          <w:tcPr>
            <w:tcW w:w="220" w:type="dxa"/>
            <w:vAlign w:val="bottom"/>
            <w:tcBorders>
              <w:top w:val="single" w:sz="8" w:color="0000FF"/>
            </w:tcBorders>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Rule 13a-14(a) or Rule 15d-14(a) promulgated under</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the Securities Exchange Act of 1934, as amended.</w:t>
            </w:r>
          </w:p>
        </w:tc>
        <w:tc>
          <w:tcPr>
            <w:tcW w:w="220" w:type="dxa"/>
            <w:vAlign w:val="bottom"/>
            <w:tcBorders>
              <w:top w:val="single" w:sz="8" w:color="0000FF"/>
            </w:tcBorders>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30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Financial Officer, pursuant to 18 U.S.C. Section 1350,</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w:t>
            </w:r>
          </w:p>
        </w:tc>
        <w:tc>
          <w:tcPr>
            <w:tcW w:w="1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2340" w:type="dxa"/>
            <w:vAlign w:val="bottom"/>
            <w:tcBorders>
              <w:top w:val="single" w:sz="8" w:color="0000FF"/>
            </w:tcBorders>
            <w:gridSpan w:val="10"/>
          </w:tcPr>
          <w:p>
            <w:pPr>
              <w:spacing w:after="0"/>
              <w:rPr>
                <w:sz w:val="14"/>
                <w:szCs w:val="14"/>
                <w:color w:val="auto"/>
              </w:rPr>
            </w:pPr>
          </w:p>
        </w:tc>
        <w:tc>
          <w:tcPr>
            <w:tcW w:w="3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1"/>
                <w:szCs w:val="21"/>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180"/>
        </w:trPr>
        <w:tc>
          <w:tcPr>
            <w:tcW w:w="11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15"/>
                <w:szCs w:val="15"/>
                <w:color w:val="auto"/>
              </w:rPr>
            </w:pPr>
          </w:p>
        </w:tc>
        <w:tc>
          <w:tcPr>
            <w:tcW w:w="4060" w:type="dxa"/>
            <w:vAlign w:val="bottom"/>
            <w:gridSpan w:val="21"/>
          </w:tcPr>
          <w:p>
            <w:pPr>
              <w:spacing w:after="0" w:line="181" w:lineRule="exact"/>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84"/>
        </w:trPr>
        <w:tc>
          <w:tcPr>
            <w:tcW w:w="11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6"/>
                <w:szCs w:val="16"/>
                <w:color w:val="auto"/>
              </w:rPr>
            </w:pPr>
          </w:p>
        </w:tc>
        <w:tc>
          <w:tcPr>
            <w:tcW w:w="4060" w:type="dxa"/>
            <w:vAlign w:val="bottom"/>
            <w:gridSpan w:val="21"/>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84"/>
        </w:trPr>
        <w:tc>
          <w:tcPr>
            <w:tcW w:w="11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16"/>
                <w:szCs w:val="16"/>
                <w:color w:val="auto"/>
              </w:rPr>
            </w:pPr>
          </w:p>
        </w:tc>
        <w:tc>
          <w:tcPr>
            <w:tcW w:w="4060" w:type="dxa"/>
            <w:vAlign w:val="bottom"/>
            <w:gridSpan w:val="21"/>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184"/>
        </w:trPr>
        <w:tc>
          <w:tcPr>
            <w:tcW w:w="11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6"/>
                <w:szCs w:val="16"/>
                <w:color w:val="auto"/>
              </w:rPr>
            </w:pPr>
          </w:p>
        </w:tc>
        <w:tc>
          <w:tcPr>
            <w:tcW w:w="4060" w:type="dxa"/>
            <w:vAlign w:val="bottom"/>
            <w:gridSpan w:val="21"/>
          </w:tcPr>
          <w:p>
            <w:pPr>
              <w:spacing w:after="0" w:line="184" w:lineRule="exact"/>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140" w:right="240" w:hanging="767"/>
        <w:spacing w:after="0" w:line="237"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ind w:left="1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9057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28"/>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001-37468</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2/28/2022</w:t>
            </w:r>
          </w:p>
        </w:tc>
      </w:tr>
      <w:tr>
        <w:trPr>
          <w:trHeight w:val="414"/>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001-37468</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r>
      <w:tr>
        <w:trPr>
          <w:trHeight w:val="418"/>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001-37468</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r>
      <w:tr>
        <w:trPr>
          <w:trHeight w:val="414"/>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001-37468</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r>
      <w:tr>
        <w:trPr>
          <w:trHeight w:val="234"/>
        </w:trPr>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001-37468</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4376420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13335</wp:posOffset>
            </wp:positionV>
            <wp:extent cx="7461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5200" w:space="120"/>
            <w:col w:w="4580" w:space="320"/>
            <w:col w:w="720"/>
          </w:cols>
          <w:pgMar w:left="360" w:top="1022" w:right="599" w:bottom="1440" w:gutter="0" w:footer="0" w:header="0"/>
        </w:sectPr>
      </w:pPr>
    </w:p>
    <w:bookmarkStart w:id="64" w:name="page65"/>
    <w:bookmarkEnd w:id="64"/>
    <w:p>
      <w:pPr>
        <w:ind w:left="1100" w:hanging="1074"/>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7" w:lineRule="exact"/>
        <w:rPr>
          <w:sz w:val="20"/>
          <w:szCs w:val="20"/>
          <w:color w:val="auto"/>
        </w:rPr>
      </w:pPr>
    </w:p>
    <w:p>
      <w:pPr>
        <w:ind w:left="1100" w:hanging="1074"/>
        <w:spacing w:after="0" w:line="223" w:lineRule="auto"/>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Annual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7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AppFolio, Inc.</w:t>
      </w:r>
    </w:p>
    <w:p>
      <w:pPr>
        <w:spacing w:after="0" w:line="391" w:lineRule="exact"/>
        <w:rPr>
          <w:sz w:val="20"/>
          <w:szCs w:val="20"/>
          <w:color w:val="auto"/>
        </w:rPr>
      </w:pPr>
    </w:p>
    <w:p>
      <w:pPr>
        <w:ind w:left="40"/>
        <w:spacing w:after="0"/>
        <w:tabs>
          <w:tab w:leader="none" w:pos="720" w:val="left"/>
          <w:tab w:leader="none" w:pos="4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9, 2023</w:t>
      </w:r>
      <w:r>
        <w:rPr>
          <w:sz w:val="20"/>
          <w:szCs w:val="20"/>
          <w:color w:val="auto"/>
        </w:rPr>
        <w:tab/>
      </w:r>
      <w:r>
        <w:rPr>
          <w:rFonts w:ascii="Times New Roman" w:cs="Times New Roman" w:eastAsia="Times New Roman" w:hAnsi="Times New Roman"/>
          <w:sz w:val="17"/>
          <w:szCs w:val="17"/>
          <w:color w:val="auto"/>
        </w:rPr>
        <w:t>By: /s/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17145</wp:posOffset>
            </wp:positionV>
            <wp:extent cx="2597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Jason Randall</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4" w:lineRule="exact"/>
        <w:rPr>
          <w:sz w:val="20"/>
          <w:szCs w:val="20"/>
          <w:color w:val="auto"/>
        </w:rPr>
      </w:pPr>
    </w:p>
    <w:p>
      <w:pPr>
        <w:ind w:left="40"/>
        <w:spacing w:after="0"/>
        <w:tabs>
          <w:tab w:leader="none" w:pos="720" w:val="left"/>
          <w:tab w:leader="none" w:pos="4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9, 2023</w:t>
      </w:r>
      <w:r>
        <w:rPr>
          <w:sz w:val="20"/>
          <w:szCs w:val="20"/>
          <w:color w:val="auto"/>
        </w:rPr>
        <w:tab/>
      </w:r>
      <w:r>
        <w:rPr>
          <w:rFonts w:ascii="Times New Roman" w:cs="Times New Roman" w:eastAsia="Times New Roman" w:hAnsi="Times New Roman"/>
          <w:sz w:val="17"/>
          <w:szCs w:val="17"/>
          <w:color w:val="auto"/>
        </w:rPr>
        <w:t>By: /s/ Fay Sien Goon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17145</wp:posOffset>
            </wp:positionV>
            <wp:extent cx="25971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Fay Sien Goon</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31" w:right="5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19685</wp:posOffset>
            </wp:positionV>
            <wp:extent cx="22028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2028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Jason Randall</w:t>
      </w:r>
    </w:p>
    <w:p>
      <w:pPr>
        <w:spacing w:after="0" w:line="200" w:lineRule="exact"/>
        <w:rPr>
          <w:sz w:val="20"/>
          <w:szCs w:val="20"/>
          <w:color w:val="auto"/>
        </w:rPr>
      </w:pPr>
    </w:p>
    <w:p>
      <w:pPr>
        <w:spacing w:after="0" w:line="25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Fay Sien Goon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2028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Fay Sien Goon</w:t>
      </w:r>
    </w:p>
    <w:p>
      <w:pPr>
        <w:spacing w:after="0" w:line="25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Andreas von Blottnitz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22028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Andreas von Blottnitz</w:t>
      </w:r>
    </w:p>
    <w:p>
      <w:pPr>
        <w:spacing w:after="0" w:line="2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Timothy Bliss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22028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Timothy Bliss</w:t>
      </w: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Agnes Bundy Scanlan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2028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Agnes Bundy Scanlan</w:t>
      </w: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Janet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2028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Janet Kerr</w:t>
      </w: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Klaus Schauser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22028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Klaus Schauser</w:t>
      </w: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Winifred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2028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Winifred Webb</w:t>
      </w: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 Alexander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17145</wp:posOffset>
            </wp:positionV>
            <wp:extent cx="22028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Alexander Wolf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w:t>
            </w:r>
          </w:p>
        </w:tc>
        <w:tc>
          <w:tcPr>
            <w:tcW w:w="2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372"/>
        </w:trPr>
        <w:tc>
          <w:tcPr>
            <w:tcW w:w="5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40" w:type="dxa"/>
            <w:vAlign w:val="bottom"/>
          </w:tcPr>
          <w:p>
            <w:pPr>
              <w:spacing w:after="0"/>
              <w:rPr>
                <w:sz w:val="24"/>
                <w:szCs w:val="24"/>
                <w:color w:val="auto"/>
              </w:rPr>
            </w:pPr>
          </w:p>
        </w:tc>
      </w:tr>
      <w:tr>
        <w:trPr>
          <w:trHeight w:val="243"/>
        </w:trPr>
        <w:tc>
          <w:tcPr>
            <w:tcW w:w="5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661"/>
        </w:trPr>
        <w:tc>
          <w:tcPr>
            <w:tcW w:w="5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spacing w:after="0"/>
              <w:rPr>
                <w:sz w:val="24"/>
                <w:szCs w:val="24"/>
                <w:color w:val="auto"/>
              </w:rPr>
            </w:pPr>
          </w:p>
        </w:tc>
      </w:tr>
      <w:tr>
        <w:trPr>
          <w:trHeight w:val="243"/>
        </w:trPr>
        <w:tc>
          <w:tcPr>
            <w:tcW w:w="5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743"/>
        </w:trPr>
        <w:tc>
          <w:tcPr>
            <w:tcW w:w="5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743"/>
        </w:trPr>
        <w:tc>
          <w:tcPr>
            <w:tcW w:w="5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688"/>
        </w:trPr>
        <w:tc>
          <w:tcPr>
            <w:tcW w:w="5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688"/>
        </w:trPr>
        <w:tc>
          <w:tcPr>
            <w:tcW w:w="5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715"/>
        </w:trPr>
        <w:tc>
          <w:tcPr>
            <w:tcW w:w="5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688"/>
        </w:trPr>
        <w:tc>
          <w:tcPr>
            <w:tcW w:w="5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r>
      <w:tr>
        <w:trPr>
          <w:trHeight w:val="689"/>
        </w:trPr>
        <w:tc>
          <w:tcPr>
            <w:tcW w:w="5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9, 2023</w:t>
            </w:r>
          </w:p>
        </w:tc>
      </w:tr>
    </w:tbl>
    <w:p>
      <w:pPr>
        <w:sectPr>
          <w:pgSz w:w="11900" w:h="16838" w:orient="portrait"/>
          <w:cols w:equalWidth="0" w:num="2">
            <w:col w:w="2140" w:space="720"/>
            <w:col w:w="7520"/>
          </w:cols>
          <w:pgMar w:left="1160" w:top="1440" w:right="35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INDEMNITEES</w:t>
      </w:r>
    </w:p>
    <w:p>
      <w:pPr>
        <w:spacing w:after="0" w:line="183" w:lineRule="exact"/>
        <w:rPr>
          <w:sz w:val="20"/>
          <w:szCs w:val="20"/>
          <w:color w:val="auto"/>
        </w:rPr>
      </w:pPr>
    </w:p>
    <w:p>
      <w:pPr>
        <w:ind w:right="520"/>
        <w:spacing w:after="0" w:line="236" w:lineRule="auto"/>
        <w:rPr>
          <w:sz w:val="20"/>
          <w:szCs w:val="20"/>
          <w:color w:val="auto"/>
        </w:rPr>
      </w:pPr>
      <w:r>
        <w:rPr>
          <w:rFonts w:ascii="Times New Roman" w:cs="Times New Roman" w:eastAsia="Times New Roman" w:hAnsi="Times New Roman"/>
          <w:sz w:val="22"/>
          <w:szCs w:val="22"/>
          <w:color w:val="auto"/>
        </w:rPr>
        <w:t>Each of the individuals identified below is a party to an indemnification agreement with AppFolio, Inc. in the form attached herewith as Exhibit 10.14.</w:t>
      </w:r>
    </w:p>
    <w:p>
      <w:pPr>
        <w:spacing w:after="0" w:line="200" w:lineRule="exact"/>
        <w:rPr>
          <w:sz w:val="20"/>
          <w:szCs w:val="20"/>
          <w:color w:val="auto"/>
        </w:rPr>
      </w:pPr>
    </w:p>
    <w:tbl>
      <w:tblPr>
        <w:tblLayout w:type="fixed"/>
        <w:tblInd w:w="20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15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Date Signed</w:t>
            </w:r>
          </w:p>
        </w:tc>
        <w:tc>
          <w:tcPr>
            <w:tcW w:w="260" w:type="dxa"/>
            <w:vAlign w:val="bottom"/>
          </w:tcPr>
          <w:p>
            <w:pPr>
              <w:spacing w:after="0"/>
              <w:rPr>
                <w:sz w:val="17"/>
                <w:szCs w:val="17"/>
                <w:color w:val="auto"/>
              </w:rPr>
            </w:pPr>
          </w:p>
        </w:tc>
      </w:tr>
      <w:tr>
        <w:trPr>
          <w:trHeight w:val="245"/>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6"/>
              </w:rPr>
              <w:t>Jon Walker</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rPr>
              <w:t>December 12, 2022</w:t>
            </w:r>
          </w:p>
        </w:tc>
      </w:tr>
      <w:tr>
        <w:trPr>
          <w:trHeight w:val="230"/>
        </w:trPr>
        <w:tc>
          <w:tcPr>
            <w:tcW w:w="2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Timothy Bliss</w:t>
            </w:r>
          </w:p>
        </w:tc>
        <w:tc>
          <w:tcPr>
            <w:tcW w:w="4580" w:type="dxa"/>
            <w:vAlign w:val="bottom"/>
            <w:gridSpan w:val="3"/>
          </w:tcPr>
          <w:p>
            <w:pPr>
              <w:jc w:val="center"/>
              <w:ind w:left="3090"/>
              <w:spacing w:after="0"/>
              <w:rPr>
                <w:sz w:val="20"/>
                <w:szCs w:val="20"/>
                <w:color w:val="auto"/>
              </w:rPr>
            </w:pPr>
            <w:r>
              <w:rPr>
                <w:rFonts w:ascii="Times New Roman" w:cs="Times New Roman" w:eastAsia="Times New Roman" w:hAnsi="Times New Roman"/>
                <w:sz w:val="18"/>
                <w:szCs w:val="18"/>
                <w:color w:val="auto"/>
                <w:w w:val="99"/>
              </w:rPr>
              <w:t>December 4, 2022</w:t>
            </w:r>
          </w:p>
        </w:tc>
      </w:tr>
      <w:tr>
        <w:trPr>
          <w:trHeight w:val="229"/>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Andreas von Blottnitz</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17, 2022</w:t>
            </w:r>
          </w:p>
        </w:tc>
      </w:tr>
      <w:tr>
        <w:trPr>
          <w:trHeight w:val="229"/>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Klaus Schauser</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18, 2022</w:t>
            </w:r>
          </w:p>
        </w:tc>
      </w:tr>
      <w:tr>
        <w:trPr>
          <w:trHeight w:val="230"/>
        </w:trPr>
        <w:tc>
          <w:tcPr>
            <w:tcW w:w="2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Janet Kerr</w:t>
            </w:r>
          </w:p>
        </w:tc>
        <w:tc>
          <w:tcPr>
            <w:tcW w:w="4580" w:type="dxa"/>
            <w:vAlign w:val="bottom"/>
            <w:gridSpan w:val="3"/>
          </w:tcPr>
          <w:p>
            <w:pPr>
              <w:jc w:val="center"/>
              <w:ind w:left="3090"/>
              <w:spacing w:after="0"/>
              <w:rPr>
                <w:sz w:val="20"/>
                <w:szCs w:val="20"/>
                <w:color w:val="auto"/>
              </w:rPr>
            </w:pPr>
            <w:r>
              <w:rPr>
                <w:rFonts w:ascii="Times New Roman" w:cs="Times New Roman" w:eastAsia="Times New Roman" w:hAnsi="Times New Roman"/>
                <w:sz w:val="18"/>
                <w:szCs w:val="18"/>
                <w:color w:val="auto"/>
                <w:w w:val="99"/>
              </w:rPr>
              <w:t>December 7, 2022</w:t>
            </w:r>
          </w:p>
        </w:tc>
      </w:tr>
      <w:tr>
        <w:trPr>
          <w:trHeight w:val="229"/>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Jason Randall</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18, 2022</w:t>
            </w:r>
          </w:p>
        </w:tc>
      </w:tr>
      <w:tr>
        <w:trPr>
          <w:trHeight w:val="230"/>
        </w:trPr>
        <w:tc>
          <w:tcPr>
            <w:tcW w:w="2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7"/>
              </w:rPr>
              <w:t>Winifred Webb</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17, 2022</w:t>
            </w:r>
          </w:p>
        </w:tc>
      </w:tr>
      <w:tr>
        <w:trPr>
          <w:trHeight w:val="229"/>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Agnes Bundy Scanlan</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30, 2022</w:t>
            </w:r>
          </w:p>
        </w:tc>
      </w:tr>
      <w:tr>
        <w:trPr>
          <w:trHeight w:val="229"/>
        </w:trPr>
        <w:tc>
          <w:tcPr>
            <w:tcW w:w="2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8"/>
              </w:rPr>
              <w:t>William Shane Trigg</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19, 2022</w:t>
            </w:r>
          </w:p>
        </w:tc>
      </w:tr>
      <w:tr>
        <w:trPr>
          <w:trHeight w:val="230"/>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Fay Sien Goon</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16, 2022</w:t>
            </w:r>
          </w:p>
        </w:tc>
      </w:tr>
      <w:tr>
        <w:trPr>
          <w:trHeight w:val="229"/>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Alex Wolf</w:t>
            </w:r>
          </w:p>
        </w:tc>
        <w:tc>
          <w:tcPr>
            <w:tcW w:w="4580" w:type="dxa"/>
            <w:vAlign w:val="bottom"/>
            <w:gridSpan w:val="3"/>
          </w:tcPr>
          <w:p>
            <w:pPr>
              <w:jc w:val="center"/>
              <w:ind w:left="3090"/>
              <w:spacing w:after="0"/>
              <w:rPr>
                <w:sz w:val="20"/>
                <w:szCs w:val="20"/>
                <w:color w:val="auto"/>
              </w:rPr>
            </w:pPr>
            <w:r>
              <w:rPr>
                <w:rFonts w:ascii="Times New Roman" w:cs="Times New Roman" w:eastAsia="Times New Roman" w:hAnsi="Times New Roman"/>
                <w:sz w:val="18"/>
                <w:szCs w:val="18"/>
                <w:color w:val="auto"/>
                <w:w w:val="99"/>
              </w:rPr>
              <w:t>December 5, 2022</w:t>
            </w:r>
          </w:p>
        </w:tc>
      </w:tr>
      <w:tr>
        <w:trPr>
          <w:trHeight w:val="229"/>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Nailya Dovletova</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18, 2022</w:t>
            </w:r>
          </w:p>
        </w:tc>
      </w:tr>
      <w:tr>
        <w:trPr>
          <w:trHeight w:val="230"/>
        </w:trPr>
        <w:tc>
          <w:tcPr>
            <w:tcW w:w="2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rPr>
              <w:t>Brian Hershokowitz</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19, 2022</w:t>
            </w:r>
          </w:p>
        </w:tc>
      </w:tr>
      <w:tr>
        <w:trPr>
          <w:trHeight w:val="229"/>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Amy Meyer</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23, 2022</w:t>
            </w:r>
          </w:p>
        </w:tc>
      </w:tr>
      <w:tr>
        <w:trPr>
          <w:trHeight w:val="230"/>
        </w:trPr>
        <w:tc>
          <w:tcPr>
            <w:tcW w:w="2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Luca Caporicci</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16, 2022</w:t>
            </w:r>
          </w:p>
        </w:tc>
      </w:tr>
      <w:tr>
        <w:trPr>
          <w:trHeight w:val="230"/>
        </w:trPr>
        <w:tc>
          <w:tcPr>
            <w:tcW w:w="2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Evan Pickering</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16, 2022</w:t>
            </w:r>
          </w:p>
        </w:tc>
      </w:tr>
      <w:tr>
        <w:trPr>
          <w:trHeight w:val="230"/>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9"/>
              </w:rPr>
              <w:t>Matthew Mazza</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16, 2022</w:t>
            </w:r>
          </w:p>
        </w:tc>
      </w:tr>
      <w:tr>
        <w:trPr>
          <w:trHeight w:val="229"/>
        </w:trPr>
        <w:tc>
          <w:tcPr>
            <w:tcW w:w="2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rPr>
              <w:t>Ronnie Lin</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rPr>
              <w:t>December 12, 2022</w:t>
            </w:r>
          </w:p>
        </w:tc>
      </w:tr>
      <w:tr>
        <w:trPr>
          <w:trHeight w:val="234"/>
        </w:trPr>
        <w:tc>
          <w:tcPr>
            <w:tcW w:w="2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rPr>
              <w:t>Jay Choi</w:t>
            </w:r>
          </w:p>
        </w:tc>
        <w:tc>
          <w:tcPr>
            <w:tcW w:w="45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color w:val="auto"/>
                <w:w w:val="98"/>
              </w:rPr>
              <w:t>November 21, 2022</w:t>
            </w:r>
          </w:p>
        </w:tc>
      </w:tr>
      <w:tr>
        <w:trPr>
          <w:trHeight w:val="905"/>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2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240"/>
          </w:cols>
          <w:pgMar w:left="320" w:top="1391"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INDEMNIFICATION AGREEMENT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Indemnification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________, 2022, is by and between AppFolio, Inc., a Delaware</w:t>
      </w:r>
    </w:p>
    <w:p>
      <w:pPr>
        <w:spacing w:after="0" w:line="214" w:lineRule="auto"/>
        <w:rPr>
          <w:sz w:val="20"/>
          <w:szCs w:val="20"/>
          <w:color w:val="auto"/>
        </w:rPr>
      </w:pPr>
      <w:r>
        <w:rPr>
          <w:rFonts w:ascii="Times New Roman" w:cs="Times New Roman" w:eastAsia="Times New Roman" w:hAnsi="Times New Roman"/>
          <w:sz w:val="21"/>
          <w:szCs w:val="21"/>
          <w:color w:val="auto"/>
        </w:rPr>
        <w:t>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_________________________________ (“</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This Agreement supersedes and</w:t>
      </w:r>
    </w:p>
    <w:p>
      <w:pPr>
        <w:spacing w:after="0" w:line="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1"/>
          <w:szCs w:val="21"/>
          <w:color w:val="auto"/>
        </w:rPr>
        <w:t>replaces any and all previous Agreements between the Company and Indemnitee covering the subject matter of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179" w:lineRule="exact"/>
        <w:rPr>
          <w:sz w:val="20"/>
          <w:szCs w:val="20"/>
          <w:color w:val="auto"/>
        </w:rPr>
      </w:pPr>
    </w:p>
    <w:p>
      <w:pPr>
        <w:ind w:left="620" w:hanging="416"/>
        <w:spacing w:after="0"/>
        <w:tabs>
          <w:tab w:leader="none" w:pos="6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Indemnitee is a director or an officer of the Company.</w:t>
      </w:r>
    </w:p>
    <w:p>
      <w:pPr>
        <w:spacing w:after="0" w:line="175" w:lineRule="exact"/>
        <w:rPr>
          <w:rFonts w:ascii="Times New Roman" w:cs="Times New Roman" w:eastAsia="Times New Roman" w:hAnsi="Times New Roman"/>
          <w:sz w:val="21"/>
          <w:szCs w:val="21"/>
          <w:color w:val="auto"/>
        </w:rPr>
      </w:pPr>
    </w:p>
    <w:p>
      <w:pPr>
        <w:jc w:val="both"/>
        <w:ind w:firstLine="241"/>
        <w:spacing w:after="0" w:line="22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has determined that enhancing the ability of the Company to retain and attract as directors and officers the most capable persons is in the best interests of the Company and that the Company therefore should seek to assure such persons that indemnification is available.</w:t>
      </w:r>
    </w:p>
    <w:p>
      <w:pPr>
        <w:spacing w:after="0" w:line="150" w:lineRule="exact"/>
        <w:rPr>
          <w:rFonts w:ascii="Times New Roman" w:cs="Times New Roman" w:eastAsia="Times New Roman" w:hAnsi="Times New Roman"/>
          <w:sz w:val="21"/>
          <w:szCs w:val="21"/>
          <w:color w:val="auto"/>
        </w:rPr>
      </w:pPr>
    </w:p>
    <w:p>
      <w:pPr>
        <w:jc w:val="both"/>
        <w:ind w:firstLine="308"/>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 In recognition of the need to provide Indemnitee with substantial protection against personal liability, in order to procure Indemnitee’s service or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Times New Roman" w:cs="Times New Roman" w:eastAsia="Times New Roman" w:hAnsi="Times New Roman"/>
          <w:sz w:val="20"/>
          <w:szCs w:val="20"/>
          <w:b w:val="1"/>
          <w:bCs w:val="1"/>
          <w:color w:val="auto"/>
        </w:rPr>
        <w:t>Constituent Documents</w:t>
      </w:r>
      <w:r>
        <w:rPr>
          <w:rFonts w:ascii="Times New Roman" w:cs="Times New Roman" w:eastAsia="Times New Roman" w:hAnsi="Times New Roman"/>
          <w:sz w:val="20"/>
          <w:szCs w:val="20"/>
          <w:color w:val="auto"/>
        </w:rPr>
        <w:t>”), any change in the composition of the Board or any change in control or business combination transaction relating to the Company), the Company wishes to provide in this Agreement for the indemnification of, and the advancement of Expenses (as defined in Section 2 below) to, Indemnitee as set forth in this Agreement and, to the extent insurance is maintained, for the continued coverage of Indemnitee under the Company’s directors’ and officers’ liability insurance policies.</w:t>
      </w:r>
    </w:p>
    <w:p>
      <w:pPr>
        <w:spacing w:after="0" w:line="152" w:lineRule="exact"/>
        <w:rPr>
          <w:sz w:val="20"/>
          <w:szCs w:val="20"/>
          <w:color w:val="auto"/>
        </w:rPr>
      </w:pPr>
    </w:p>
    <w:p>
      <w:pPr>
        <w:ind w:right="20" w:firstLine="246"/>
        <w:spacing w:after="0" w:line="234" w:lineRule="auto"/>
        <w:rPr>
          <w:sz w:val="20"/>
          <w:szCs w:val="20"/>
          <w:color w:val="auto"/>
        </w:rPr>
      </w:pPr>
      <w:r>
        <w:rPr>
          <w:rFonts w:ascii="Times New Roman" w:cs="Times New Roman" w:eastAsia="Times New Roman" w:hAnsi="Times New Roman"/>
          <w:sz w:val="21"/>
          <w:szCs w:val="21"/>
          <w:color w:val="auto"/>
        </w:rPr>
        <w:t>NOW, THEREFORE, in consideration of the foregoing and the Indemnitee’s agreement to serve or continue to provide services to the Company, the parties hereby agree as follows:</w:t>
      </w:r>
    </w:p>
    <w:p>
      <w:pPr>
        <w:spacing w:after="0" w:line="164" w:lineRule="exact"/>
        <w:rPr>
          <w:sz w:val="20"/>
          <w:szCs w:val="20"/>
          <w:color w:val="auto"/>
        </w:rPr>
      </w:pPr>
    </w:p>
    <w:p>
      <w:pPr>
        <w:jc w:val="both"/>
        <w:ind w:firstLine="656"/>
        <w:spacing w:after="0" w:line="212" w:lineRule="auto"/>
        <w:tabs>
          <w:tab w:leader="none" w:pos="1233"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Services to the Company</w:t>
      </w:r>
      <w:r>
        <w:rPr>
          <w:rFonts w:ascii="Times New Roman" w:cs="Times New Roman" w:eastAsia="Times New Roman" w:hAnsi="Times New Roman"/>
          <w:sz w:val="21"/>
          <w:szCs w:val="21"/>
          <w:color w:val="auto"/>
        </w:rPr>
        <w:t>. Indemnitee agrees to serve or continue to serve as a director or officer of the Company for so long as Indemnitee is duly elected or appointed, until Indemnitee tenders Indemnitee’s resignation or until Indemnitee is terminated by the Company, as applicable. This Agreement shall not be deemed an employment agreement between the Company (or any of its subsidiaries or another Enterprise) and Indemnitee. Indemnitee specifically acknowledges that Indemnitee’s service to the Company or any of its subsidiaries or another Enterprise (as defined in Section 2 below) is at will and the Indemnitee may be discharged at any time for any reason, with or without cause, except as may be otherwise provided in any written employment agreement between Indemnitee and the Company (or any of its subsidiaries or another Enterprise), other applicable formal severance policies duly adopted by the Board or, with respect to service as a director or officer of the Company, by the Company’s Constituent Documents or Delaware law. This Agreement shall continue in force after Indemnitee has ceased to serve as a director or officer of the Company or, at the request of the Company, of any of its subsidiaries or Enterprise (as defined in Section 2 below).</w:t>
      </w:r>
    </w:p>
    <w:p>
      <w:pPr>
        <w:spacing w:after="0" w:line="148" w:lineRule="exact"/>
        <w:rPr>
          <w:rFonts w:ascii="Times New Roman" w:cs="Times New Roman" w:eastAsia="Times New Roman" w:hAnsi="Times New Roman"/>
          <w:sz w:val="21"/>
          <w:szCs w:val="21"/>
          <w:color w:val="auto"/>
        </w:rPr>
      </w:pPr>
    </w:p>
    <w:p>
      <w:pPr>
        <w:ind w:left="1240" w:hanging="584"/>
        <w:spacing w:after="0"/>
        <w:tabs>
          <w:tab w:leader="none" w:pos="124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Agreement, the following terms shall have the following meanings:</w:t>
      </w:r>
    </w:p>
    <w:p>
      <w:pPr>
        <w:spacing w:after="0" w:line="175" w:lineRule="exact"/>
        <w:rPr>
          <w:rFonts w:ascii="Times New Roman" w:cs="Times New Roman" w:eastAsia="Times New Roman" w:hAnsi="Times New Roman"/>
          <w:sz w:val="21"/>
          <w:szCs w:val="21"/>
          <w:color w:val="auto"/>
        </w:rPr>
      </w:pPr>
    </w:p>
    <w:p>
      <w:pPr>
        <w:ind w:left="1900" w:hanging="596"/>
        <w:spacing w:after="0"/>
        <w:tabs>
          <w:tab w:leader="none" w:pos="19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shall have the meaning ascribed to it in the prefatory language above.</w:t>
      </w:r>
    </w:p>
    <w:p>
      <w:pPr>
        <w:spacing w:after="0" w:line="168"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w:t>
      </w:r>
      <w:r>
        <w:rPr>
          <w:rFonts w:ascii="Times New Roman" w:cs="Times New Roman" w:eastAsia="Times New Roman" w:hAnsi="Times New Roman"/>
          <w:sz w:val="21"/>
          <w:szCs w:val="21"/>
          <w:color w:val="auto"/>
        </w:rPr>
        <w:t>” has the meaning given to the term “beneficial owner” in Rule 13d-3 under the Exchange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1" w:right="339" w:bottom="1440" w:gutter="0" w:footer="0" w:header="0"/>
        </w:sectPr>
      </w:pPr>
    </w:p>
    <w:bookmarkStart w:id="68" w:name="page69"/>
    <w:bookmarkEnd w:id="68"/>
    <w:p>
      <w:pPr>
        <w:ind w:left="1900" w:hanging="596"/>
        <w:spacing w:after="0"/>
        <w:tabs>
          <w:tab w:leader="none" w:pos="1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shall have the meaning ascribed to it in the Recitals above.</w:t>
      </w:r>
    </w:p>
    <w:p>
      <w:pPr>
        <w:spacing w:after="0" w:line="179"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Business Combination</w:t>
      </w:r>
      <w:r>
        <w:rPr>
          <w:rFonts w:ascii="Times New Roman" w:cs="Times New Roman" w:eastAsia="Times New Roman" w:hAnsi="Times New Roman"/>
          <w:sz w:val="21"/>
          <w:szCs w:val="21"/>
          <w:color w:val="auto"/>
        </w:rPr>
        <w:t>” means a reorganization, a merger or a consolidation.</w:t>
      </w:r>
    </w:p>
    <w:p>
      <w:pPr>
        <w:spacing w:after="0" w:line="179"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the occurrence after the date of this Agreement of any of the following events:</w:t>
      </w:r>
    </w:p>
    <w:p>
      <w:pPr>
        <w:spacing w:after="0" w:line="181"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3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Acquisition of Stock by Third Party</w:t>
      </w:r>
      <w:r>
        <w:rPr>
          <w:rFonts w:ascii="Times New Roman" w:cs="Times New Roman" w:eastAsia="Times New Roman" w:hAnsi="Times New Roman"/>
          <w:sz w:val="21"/>
          <w:szCs w:val="21"/>
          <w:color w:val="auto"/>
        </w:rPr>
        <w:t>. Any Person (as defined below) becomes hereafter the Beneficial Owner, directly or indirectly, of securities of the Company representing thirty percent (30%) or more of the Company’s Voting Securities, unless the change in the relative Beneficial Ownership of the Company’s securities by any Person results solely from a reduction in the aggregate number of outstanding Voting Securities;</w:t>
      </w:r>
    </w:p>
    <w:p>
      <w:pPr>
        <w:spacing w:after="0" w:line="154" w:lineRule="exact"/>
        <w:rPr>
          <w:rFonts w:ascii="Times New Roman" w:cs="Times New Roman" w:eastAsia="Times New Roman" w:hAnsi="Times New Roman"/>
          <w:sz w:val="22"/>
          <w:szCs w:val="22"/>
          <w:color w:val="auto"/>
        </w:rPr>
      </w:pPr>
    </w:p>
    <w:p>
      <w:pPr>
        <w:jc w:val="both"/>
        <w:ind w:firstLine="1952"/>
        <w:spacing w:after="0" w:line="211" w:lineRule="auto"/>
        <w:tabs>
          <w:tab w:leader="none" w:pos="259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Transactions</w:t>
      </w:r>
      <w:r>
        <w:rPr>
          <w:rFonts w:ascii="Times New Roman" w:cs="Times New Roman" w:eastAsia="Times New Roman" w:hAnsi="Times New Roman"/>
          <w:sz w:val="22"/>
          <w:szCs w:val="22"/>
          <w:color w:val="auto"/>
        </w:rPr>
        <w:t>. The consummation of a Business Combination, unless immediately following such Business Combination, (1) the Beneficial Owners of the Voting Securities of the Company immediately prior to such transaction beneficially own, directly or indirectly, more than fifty percent (50%) of the combined voting power of the outstanding Voting Securities of the entity resulting from such transaction, (2) no Person (excluding any corporation resulting from such Business Combination) is the Beneficial Owner, directly or indirectly, of twenty percent (20%) or more of the combined voting power of the then outstanding securities entitled to vote generally in the election of directors of such corporation except to the extent that such ownership existed prior to the Business Combination and (3) at least a majority of the Board of Directors of the corporation resulting from such Business Combination were Continuing Directors (as defined below), at the time of the execution of the initial agreement or of the action of the Board, providing for such Business Combination;</w:t>
      </w:r>
    </w:p>
    <w:p>
      <w:pPr>
        <w:spacing w:after="0" w:line="166" w:lineRule="exact"/>
        <w:rPr>
          <w:rFonts w:ascii="Times New Roman" w:cs="Times New Roman" w:eastAsia="Times New Roman" w:hAnsi="Times New Roman"/>
          <w:sz w:val="22"/>
          <w:szCs w:val="22"/>
          <w:color w:val="auto"/>
        </w:rPr>
      </w:pPr>
    </w:p>
    <w:p>
      <w:pPr>
        <w:ind w:firstLine="1952"/>
        <w:spacing w:after="0" w:line="236" w:lineRule="auto"/>
        <w:tabs>
          <w:tab w:leader="none" w:pos="255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Change in Board of Directors</w:t>
      </w:r>
      <w:r>
        <w:rPr>
          <w:rFonts w:ascii="Times New Roman" w:cs="Times New Roman" w:eastAsia="Times New Roman" w:hAnsi="Times New Roman"/>
          <w:sz w:val="21"/>
          <w:szCs w:val="21"/>
          <w:color w:val="auto"/>
        </w:rPr>
        <w:t>. The Continuing Directors cease for any reason to constitute at least a majority of the members of the Board; or</w:t>
      </w:r>
    </w:p>
    <w:p>
      <w:pPr>
        <w:spacing w:after="0" w:line="146"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26"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Liquidation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stockholders of the Company approve a plan of complete liquidation or dissolution of the Company or an agreement or series of agreements for the sale or disposition by the Company of all or substantially all of the Company’s assets (or, if such approval is not required, the decision by the Board to proceed with such a liquidation, sale, or disposition in one transaction or a series of related transactions).</w:t>
      </w:r>
    </w:p>
    <w:p>
      <w:pPr>
        <w:spacing w:after="0" w:line="148"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Claim</w:t>
      </w:r>
      <w:r>
        <w:rPr>
          <w:rFonts w:ascii="Times New Roman" w:cs="Times New Roman" w:eastAsia="Times New Roman" w:hAnsi="Times New Roman"/>
          <w:sz w:val="21"/>
          <w:szCs w:val="21"/>
          <w:color w:val="auto"/>
        </w:rPr>
        <w:t>” means:</w:t>
      </w:r>
    </w:p>
    <w:p>
      <w:pPr>
        <w:spacing w:after="0" w:line="18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1"/>
          <w:szCs w:val="21"/>
          <w:color w:val="auto"/>
        </w:rPr>
        <w:t>any threatened, pending or completed action, suit, claim, counterclaim, crossclaim, demand, proceeding, arbitration, mediation, alternative dispute resolution mechanism, investigation, inquiry, administrative hearing or any other actual, threatened or completed</w:t>
      </w:r>
    </w:p>
    <w:p>
      <w:pPr>
        <w:spacing w:after="0" w:line="2"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21"/>
          <w:szCs w:val="21"/>
          <w:color w:val="auto"/>
        </w:rPr>
        <w:t>proceeding, whether brought in the right of the Corporation or otherwise and whether civil, criminal, administrative, arbitrative, investigative (formal or informal), legislative, regulatory or other, including any appeal therefrom, and whether made pursuant to federal, state or other law. Any situation that the Indemnitee determines in good faith might lead to the institution of a Claim shall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considered a Claim under this Agreement.</w:t>
      </w:r>
    </w:p>
    <w:p>
      <w:pPr>
        <w:spacing w:after="0" w:line="151" w:lineRule="exact"/>
        <w:rPr>
          <w:sz w:val="20"/>
          <w:szCs w:val="20"/>
          <w:color w:val="auto"/>
        </w:rPr>
      </w:pPr>
    </w:p>
    <w:p>
      <w:pPr>
        <w:ind w:left="1900" w:hanging="596"/>
        <w:spacing w:after="0"/>
        <w:tabs>
          <w:tab w:leader="none" w:pos="19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shall have the meaning ascribed to it in the prefatory language above.</w:t>
      </w:r>
    </w:p>
    <w:p>
      <w:pPr>
        <w:spacing w:after="0" w:line="179"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Constituent Documents</w:t>
      </w:r>
      <w:r>
        <w:rPr>
          <w:rFonts w:ascii="Times New Roman" w:cs="Times New Roman" w:eastAsia="Times New Roman" w:hAnsi="Times New Roman"/>
          <w:sz w:val="21"/>
          <w:szCs w:val="21"/>
          <w:color w:val="auto"/>
        </w:rPr>
        <w:t>” shall have the meaning ascribed to it in the Recitals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1" w:right="339" w:bottom="1440" w:gutter="0" w:footer="0" w:header="0"/>
        </w:sectPr>
      </w:pPr>
    </w:p>
    <w:bookmarkStart w:id="69" w:name="page70"/>
    <w:bookmarkEnd w:id="69"/>
    <w:p>
      <w:pPr>
        <w:jc w:val="both"/>
        <w:ind w:firstLine="1304"/>
        <w:spacing w:after="0" w:line="218" w:lineRule="auto"/>
        <w:tabs>
          <w:tab w:leader="none" w:pos="187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Continuing Directors</w:t>
      </w:r>
      <w:r>
        <w:rPr>
          <w:rFonts w:ascii="Times New Roman" w:cs="Times New Roman" w:eastAsia="Times New Roman" w:hAnsi="Times New Roman"/>
          <w:sz w:val="21"/>
          <w:szCs w:val="21"/>
          <w:color w:val="auto"/>
        </w:rPr>
        <w:t>” means, during a period of two consecutive years, not including any period prior to the execution of this Agreement, the individuals collectively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w:t>
      </w:r>
    </w:p>
    <w:p>
      <w:pPr>
        <w:spacing w:after="0" w:line="148"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Delaware Court</w:t>
      </w:r>
      <w:r>
        <w:rPr>
          <w:rFonts w:ascii="Times New Roman" w:cs="Times New Roman" w:eastAsia="Times New Roman" w:hAnsi="Times New Roman"/>
          <w:sz w:val="21"/>
          <w:szCs w:val="21"/>
          <w:color w:val="auto"/>
        </w:rPr>
        <w:t>” means the Court of Chancery of the State of Delaware.</w:t>
      </w:r>
    </w:p>
    <w:p>
      <w:pPr>
        <w:spacing w:after="0" w:line="179" w:lineRule="exact"/>
        <w:rPr>
          <w:rFonts w:ascii="Times New Roman" w:cs="Times New Roman" w:eastAsia="Times New Roman" w:hAnsi="Times New Roman"/>
          <w:sz w:val="22"/>
          <w:szCs w:val="22"/>
          <w:color w:val="auto"/>
        </w:rPr>
      </w:pPr>
    </w:p>
    <w:p>
      <w:pPr>
        <w:ind w:firstLine="1304"/>
        <w:spacing w:after="0" w:line="237" w:lineRule="auto"/>
        <w:tabs>
          <w:tab w:leader="none" w:pos="19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Disinterested Director</w:t>
      </w:r>
      <w:r>
        <w:rPr>
          <w:rFonts w:ascii="Times New Roman" w:cs="Times New Roman" w:eastAsia="Times New Roman" w:hAnsi="Times New Roman"/>
          <w:sz w:val="21"/>
          <w:szCs w:val="21"/>
          <w:color w:val="auto"/>
        </w:rPr>
        <w:t>” means a director of the Company who is not and was not a party to the Claim in respect of which indemnification is sought by Indemnitee.</w:t>
      </w:r>
    </w:p>
    <w:p>
      <w:pPr>
        <w:spacing w:after="0" w:line="15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Enterprise</w:t>
      </w:r>
      <w:r>
        <w:rPr>
          <w:rFonts w:ascii="Times New Roman" w:cs="Times New Roman" w:eastAsia="Times New Roman" w:hAnsi="Times New Roman"/>
          <w:sz w:val="20"/>
          <w:szCs w:val="20"/>
          <w:color w:val="auto"/>
        </w:rPr>
        <w:t>” means, any corporation, limited liability company, partnership, joint venture, trust or other entity.</w:t>
      </w:r>
    </w:p>
    <w:p>
      <w:pPr>
        <w:spacing w:after="0" w:line="190" w:lineRule="exact"/>
        <w:rPr>
          <w:rFonts w:ascii="Times New Roman" w:cs="Times New Roman" w:eastAsia="Times New Roman" w:hAnsi="Times New Roman"/>
          <w:sz w:val="21"/>
          <w:szCs w:val="21"/>
          <w:color w:val="auto"/>
        </w:rPr>
      </w:pPr>
    </w:p>
    <w:p>
      <w:pPr>
        <w:ind w:left="1880" w:hanging="576"/>
        <w:spacing w:after="0"/>
        <w:tabs>
          <w:tab w:leader="none" w:pos="18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179" w:lineRule="exact"/>
        <w:rPr>
          <w:rFonts w:ascii="Times New Roman" w:cs="Times New Roman" w:eastAsia="Times New Roman" w:hAnsi="Times New Roman"/>
          <w:sz w:val="22"/>
          <w:szCs w:val="22"/>
          <w:color w:val="auto"/>
        </w:rPr>
      </w:pPr>
    </w:p>
    <w:p>
      <w:pPr>
        <w:ind w:firstLine="1304"/>
        <w:spacing w:after="0" w:line="237" w:lineRule="auto"/>
        <w:tabs>
          <w:tab w:leader="none" w:pos="19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Expense Advance</w:t>
      </w:r>
      <w:r>
        <w:rPr>
          <w:rFonts w:ascii="Times New Roman" w:cs="Times New Roman" w:eastAsia="Times New Roman" w:hAnsi="Times New Roman"/>
          <w:sz w:val="21"/>
          <w:szCs w:val="21"/>
          <w:color w:val="auto"/>
        </w:rPr>
        <w:t>” means any payment of Expenses advanced to Indemnitee by the Company pursuant to Section 4 or Section 5 hereof.</w:t>
      </w:r>
    </w:p>
    <w:p>
      <w:pPr>
        <w:spacing w:after="0" w:line="146" w:lineRule="exact"/>
        <w:rPr>
          <w:rFonts w:ascii="Times New Roman" w:cs="Times New Roman" w:eastAsia="Times New Roman" w:hAnsi="Times New Roman"/>
          <w:sz w:val="22"/>
          <w:szCs w:val="22"/>
          <w:color w:val="auto"/>
        </w:rPr>
      </w:pPr>
    </w:p>
    <w:p>
      <w:pPr>
        <w:jc w:val="both"/>
        <w:ind w:firstLine="1304"/>
        <w:spacing w:after="0" w:line="214" w:lineRule="auto"/>
        <w:tabs>
          <w:tab w:leader="none" w:pos="189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Expenses</w:t>
      </w:r>
      <w:r>
        <w:rPr>
          <w:rFonts w:ascii="Times New Roman" w:cs="Times New Roman" w:eastAsia="Times New Roman" w:hAnsi="Times New Roman"/>
          <w:sz w:val="21"/>
          <w:szCs w:val="21"/>
          <w:color w:val="auto"/>
        </w:rPr>
        <w:t xml:space="preserve">” means any and all reasonable attorneys’ fees and retainers, experts’ and other professionals’ fees, witness fees, court costs, transcript costs, travel expenses, duplicating, printing and binding costs, telephone charges, postage, delivery service fees and all other costs and expenses of the types customarily incurred in connection with, or as a result of, investigating, prosecuting, defending, being a witness or deponent in or otherwise participating in (including on appeal), or preparing to prosecute or defend, be a witness or deponent or otherwise participate in, any Claim. Expenses also shall include (i) Expenses incurred in connection with any appeal resulting from any Claim, including without limitation the premium, security for, and other costs relating to any cost bond, supersedes bond, or other appeal bond or its equivalent, (ii) Expenses incurred in connection with recovery under any directors’ and officers’ liability insurance policies maintained by the Company, regardless of whether Indemnitee is ultimately determined to be entitled to such indemnification, advancement or Expenses or insurance recovery, as the case may be </w:t>
      </w:r>
      <w:r>
        <w:rPr>
          <w:rFonts w:ascii="Times New Roman" w:cs="Times New Roman" w:eastAsia="Times New Roman" w:hAnsi="Times New Roman"/>
          <w:sz w:val="20"/>
          <w:szCs w:val="20"/>
          <w:color w:val="auto"/>
        </w:rPr>
        <w:t>and (iii)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166" w:lineRule="exact"/>
        <w:rPr>
          <w:rFonts w:ascii="Times New Roman" w:cs="Times New Roman" w:eastAsia="Times New Roman" w:hAnsi="Times New Roman"/>
          <w:sz w:val="22"/>
          <w:szCs w:val="22"/>
          <w:color w:val="auto"/>
        </w:rPr>
      </w:pPr>
    </w:p>
    <w:p>
      <w:pPr>
        <w:jc w:val="both"/>
        <w:ind w:firstLine="1304"/>
        <w:spacing w:after="0" w:line="218" w:lineRule="auto"/>
        <w:tabs>
          <w:tab w:leader="none" w:pos="189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Indemnifiable Event</w:t>
      </w:r>
      <w:r>
        <w:rPr>
          <w:rFonts w:ascii="Times New Roman" w:cs="Times New Roman" w:eastAsia="Times New Roman" w:hAnsi="Times New Roman"/>
          <w:sz w:val="21"/>
          <w:szCs w:val="21"/>
          <w:color w:val="auto"/>
        </w:rPr>
        <w:t>” means any event or occurrence, whether occurring before,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another Enterprise or by reason of an action or inaction by Indemnitee in any such capacity (whether or not serving in such capacity at the time any Loss (as defined below) is incurred for which indemnification can be provided under this Agreement).</w:t>
      </w:r>
    </w:p>
    <w:p>
      <w:pPr>
        <w:spacing w:after="0" w:line="148"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shall have the meaning ascribed to it in the prefatory language above.</w:t>
      </w:r>
    </w:p>
    <w:p>
      <w:pPr>
        <w:spacing w:after="0" w:line="179"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1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Independent Counsel</w:t>
      </w:r>
      <w:r>
        <w:rPr>
          <w:rFonts w:ascii="Times New Roman" w:cs="Times New Roman" w:eastAsia="Times New Roman" w:hAnsi="Times New Roman"/>
          <w:sz w:val="21"/>
          <w:szCs w:val="21"/>
          <w:color w:val="auto"/>
        </w:rPr>
        <w:t>” means a law firm, or a member of a law firm, that is experienced in matters of corporate law and neither presently performs, nor in the past five (5) years has performed, services for either: (i) the Company or Indemnitee (other than in connection with matters concerning other indemnitees under similar agreements) or (ii) any other party to the Claim giving rise to a claim for indemnification hereunder. Notwithstanding the foregoing, the term “Independent Counsel” shall not include any person who, under the applicable standards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01" w:right="339" w:bottom="1440" w:gutter="0" w:footer="0" w:header="0"/>
        </w:sectPr>
      </w:pPr>
    </w:p>
    <w:bookmarkStart w:id="70" w:name="page71"/>
    <w:bookmarkEnd w:id="70"/>
    <w:p>
      <w:pPr>
        <w:spacing w:after="0" w:line="234" w:lineRule="auto"/>
        <w:rPr>
          <w:sz w:val="20"/>
          <w:szCs w:val="20"/>
          <w:color w:val="auto"/>
        </w:rPr>
      </w:pPr>
      <w:r>
        <w:rPr>
          <w:rFonts w:ascii="Times New Roman" w:cs="Times New Roman" w:eastAsia="Times New Roman" w:hAnsi="Times New Roman"/>
          <w:sz w:val="21"/>
          <w:szCs w:val="21"/>
          <w:color w:val="auto"/>
        </w:rPr>
        <w:t>professional conduct then prevailing, would have a conflict of interest in representing either the Company or Indemnitee in an action to determine Indemnitee’s rights under this Agreement.</w:t>
      </w:r>
    </w:p>
    <w:p>
      <w:pPr>
        <w:spacing w:after="0" w:line="162" w:lineRule="exact"/>
        <w:rPr>
          <w:sz w:val="20"/>
          <w:szCs w:val="20"/>
          <w:color w:val="auto"/>
        </w:rPr>
      </w:pPr>
    </w:p>
    <w:p>
      <w:pPr>
        <w:jc w:val="both"/>
        <w:ind w:firstLine="1304"/>
        <w:spacing w:after="0" w:line="218" w:lineRule="auto"/>
        <w:tabs>
          <w:tab w:leader="none" w:pos="190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Losses</w:t>
      </w:r>
      <w:r>
        <w:rPr>
          <w:rFonts w:ascii="Times New Roman" w:cs="Times New Roman" w:eastAsia="Times New Roman" w:hAnsi="Times New Roman"/>
          <w:sz w:val="21"/>
          <w:szCs w:val="21"/>
          <w:color w:val="auto"/>
        </w:rPr>
        <w:t>” 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prosecuting, defending, being a witness or deponent in or otherwise participating in (including on appeal), or preparing to prosecute, defend, be a witness or deponent or otherwise participate in, any Claim.</w:t>
      </w:r>
    </w:p>
    <w:p>
      <w:pPr>
        <w:spacing w:after="0" w:line="148"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Notification Date</w:t>
      </w:r>
      <w:r>
        <w:rPr>
          <w:rFonts w:ascii="Times New Roman" w:cs="Times New Roman" w:eastAsia="Times New Roman" w:hAnsi="Times New Roman"/>
          <w:sz w:val="21"/>
          <w:szCs w:val="21"/>
          <w:color w:val="auto"/>
        </w:rPr>
        <w:t>” shall have the meaning ascribed to it in Section 10(c) below.</w:t>
      </w:r>
    </w:p>
    <w:p>
      <w:pPr>
        <w:spacing w:after="0" w:line="179"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Indemnity Provisions</w:t>
      </w:r>
      <w:r>
        <w:rPr>
          <w:rFonts w:ascii="Times New Roman" w:cs="Times New Roman" w:eastAsia="Times New Roman" w:hAnsi="Times New Roman"/>
          <w:sz w:val="21"/>
          <w:szCs w:val="21"/>
          <w:color w:val="auto"/>
        </w:rPr>
        <w:t>” shall have the meaning ascribed to it in Section 14 below.</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9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individual, corporation, firm, partnership, joint venture, limited liability company, estate, trust, business association, organization, governmental entity or other entity and includes the meaning set forth in Sections 13(d) and 14(d) of the Exchange Act.</w:t>
      </w:r>
    </w:p>
    <w:p>
      <w:pPr>
        <w:spacing w:after="0" w:line="160"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Standard of Conduct Determination</w:t>
      </w:r>
      <w:r>
        <w:rPr>
          <w:rFonts w:ascii="Times New Roman" w:cs="Times New Roman" w:eastAsia="Times New Roman" w:hAnsi="Times New Roman"/>
          <w:sz w:val="21"/>
          <w:szCs w:val="21"/>
          <w:color w:val="auto"/>
        </w:rPr>
        <w:t>” shall have the meaning ascribed to it in Section 10(b) below.</w:t>
      </w:r>
    </w:p>
    <w:p>
      <w:pPr>
        <w:spacing w:after="0" w:line="179"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Voting Securities</w:t>
      </w:r>
      <w:r>
        <w:rPr>
          <w:rFonts w:ascii="Times New Roman" w:cs="Times New Roman" w:eastAsia="Times New Roman" w:hAnsi="Times New Roman"/>
          <w:sz w:val="21"/>
          <w:szCs w:val="21"/>
          <w:color w:val="auto"/>
        </w:rPr>
        <w:t>” means any securities of the Company that vote generally in the election of directors.</w:t>
      </w:r>
    </w:p>
    <w:p>
      <w:pPr>
        <w:spacing w:after="0" w:line="181" w:lineRule="exact"/>
        <w:rPr>
          <w:rFonts w:ascii="Times New Roman" w:cs="Times New Roman" w:eastAsia="Times New Roman" w:hAnsi="Times New Roman"/>
          <w:sz w:val="22"/>
          <w:szCs w:val="22"/>
          <w:color w:val="auto"/>
        </w:rPr>
      </w:pPr>
    </w:p>
    <w:p>
      <w:pPr>
        <w:jc w:val="both"/>
        <w:ind w:firstLine="656"/>
        <w:spacing w:after="0" w:line="219" w:lineRule="auto"/>
        <w:tabs>
          <w:tab w:leader="none" w:pos="123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xml:space="preserve">. Subject to the terms of this Agreement, the Company shall indemnify Indemnitee, to the fullest extent permitted by law, against any and all Losses actually and reasonably incurred by Indemnitee or on Indemnitee’s behalf in connection with a Claim </w:t>
      </w:r>
      <w:r>
        <w:rPr>
          <w:rFonts w:ascii="Times New Roman" w:cs="Times New Roman" w:eastAsia="Times New Roman" w:hAnsi="Times New Roman"/>
          <w:sz w:val="20"/>
          <w:szCs w:val="20"/>
          <w:color w:val="auto"/>
        </w:rPr>
        <w:t>if Indemnitee was or is or becomes a party to or participant in, or is threatened to be made a party to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participant in, any Claim by reason of or arising in part out of an Indemnifiable Event, including, without limitation, Claims brought by or in the right of the Company, Claims brought by third parties, and Claims in which the Indemnitee is solely a witness or deponent. </w:t>
      </w:r>
      <w:r>
        <w:rPr>
          <w:rFonts w:ascii="Times New Roman" w:cs="Times New Roman" w:eastAsia="Times New Roman" w:hAnsi="Times New Roman"/>
          <w:sz w:val="21"/>
          <w:szCs w:val="21"/>
          <w:color w:val="auto"/>
        </w:rPr>
        <w:t>The parties hereto intend that this Agreement shall provide to the fullest extent permitted by law for indemnification in excess of that expressly permitted by statute, including, without limitation, any indemnification provided by the Constituent Documents, vote of the Company’s stockholders or disinterested directors or applicable law.</w:t>
      </w:r>
    </w:p>
    <w:p>
      <w:pPr>
        <w:spacing w:after="0" w:line="164" w:lineRule="exact"/>
        <w:rPr>
          <w:rFonts w:ascii="Times New Roman" w:cs="Times New Roman" w:eastAsia="Times New Roman" w:hAnsi="Times New Roman"/>
          <w:sz w:val="21"/>
          <w:szCs w:val="21"/>
          <w:color w:val="auto"/>
        </w:rPr>
      </w:pPr>
    </w:p>
    <w:p>
      <w:pPr>
        <w:jc w:val="both"/>
        <w:ind w:firstLine="656"/>
        <w:spacing w:after="0" w:line="210" w:lineRule="auto"/>
        <w:tabs>
          <w:tab w:leader="none" w:pos="123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Advancement of Expenses</w:t>
      </w:r>
      <w:r>
        <w:rPr>
          <w:rFonts w:ascii="Times New Roman" w:cs="Times New Roman" w:eastAsia="Times New Roman" w:hAnsi="Times New Roman"/>
          <w:sz w:val="21"/>
          <w:szCs w:val="21"/>
          <w:color w:val="auto"/>
        </w:rPr>
        <w:t>. Indemnitee shall have the right to advancement of expenses, to the fullest extent permitted by law, by the Company, prior to the final disposition of any Claim by final adjudication to which there are no further rights of appeal, of any and all Expenses actually and reasonably paid or incurred by Indemnitee in connection with any Claim arising out of an Indemnifiable Event. Indemnitee’s right to such advancement is not subject to the satisfaction of any standard of conduct. Without limiting the generality or effect of the foregoing, within twenty (20) calendar days after any receipt by the Company of a statement or statements requesting such advances from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Execution and delivery to the Company of this Agreement by Indemnitee constitutes an undertaking by the Indemnitee, pursuant to which Indemnitee hereby agrees, to repay any amounts paid, advanced or reimbursed by the Company pursuant to this Section 4 in respect of Expenses relating to, arising out of or resulting from any Claim in respect of which it shall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03" w:right="339" w:bottom="1440" w:gutter="0" w:footer="0" w:header="0"/>
        </w:sectPr>
      </w:pPr>
    </w:p>
    <w:bookmarkStart w:id="71" w:name="page72"/>
    <w:bookmarkEnd w:id="71"/>
    <w:p>
      <w:pPr>
        <w:ind w:right="20"/>
        <w:spacing w:after="0" w:line="219" w:lineRule="auto"/>
        <w:rPr>
          <w:sz w:val="20"/>
          <w:szCs w:val="20"/>
          <w:color w:val="auto"/>
        </w:rPr>
      </w:pPr>
      <w:r>
        <w:rPr>
          <w:rFonts w:ascii="Times New Roman" w:cs="Times New Roman" w:eastAsia="Times New Roman" w:hAnsi="Times New Roman"/>
          <w:sz w:val="21"/>
          <w:szCs w:val="21"/>
          <w:color w:val="auto"/>
        </w:rPr>
        <w:t>pursuant to Section 10, following the final disposition of such Claim, that Indemnitee is not entitled to indemnification hereunder. No other form of undertaking shall be required other than the execution of this Agreement. Indemnitee’s obligation to reimburse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for Expense Advances shall be unsecured and no interest shall be charged thereon.</w:t>
      </w:r>
    </w:p>
    <w:p>
      <w:pPr>
        <w:spacing w:after="0" w:line="153" w:lineRule="exact"/>
        <w:rPr>
          <w:sz w:val="20"/>
          <w:szCs w:val="20"/>
          <w:color w:val="auto"/>
        </w:rPr>
      </w:pPr>
    </w:p>
    <w:p>
      <w:pPr>
        <w:jc w:val="both"/>
        <w:ind w:firstLine="656"/>
        <w:spacing w:after="0" w:line="213" w:lineRule="auto"/>
        <w:tabs>
          <w:tab w:leader="none" w:pos="1246"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for Expenses in Enforcing Rights</w:t>
      </w:r>
      <w:r>
        <w:rPr>
          <w:rFonts w:ascii="Times New Roman" w:cs="Times New Roman" w:eastAsia="Times New Roman" w:hAnsi="Times New Roman"/>
          <w:sz w:val="21"/>
          <w:szCs w:val="21"/>
          <w:color w:val="auto"/>
        </w:rPr>
        <w:t>. To the fullest extent allowable under applicable law, the Company shall also indemnify against, and, if requested by Indemnitee, shall advance to Indemnitee (within ten days after receipt by the Company of a written request therefor) subject to and in accordance with Section 4,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However, in the event that Indemnitee is ultimately determined not to be entitled to such indemnification or insurance recovery, as the case may be, then all amounts advanced under this Section 5 shall be repaid.</w:t>
      </w:r>
    </w:p>
    <w:p>
      <w:pPr>
        <w:spacing w:after="0" w:line="150" w:lineRule="exact"/>
        <w:rPr>
          <w:rFonts w:ascii="Times New Roman" w:cs="Times New Roman" w:eastAsia="Times New Roman" w:hAnsi="Times New Roman"/>
          <w:sz w:val="21"/>
          <w:szCs w:val="21"/>
          <w:color w:val="auto"/>
        </w:rPr>
      </w:pPr>
    </w:p>
    <w:p>
      <w:pPr>
        <w:jc w:val="both"/>
        <w:ind w:firstLine="656"/>
        <w:spacing w:after="0" w:line="228" w:lineRule="auto"/>
        <w:tabs>
          <w:tab w:leader="none" w:pos="123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Partial Indemnity</w:t>
      </w:r>
      <w:r>
        <w:rPr>
          <w:rFonts w:ascii="Times New Roman" w:cs="Times New Roman" w:eastAsia="Times New Roman" w:hAnsi="Times New Roman"/>
          <w:sz w:val="21"/>
          <w:szCs w:val="21"/>
          <w:color w:val="auto"/>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spacing w:after="0" w:line="148" w:lineRule="exact"/>
        <w:rPr>
          <w:rFonts w:ascii="Times New Roman" w:cs="Times New Roman" w:eastAsia="Times New Roman" w:hAnsi="Times New Roman"/>
          <w:sz w:val="21"/>
          <w:szCs w:val="21"/>
          <w:color w:val="auto"/>
        </w:rPr>
      </w:pPr>
    </w:p>
    <w:p>
      <w:pPr>
        <w:jc w:val="both"/>
        <w:ind w:firstLine="656"/>
        <w:spacing w:after="0" w:line="213" w:lineRule="auto"/>
        <w:tabs>
          <w:tab w:leader="none" w:pos="123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Contribution in the Event of Joint Liability</w:t>
      </w:r>
      <w:r>
        <w:rPr>
          <w:rFonts w:ascii="Times New Roman" w:cs="Times New Roman" w:eastAsia="Times New Roman" w:hAnsi="Times New Roman"/>
          <w:sz w:val="21"/>
          <w:szCs w:val="21"/>
          <w:color w:val="auto"/>
        </w:rPr>
        <w:t>. To the fullest extent permissible under applicable law, if the indemnification and hold harmless rights provided for in this Agreement are unavailable to Indemnitee in whole or in part for any reason whatsoever, the Company, in lieu of indemnifying and holding harmless Indemnitee, shall contribute to the amount incurred by Indemnitee the entire amount incurred by Indemnitee, whether for judgments, liabilities, fines, penalties, amounts paid or to be paid in settlement and/or for Expenses, in connection with any Claim relating to an Indemnifiable Event, in such proportion as is deemed fair and reasonable in light of all of the circumstances of such Indemnifiable Event in order to reflect (i) the relative benefits received by the Company and Indemnitee as a result of the event(s) and/or transaction(s) giving cause to such proceeding; and/or (ii) the relative fault of the Company (and its directors, officers, employees, trustees, fiduciaries and agents) and Indemnitee in connection with such event(s) and/or transaction(s).</w:t>
      </w:r>
    </w:p>
    <w:p>
      <w:pPr>
        <w:spacing w:after="0" w:line="150" w:lineRule="exact"/>
        <w:rPr>
          <w:rFonts w:ascii="Times New Roman" w:cs="Times New Roman" w:eastAsia="Times New Roman" w:hAnsi="Times New Roman"/>
          <w:sz w:val="21"/>
          <w:szCs w:val="21"/>
          <w:color w:val="auto"/>
        </w:rPr>
      </w:pPr>
    </w:p>
    <w:p>
      <w:pPr>
        <w:ind w:left="1240" w:hanging="584"/>
        <w:spacing w:after="0"/>
        <w:tabs>
          <w:tab w:leader="none" w:pos="12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Notification and Defense of Claims</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Notification of Claims</w:t>
      </w:r>
      <w:r>
        <w:rPr>
          <w:rFonts w:ascii="Times New Roman" w:cs="Times New Roman" w:eastAsia="Times New Roman" w:hAnsi="Times New Roman"/>
          <w:sz w:val="21"/>
          <w:szCs w:val="21"/>
          <w:color w:val="auto"/>
        </w:rPr>
        <w:t>. Indemnitee shall notify the Company in writing of any Claim which could relate to an Indemnifiable Event or for which Indemnitee could seek Expense Advances as soon as practicable following receipt by Indemnitee of written notice thereof. The written notification to the Company shall include a brief description (based upon information then available to Indemnitee) of the nature of, and the facts underlying, such Claim. The failure by Indemnitee to timely notify the Company hereunder shall not relieve the Company from any liability hereunder other than to the extent the Company’s ability to participate in the defense of such claim was materially and adversely prejudiced by such failure.</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12"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Defense of Claims</w:t>
      </w:r>
      <w:r>
        <w:rPr>
          <w:rFonts w:ascii="Times New Roman" w:cs="Times New Roman" w:eastAsia="Times New Roman" w:hAnsi="Times New Roman"/>
          <w:sz w:val="20"/>
          <w:szCs w:val="20"/>
          <w:color w:val="auto"/>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03" w:right="339" w:bottom="1440" w:gutter="0" w:footer="0" w:header="0"/>
        </w:sectPr>
      </w:pPr>
    </w:p>
    <w:bookmarkStart w:id="72" w:name="page73"/>
    <w:bookmarkEnd w:id="72"/>
    <w:p>
      <w:pPr>
        <w:jc w:val="both"/>
        <w:spacing w:after="0" w:line="230" w:lineRule="auto"/>
        <w:rPr>
          <w:sz w:val="20"/>
          <w:szCs w:val="20"/>
          <w:color w:val="auto"/>
        </w:rPr>
      </w:pPr>
      <w:r>
        <w:rPr>
          <w:rFonts w:ascii="Times New Roman" w:cs="Times New Roman" w:eastAsia="Times New Roman" w:hAnsi="Times New Roman"/>
          <w:sz w:val="20"/>
          <w:szCs w:val="20"/>
          <w:color w:val="auto"/>
        </w:rPr>
        <w:t>Claim, but all Expenses related to such counsel incurred after notice from the Company of its assumption of the defense shall be at Indemnitee’s own expense; provided, however, that if (i) Indemnitee’s employment of its own legal counsel has been authorized by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Company, (ii) Indemnitee’s counsel has reasonably determined that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w:t>
      </w:r>
    </w:p>
    <w:p>
      <w:pPr>
        <w:jc w:val="both"/>
        <w:spacing w:after="0" w:line="223" w:lineRule="auto"/>
        <w:rPr>
          <w:sz w:val="20"/>
          <w:szCs w:val="20"/>
          <w:color w:val="auto"/>
        </w:rPr>
      </w:pPr>
      <w:r>
        <w:rPr>
          <w:rFonts w:ascii="Times New Roman" w:cs="Times New Roman" w:eastAsia="Times New Roman" w:hAnsi="Times New Roman"/>
          <w:sz w:val="21"/>
          <w:szCs w:val="21"/>
          <w:color w:val="auto"/>
        </w:rPr>
        <w:t>Indemnitee shall be entitled to retain its own separate counsel (but not more than one law firm plus, if applicable, local counsel in respect of any such Claim) and all Expenses related to such separate counsel shall be borne by the Company.</w:t>
      </w:r>
    </w:p>
    <w:p>
      <w:pPr>
        <w:spacing w:after="0" w:line="148" w:lineRule="exact"/>
        <w:rPr>
          <w:sz w:val="20"/>
          <w:szCs w:val="20"/>
          <w:color w:val="auto"/>
        </w:rPr>
      </w:pPr>
    </w:p>
    <w:p>
      <w:pPr>
        <w:jc w:val="both"/>
        <w:ind w:firstLine="656"/>
        <w:spacing w:after="0" w:line="220" w:lineRule="auto"/>
        <w:tabs>
          <w:tab w:leader="none" w:pos="1273"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 Upon Application for Indemnification</w:t>
      </w:r>
      <w:r>
        <w:rPr>
          <w:rFonts w:ascii="Times New Roman" w:cs="Times New Roman" w:eastAsia="Times New Roman" w:hAnsi="Times New Roman"/>
          <w:sz w:val="21"/>
          <w:szCs w:val="21"/>
          <w:color w:val="auto"/>
        </w:rPr>
        <w:t>.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Indemnification shall be made insofar as the Company determines Indemnitee is entitled to indemnification in accordance with Section 10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03" w:right="339" w:bottom="1440" w:gutter="0" w:footer="0" w:header="0"/>
        </w:sectPr>
      </w:pPr>
    </w:p>
    <w:bookmarkStart w:id="73" w:name="page74"/>
    <w:bookmarkEnd w:id="73"/>
    <w:p>
      <w:pPr>
        <w:ind w:left="1240" w:hanging="584"/>
        <w:spacing w:after="0"/>
        <w:tabs>
          <w:tab w:leader="none" w:pos="12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Determination of Right to Indemnification</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ind w:left="1900" w:hanging="596"/>
        <w:spacing w:after="0"/>
        <w:tabs>
          <w:tab w:leader="none" w:pos="19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Mandatory Indemnification; Indemnification as a Witness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18" w:lineRule="auto"/>
        <w:tabs>
          <w:tab w:leader="none" w:pos="2526"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Mandatory Indemnification</w:t>
      </w:r>
      <w:r>
        <w:rPr>
          <w:rFonts w:ascii="Times New Roman" w:cs="Times New Roman" w:eastAsia="Times New Roman" w:hAnsi="Times New Roman"/>
          <w:sz w:val="21"/>
          <w:szCs w:val="21"/>
          <w:color w:val="auto"/>
        </w:rPr>
        <w:t>. Notwithstanding any other provisions of this Agreement, to the extent that Indemnitee shall have been successful on the merits or otherwise in defense of any Claim relating to an Indemnifiable Event or in defense of any issue or matter therein, in whole or in part, including without limitation the termination of any Claim by dismissal with or without prejudice, Indemnitee shall be indemnified against all Losses relating to such successfully resolved Claim or such successfully resolved issue or matter therein, as applicable, to the fullest extent allowable by law.</w:t>
      </w:r>
    </w:p>
    <w:p>
      <w:pPr>
        <w:spacing w:after="0" w:line="161" w:lineRule="exact"/>
        <w:rPr>
          <w:rFonts w:ascii="Times New Roman" w:cs="Times New Roman" w:eastAsia="Times New Roman" w:hAnsi="Times New Roman"/>
          <w:sz w:val="22"/>
          <w:szCs w:val="22"/>
          <w:color w:val="auto"/>
        </w:rPr>
      </w:pPr>
    </w:p>
    <w:p>
      <w:pPr>
        <w:jc w:val="both"/>
        <w:ind w:firstLine="1952"/>
        <w:spacing w:after="0" w:line="218" w:lineRule="auto"/>
        <w:tabs>
          <w:tab w:leader="none" w:pos="2532"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Indemnification as a Witness</w:t>
      </w:r>
      <w:r>
        <w:rPr>
          <w:rFonts w:ascii="Times New Roman" w:cs="Times New Roman" w:eastAsia="Times New Roman" w:hAnsi="Times New Roman"/>
          <w:sz w:val="21"/>
          <w:szCs w:val="21"/>
          <w:color w:val="auto"/>
        </w:rPr>
        <w:t>. Notwithstanding any other provisions of this Agreement, to the extent that Indemnitee’s involvement in a Claim relating to an Indemnifiable Event is to prepare to serve and serve as a witness, is or was made (or asked to respond to discovery requests) or is otherwise asked to participate in a Claim, in each case, to which Indemnitee is not a party, the Indemnitee shall be indemnified against all Losses actually and reasonably incurred in connection therewith to the fullest extent allowable by law.</w:t>
      </w:r>
    </w:p>
    <w:p>
      <w:pPr>
        <w:spacing w:after="0" w:line="148" w:lineRule="exact"/>
        <w:rPr>
          <w:rFonts w:ascii="Times New Roman" w:cs="Times New Roman" w:eastAsia="Times New Roman" w:hAnsi="Times New Roman"/>
          <w:sz w:val="22"/>
          <w:szCs w:val="22"/>
          <w:color w:val="auto"/>
        </w:rPr>
      </w:pPr>
    </w:p>
    <w:p>
      <w:pPr>
        <w:jc w:val="both"/>
        <w:ind w:firstLine="1304"/>
        <w:spacing w:after="0" w:line="218" w:lineRule="auto"/>
        <w:tabs>
          <w:tab w:leader="none" w:pos="188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Standard of Conduct</w:t>
      </w:r>
      <w:r>
        <w:rPr>
          <w:rFonts w:ascii="Times New Roman" w:cs="Times New Roman" w:eastAsia="Times New Roman" w:hAnsi="Times New Roman"/>
          <w:sz w:val="21"/>
          <w:szCs w:val="21"/>
          <w:color w:val="auto"/>
        </w:rPr>
        <w:t>. To the extent that the provisions of Section 10(a) are inapplicable to a Claim related to an Indemnifiable Event that shall have been finally disposed of, any determination of whether Indemnitee has satisfied any applicable standard of conduct under Delaware law that is a legally required condition to indemnification of Indemnitee hereunder against Losses relating to such Claim and any determination that Expense Advances must be repaid to the Company (a “</w:t>
      </w:r>
      <w:r>
        <w:rPr>
          <w:rFonts w:ascii="Times New Roman" w:cs="Times New Roman" w:eastAsia="Times New Roman" w:hAnsi="Times New Roman"/>
          <w:sz w:val="21"/>
          <w:szCs w:val="21"/>
          <w:b w:val="1"/>
          <w:bCs w:val="1"/>
          <w:color w:val="auto"/>
        </w:rPr>
        <w:t>Standard of Conduct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Determination</w:t>
      </w:r>
      <w:r>
        <w:rPr>
          <w:rFonts w:ascii="Times New Roman" w:cs="Times New Roman" w:eastAsia="Times New Roman" w:hAnsi="Times New Roman"/>
          <w:sz w:val="21"/>
          <w:szCs w:val="21"/>
          <w:color w:val="auto"/>
        </w:rPr>
        <w:t>”) shall be made as follows:</w:t>
      </w:r>
    </w:p>
    <w:p>
      <w:pPr>
        <w:spacing w:after="0" w:line="148" w:lineRule="exact"/>
        <w:rPr>
          <w:rFonts w:ascii="Times New Roman" w:cs="Times New Roman" w:eastAsia="Times New Roman" w:hAnsi="Times New Roman"/>
          <w:sz w:val="22"/>
          <w:szCs w:val="22"/>
          <w:color w:val="auto"/>
        </w:rPr>
      </w:pPr>
    </w:p>
    <w:p>
      <w:pPr>
        <w:jc w:val="both"/>
        <w:ind w:firstLine="1952"/>
        <w:spacing w:after="0" w:line="218" w:lineRule="auto"/>
        <w:tabs>
          <w:tab w:leader="none" w:pos="2526"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no Change in Control has occurred, (A) by a majority vote of the Disinterested Directors, even if less than a quorum of the Board, (B) by a committee of Disinterested Directors designated by a majority vote of the Disinterested Directors, even though less than a quorum (C) if there are no such Disinterested Directors or if such Disinterested Directors so direct, by Independent Counsel in a written opinion addressed to the Board, a copy of which shall be delivered to Indemnitee or (D) if so directed by the Board, by the stockholders of the Company; and</w:t>
      </w:r>
    </w:p>
    <w:p>
      <w:pPr>
        <w:spacing w:after="0" w:line="161" w:lineRule="exact"/>
        <w:rPr>
          <w:rFonts w:ascii="Times New Roman" w:cs="Times New Roman" w:eastAsia="Times New Roman" w:hAnsi="Times New Roman"/>
          <w:sz w:val="22"/>
          <w:szCs w:val="22"/>
          <w:color w:val="auto"/>
        </w:rPr>
      </w:pPr>
    </w:p>
    <w:p>
      <w:pPr>
        <w:jc w:val="both"/>
        <w:ind w:firstLine="1952"/>
        <w:spacing w:after="0" w:line="224" w:lineRule="auto"/>
        <w:tabs>
          <w:tab w:leader="none" w:pos="2545"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spacing w:after="0" w:line="15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The Company shall indemnify and hold harmless Indemnitee against and, if requested by Indemnitee in writing,</w:t>
      </w:r>
    </w:p>
    <w:p>
      <w:pPr>
        <w:spacing w:after="0" w:line="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shall reimburse Indemnitee for, or advance to Indemnitee, within twenty (20) calendar days of such request, any and all Expenses actually and reasonably incurred by Indemnitee in cooperating with the Person or Persons making such Standard of Conduct Determination (irrespective of the determination as to Indemnitee’s entitlement to indemnification).</w:t>
      </w:r>
    </w:p>
    <w:p>
      <w:pPr>
        <w:spacing w:after="0" w:line="48" w:lineRule="exact"/>
        <w:rPr>
          <w:sz w:val="20"/>
          <w:szCs w:val="20"/>
          <w:color w:val="auto"/>
        </w:rPr>
      </w:pPr>
    </w:p>
    <w:p>
      <w:pPr>
        <w:jc w:val="both"/>
        <w:ind w:firstLine="1944"/>
        <w:spacing w:after="0" w:line="225" w:lineRule="auto"/>
        <w:rPr>
          <w:sz w:val="20"/>
          <w:szCs w:val="20"/>
          <w:color w:val="auto"/>
        </w:rPr>
      </w:pPr>
      <w:r>
        <w:rPr>
          <w:rFonts w:ascii="Times New Roman" w:cs="Times New Roman" w:eastAsia="Times New Roman" w:hAnsi="Times New Roman"/>
          <w:sz w:val="22"/>
          <w:szCs w:val="22"/>
          <w:color w:val="auto"/>
        </w:rPr>
        <w:t>The Company promptly will advise Indemnitee in writing with respect to any determination that Indemnitee is or is not entitled to indemnification, including a description of any reason or basis for which indemnification has been denied.</w:t>
      </w:r>
    </w:p>
    <w:p>
      <w:pPr>
        <w:spacing w:after="0" w:line="53" w:lineRule="exact"/>
        <w:rPr>
          <w:sz w:val="20"/>
          <w:szCs w:val="20"/>
          <w:color w:val="auto"/>
        </w:rPr>
      </w:pPr>
    </w:p>
    <w:p>
      <w:pPr>
        <w:jc w:val="both"/>
        <w:ind w:firstLine="1304"/>
        <w:spacing w:after="0" w:line="215" w:lineRule="auto"/>
        <w:tabs>
          <w:tab w:leader="none" w:pos="188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Making the Standard of Conduct Determination</w:t>
      </w:r>
      <w:r>
        <w:rPr>
          <w:rFonts w:ascii="Times New Roman" w:cs="Times New Roman" w:eastAsia="Times New Roman" w:hAnsi="Times New Roman"/>
          <w:sz w:val="21"/>
          <w:szCs w:val="21"/>
          <w:color w:val="auto"/>
        </w:rPr>
        <w:t>. The Company shall use its reasonable best efforts to cause any Standard of Conduct Determination required under Section 10(b) to be made as promptly as practicable. Subject to the last sentence of this Section 10(c), if the Person or Persons designated to make the Standard of Conduct Determination under Section 10(b) shall not have made a determination within thirty (30) calendar days after the later of (A) receipt by the Company of a written request from Indemnitee for indemnification pursuant to Section 9 (the date of such receipt being the “</w:t>
      </w:r>
      <w:r>
        <w:rPr>
          <w:rFonts w:ascii="Times New Roman" w:cs="Times New Roman" w:eastAsia="Times New Roman" w:hAnsi="Times New Roman"/>
          <w:sz w:val="21"/>
          <w:szCs w:val="21"/>
          <w:b w:val="1"/>
          <w:bCs w:val="1"/>
          <w:color w:val="auto"/>
        </w:rPr>
        <w:t>Notification Date</w:t>
      </w:r>
      <w:r>
        <w:rPr>
          <w:rFonts w:ascii="Times New Roman" w:cs="Times New Roman" w:eastAsia="Times New Roman" w:hAnsi="Times New Roman"/>
          <w:sz w:val="21"/>
          <w:szCs w:val="21"/>
          <w:color w:val="auto"/>
        </w:rPr>
        <w:t>”) and (B) the selection of an Independent Counsel, if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03" w:right="339" w:bottom="1440" w:gutter="0" w:footer="0" w:header="0"/>
        </w:sectPr>
      </w:pPr>
    </w:p>
    <w:bookmarkStart w:id="74" w:name="page75"/>
    <w:bookmarkEnd w:id="74"/>
    <w:p>
      <w:pPr>
        <w:jc w:val="both"/>
        <w:spacing w:after="0" w:line="219" w:lineRule="auto"/>
        <w:rPr>
          <w:sz w:val="20"/>
          <w:szCs w:val="20"/>
          <w:color w:val="auto"/>
        </w:rPr>
      </w:pPr>
      <w:r>
        <w:rPr>
          <w:rFonts w:ascii="Times New Roman" w:cs="Times New Roman" w:eastAsia="Times New Roman" w:hAnsi="Times New Roman"/>
          <w:sz w:val="21"/>
          <w:szCs w:val="21"/>
          <w:color w:val="auto"/>
        </w:rPr>
        <w:t>determination is to be made by Independent Counsel, then Indemnitee shall be deemed to have satisfied the applicable standard of conduct, absent (i) a misstatement by Indemnitee of a material fact, or an omission of a material fact necessary to make Indemnitee’s</w:t>
      </w:r>
    </w:p>
    <w:p>
      <w:pPr>
        <w:spacing w:after="0" w:line="2"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1"/>
          <w:szCs w:val="21"/>
          <w:color w:val="auto"/>
        </w:rPr>
        <w:t>statement not materially misleading, in connection with the request for indemnification, or (ii) a final judicial determination that any or all such indemnification is expressly prohibited under applicable law; provided, however, that such thirty (30) calendar day period may be extended for a reasonable time, not to exceed an additional fifteen (15) calendar days, if the Person or Persons making such</w:t>
      </w:r>
    </w:p>
    <w:p>
      <w:pPr>
        <w:jc w:val="both"/>
        <w:spacing w:after="0" w:line="215" w:lineRule="auto"/>
        <w:rPr>
          <w:sz w:val="20"/>
          <w:szCs w:val="20"/>
          <w:color w:val="auto"/>
        </w:rPr>
      </w:pPr>
      <w:r>
        <w:rPr>
          <w:rFonts w:ascii="Times New Roman" w:cs="Times New Roman" w:eastAsia="Times New Roman" w:hAnsi="Times New Roman"/>
          <w:sz w:val="21"/>
          <w:szCs w:val="21"/>
          <w:color w:val="auto"/>
        </w:rPr>
        <w:t>determination in good faith requires such additional time to obtain or evaluate information relating thereto and provided, further, that the foregoing provisions of this Section 10(c) shall not apply (i) if the determination of entitlement to indemnification is to be made by the stockholders pursuant to Section 10(b)(i) of this Agreement and if (i) within fifteen (15) days after receipt by the Company of the request for such determination the Board has resolved to submit such determination to the stockholders for their consideration at an annual meeting thereof to be held within seventy-five (75) days after such receipt and such determination is made thereat, or (ii) a special meeting of stockholders is called within fifteen (15) days after such receipt for the purpose of making such determination, such meeting is held for such purpose within sixty (60) days after having been so called and such determination is made thereat</w:t>
      </w:r>
      <w:r>
        <w:rPr>
          <w:rFonts w:ascii="Times New Roman" w:cs="Times New Roman" w:eastAsia="Times New Roman" w:hAnsi="Times New Roman"/>
          <w:sz w:val="20"/>
          <w:szCs w:val="20"/>
          <w:color w:val="auto"/>
        </w:rPr>
        <w:t>. Notwithstanding anything in this Agreement to the contrary, no determination as to entitlement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Indemnitee to indemnification under this Agreement shall be required to be made prior to the final disposition of any Claim.</w:t>
      </w:r>
    </w:p>
    <w:p>
      <w:pPr>
        <w:spacing w:after="0" w:line="153" w:lineRule="exact"/>
        <w:rPr>
          <w:sz w:val="20"/>
          <w:szCs w:val="20"/>
          <w:color w:val="auto"/>
        </w:rPr>
      </w:pPr>
    </w:p>
    <w:p>
      <w:pPr>
        <w:ind w:left="1900" w:hanging="596"/>
        <w:spacing w:after="0"/>
        <w:tabs>
          <w:tab w:leader="none" w:pos="19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Payment of Indemnification</w:t>
      </w:r>
      <w:r>
        <w:rPr>
          <w:rFonts w:ascii="Times New Roman" w:cs="Times New Roman" w:eastAsia="Times New Roman" w:hAnsi="Times New Roman"/>
          <w:sz w:val="21"/>
          <w:szCs w:val="21"/>
          <w:color w:val="auto"/>
        </w:rPr>
        <w:t>. If, in regard to any Losses:</w:t>
      </w:r>
    </w:p>
    <w:p>
      <w:pPr>
        <w:spacing w:after="0" w:line="179"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Indemnitee shall be entitled to indemnification pursuant to Section 10(a);</w:t>
      </w:r>
    </w:p>
    <w:p>
      <w:pPr>
        <w:spacing w:after="0" w:line="16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 Standard of Conduct Determination is legally required as a condition to indemnification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Indemnitee hereunder; or</w:t>
      </w:r>
    </w:p>
    <w:p>
      <w:pPr>
        <w:spacing w:after="0" w:line="153" w:lineRule="exact"/>
        <w:rPr>
          <w:rFonts w:ascii="Times New Roman" w:cs="Times New Roman" w:eastAsia="Times New Roman" w:hAnsi="Times New Roman"/>
          <w:sz w:val="22"/>
          <w:szCs w:val="22"/>
          <w:color w:val="auto"/>
        </w:rPr>
      </w:pPr>
    </w:p>
    <w:p>
      <w:pPr>
        <w:ind w:right="20" w:firstLine="1952"/>
        <w:spacing w:after="0" w:line="236" w:lineRule="auto"/>
        <w:tabs>
          <w:tab w:leader="none" w:pos="253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Indemnitee has been determined or deemed pursuant to Section 10(b) or Section 10(c) to have satisfied the Standard of Conduct Determination,</w:t>
      </w:r>
    </w:p>
    <w:p>
      <w:pPr>
        <w:spacing w:after="0" w:line="162" w:lineRule="exact"/>
        <w:rPr>
          <w:sz w:val="20"/>
          <w:szCs w:val="20"/>
          <w:color w:val="auto"/>
        </w:rPr>
      </w:pPr>
    </w:p>
    <w:p>
      <w:pPr>
        <w:jc w:val="both"/>
        <w:ind w:firstLine="1944"/>
        <w:spacing w:after="0" w:line="223" w:lineRule="auto"/>
        <w:rPr>
          <w:sz w:val="20"/>
          <w:szCs w:val="20"/>
          <w:color w:val="auto"/>
        </w:rPr>
      </w:pPr>
      <w:r>
        <w:rPr>
          <w:rFonts w:ascii="Times New Roman" w:cs="Times New Roman" w:eastAsia="Times New Roman" w:hAnsi="Times New Roman"/>
          <w:sz w:val="21"/>
          <w:szCs w:val="21"/>
          <w:color w:val="auto"/>
        </w:rPr>
        <w:t>then the Company shall pay to Indemnitee, within twenty (20) calendar days after the later of (A) the Notification Date or (B) the earliest date on which the applicable criterion specified in clause (i), (ii) or (iii) is satisfied, an amount equal to the Losses to which such Indemnitee is entitled.</w:t>
      </w:r>
    </w:p>
    <w:p>
      <w:pPr>
        <w:spacing w:after="0" w:line="56" w:lineRule="exact"/>
        <w:rPr>
          <w:sz w:val="20"/>
          <w:szCs w:val="20"/>
          <w:color w:val="auto"/>
        </w:rPr>
      </w:pPr>
    </w:p>
    <w:p>
      <w:pPr>
        <w:jc w:val="both"/>
        <w:ind w:firstLine="1304"/>
        <w:spacing w:after="0" w:line="209" w:lineRule="auto"/>
        <w:tabs>
          <w:tab w:leader="none" w:pos="195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Selection of Independent Counsel for Standard of Conduct Determination</w:t>
      </w:r>
      <w:r>
        <w:rPr>
          <w:rFonts w:ascii="Times New Roman" w:cs="Times New Roman" w:eastAsia="Times New Roman" w:hAnsi="Times New Roman"/>
          <w:sz w:val="21"/>
          <w:szCs w:val="21"/>
          <w:color w:val="auto"/>
        </w:rPr>
        <w:t>. If a Standard of Conduct Determination is to be made by Independent Counsel pursuant to Section 10(b)(i), the Independent Counsel shall be selected by the Board of Directors, and the Company shall give written notice to Indemnitee advising Indemnitee of the identity of the Independent Counsel so selected. If a Standard of Conduct Determination is to be made by the Independent Counsel pursuant to Section 10(b)(ii), the Independent Counsel shall be selected by Indemnitee, and Indemnitee shall give written notice to the Company advising it of the identity of the Independent Counsel so selected. In either case, Indemnitee or the Company, as applicable, may, within ten (10) calendar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2, and the objection shall set forth with particularity the factual basis of such assertion. Absent a proper and timely objection, the individual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03" w:right="339" w:bottom="1440" w:gutter="0" w:footer="0" w:header="0"/>
        </w:sectPr>
      </w:pPr>
    </w:p>
    <w:bookmarkStart w:id="75" w:name="page76"/>
    <w:bookmarkEnd w:id="75"/>
    <w:p>
      <w:pPr>
        <w:jc w:val="both"/>
        <w:spacing w:after="0" w:line="219" w:lineRule="auto"/>
        <w:rPr>
          <w:sz w:val="20"/>
          <w:szCs w:val="20"/>
          <w:color w:val="auto"/>
        </w:rPr>
      </w:pPr>
      <w:r>
        <w:rPr>
          <w:rFonts w:ascii="Times New Roman" w:cs="Times New Roman" w:eastAsia="Times New Roman" w:hAnsi="Times New Roman"/>
          <w:sz w:val="21"/>
          <w:szCs w:val="21"/>
          <w:color w:val="auto"/>
        </w:rPr>
        <w:t>introductory clause of this sentence and numbered clause (i) of this sentence shall apply to such subsequent selection and notice. If applicable, the provisions of clause (ii) of the immediately preceding sentence shall apply to successive alternative selections. If no</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0"/>
          <w:szCs w:val="20"/>
          <w:color w:val="auto"/>
        </w:rPr>
        <w:t>Independent Counsel that is permitted under the foregoing provisions of this Section 10(e) to make the Standard of Conduct Determination shall have been selected within twenty (20) calendar days after the Company gives its initial notice pursuant to the first sentence of this Section 10(e) or Indemnitee gives its initial notice pursuant to the second sentence of this Section 10(e), as the case</w:t>
      </w:r>
    </w:p>
    <w:p>
      <w:pPr>
        <w:jc w:val="both"/>
        <w:spacing w:after="0" w:line="216" w:lineRule="auto"/>
        <w:rPr>
          <w:sz w:val="20"/>
          <w:szCs w:val="20"/>
          <w:color w:val="auto"/>
        </w:rPr>
      </w:pPr>
      <w:r>
        <w:rPr>
          <w:rFonts w:ascii="Times New Roman" w:cs="Times New Roman" w:eastAsia="Times New Roman" w:hAnsi="Times New Roman"/>
          <w:sz w:val="20"/>
          <w:szCs w:val="20"/>
          <w:color w:val="auto"/>
        </w:rPr>
        <w:t>may be, either the Company or Indemnitee may petition the Delaware Court to resolve any objection which shall have been made by the Company or Indemnitee to the other’s selection of Independent Counsel and/or to appoint as Independent Counsel an individual or firm to be selected by the Court or such other person as the Court shall designate, and the individual or firm with respect to whom all</w:t>
      </w:r>
    </w:p>
    <w:p>
      <w:pPr>
        <w:jc w:val="both"/>
        <w:spacing w:after="0" w:line="205" w:lineRule="auto"/>
        <w:rPr>
          <w:sz w:val="20"/>
          <w:szCs w:val="20"/>
          <w:color w:val="auto"/>
        </w:rPr>
      </w:pPr>
      <w:r>
        <w:rPr>
          <w:rFonts w:ascii="Times New Roman" w:cs="Times New Roman" w:eastAsia="Times New Roman" w:hAnsi="Times New Roman"/>
          <w:sz w:val="21"/>
          <w:szCs w:val="21"/>
          <w:color w:val="auto"/>
        </w:rPr>
        <w:t>objections are so resolved or the individual or firm so appointed will act as Independent Counsel. In all events, the Company shall pay all of the reasonable fees and expenses of the Independent Counsel incurred in connection with the Independent Counsel’s determination pursuant to Section 10(b) and shall fully indemnify and hold harmless such Independent Counsel against any and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expenses, claims, liabilities and damages arising out of or relating to this Agreement or its engagement pursuant hereto.</w:t>
      </w:r>
    </w:p>
    <w:p>
      <w:pPr>
        <w:spacing w:after="0" w:line="153" w:lineRule="exact"/>
        <w:rPr>
          <w:sz w:val="20"/>
          <w:szCs w:val="20"/>
          <w:color w:val="auto"/>
        </w:rPr>
      </w:pPr>
    </w:p>
    <w:p>
      <w:pPr>
        <w:ind w:left="1900" w:hanging="596"/>
        <w:spacing w:after="0"/>
        <w:tabs>
          <w:tab w:leader="none" w:pos="19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Presumptions and Defenses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5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Indemnitee’s Entitlement to Indemnification</w:t>
      </w:r>
      <w:r>
        <w:rPr>
          <w:rFonts w:ascii="Times New Roman" w:cs="Times New Roman" w:eastAsia="Times New Roman" w:hAnsi="Times New Roman"/>
          <w:sz w:val="21"/>
          <w:szCs w:val="21"/>
          <w:color w:val="auto"/>
        </w:rPr>
        <w:t>. In making any Standard of Conduct Determination, the Person or Persons making such determination shall presume, to the fullest extent permitted by law, that Indemnitee has satisfied the applicable standard of conduct and is entitled to indemnification under this Agreement if Indemnitee has submitted a request for indemnification in accordance with Section 9 of this Agreement, and the Company shall, to the fullest extent permitted by law, have the burden of proof to overcome that presumption and establish that Indemnitee is not so entitled. Any Standard of Conduct Determination that is adverse to Indemnitee may be challenged by the Indemnitee in the Delaware Court. No determination by the Company (including by its directors or any Independent Counsel) that Indemnitee has not satisfied any applicable standard of conduct or failure by the Company to reach such a determination may be used as a defense to any legal proceedings brought by Indemnitee to secure indemnification or reimbursement or advance payment of Expenses by the Company hereunder or create a presumption that Indemnitee has not met any applicable standard of conduct.</w:t>
      </w:r>
    </w:p>
    <w:p>
      <w:pPr>
        <w:spacing w:after="0" w:line="151"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3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Reliance as a Safe Harbor</w:t>
      </w:r>
      <w:r>
        <w:rPr>
          <w:rFonts w:ascii="Times New Roman" w:cs="Times New Roman" w:eastAsia="Times New Roman" w:hAnsi="Times New Roman"/>
          <w:sz w:val="21"/>
          <w:szCs w:val="21"/>
          <w:color w:val="auto"/>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 The provisions of this Section 10(f)(ii) shall not be deemed to be exclusive or to limit in any way the other circumstances in which the Indemnitee may be deemed to have met the applicable standard of conduct set forth in this Agreement.</w:t>
      </w:r>
    </w:p>
    <w:p>
      <w:pPr>
        <w:spacing w:after="0" w:line="158" w:lineRule="exact"/>
        <w:rPr>
          <w:rFonts w:ascii="Times New Roman" w:cs="Times New Roman" w:eastAsia="Times New Roman" w:hAnsi="Times New Roman"/>
          <w:sz w:val="22"/>
          <w:szCs w:val="22"/>
          <w:color w:val="auto"/>
        </w:rPr>
      </w:pPr>
    </w:p>
    <w:p>
      <w:pPr>
        <w:jc w:val="both"/>
        <w:ind w:firstLine="1952"/>
        <w:spacing w:after="0" w:line="218" w:lineRule="auto"/>
        <w:tabs>
          <w:tab w:leader="none" w:pos="255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No Other Presumptions</w:t>
      </w:r>
      <w:r>
        <w:rPr>
          <w:rFonts w:ascii="Times New Roman" w:cs="Times New Roman" w:eastAsia="Times New Roman" w:hAnsi="Times New Roman"/>
          <w:sz w:val="21"/>
          <w:szCs w:val="21"/>
          <w:color w:val="auto"/>
        </w:rPr>
        <w:t>. For purposes of this Agreement, the termination of any Claim by judgment, order, settlement (whether with or without court approval) or conviction, or upon a plea of nolo contendere or its equivalent, will not (except as otherwise provided in this Agreement) of itself create a presumption that Indemnitee did not meet any applicable standard of conduct, or that indemnification hereunder is otherwise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3" w:right="339" w:bottom="1440" w:gutter="0" w:footer="0" w:header="0"/>
        </w:sectPr>
      </w:pPr>
    </w:p>
    <w:bookmarkStart w:id="76" w:name="page77"/>
    <w:bookmarkEnd w:id="76"/>
    <w:p>
      <w:pPr>
        <w:jc w:val="both"/>
        <w:ind w:firstLine="1952"/>
        <w:spacing w:after="0" w:line="215" w:lineRule="auto"/>
        <w:tabs>
          <w:tab w:leader="none" w:pos="2566"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u w:val="single" w:color="auto"/>
          <w:color w:val="auto"/>
        </w:rPr>
        <w:t>Defense to Indemnification and Burden of Proof</w:t>
      </w:r>
      <w:r>
        <w:rPr>
          <w:rFonts w:ascii="Times New Roman" w:cs="Times New Roman" w:eastAsia="Times New Roman" w:hAnsi="Times New Roman"/>
          <w:sz w:val="21"/>
          <w:szCs w:val="21"/>
          <w:color w:val="auto"/>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spacing w:after="0" w:line="159"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Exclusions from Indemnification</w:t>
      </w:r>
      <w:r>
        <w:rPr>
          <w:rFonts w:ascii="Times New Roman" w:cs="Times New Roman" w:eastAsia="Times New Roman" w:hAnsi="Times New Roman"/>
          <w:sz w:val="20"/>
          <w:szCs w:val="20"/>
          <w:color w:val="auto"/>
        </w:rPr>
        <w:t>. Notwithstanding anything in this Agreement to the contrary, the Company shall not be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obligated to:</w:t>
      </w:r>
    </w:p>
    <w:p>
      <w:pPr>
        <w:spacing w:after="0" w:line="153" w:lineRule="exact"/>
        <w:rPr>
          <w:rFonts w:ascii="Times New Roman" w:cs="Times New Roman" w:eastAsia="Times New Roman" w:hAnsi="Times New Roman"/>
          <w:sz w:val="20"/>
          <w:szCs w:val="20"/>
          <w:color w:val="auto"/>
        </w:rPr>
      </w:pPr>
    </w:p>
    <w:p>
      <w:pPr>
        <w:ind w:firstLine="1304"/>
        <w:spacing w:after="0" w:line="236" w:lineRule="auto"/>
        <w:tabs>
          <w:tab w:leader="none" w:pos="194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indemnify or advance funds to Indemnitee for Expenses or Losses with respect to Claims initiated by Indemnitee, including any Claims against the Company or its directors, officers, employees or other indemnitees, except:</w:t>
      </w:r>
    </w:p>
    <w:p>
      <w:pPr>
        <w:spacing w:after="0" w:line="161"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proceedings referenced in Section 5 above;</w:t>
      </w:r>
    </w:p>
    <w:p>
      <w:pPr>
        <w:spacing w:after="0" w:line="179"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the Board has authorized the Claim prior to its initiation;</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38"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the Company provides the indemnification, in its sole discretion, pursuant to the powers vested in the Company under applicable law; or</w:t>
      </w:r>
    </w:p>
    <w:p>
      <w:pPr>
        <w:spacing w:after="0" w:line="135"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such payment arises in connection with any mandatory counterclaim or cross claim brought or raised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by Indemnitee in any Claim.</w:t>
      </w:r>
    </w:p>
    <w:p>
      <w:pPr>
        <w:spacing w:after="0" w:line="153" w:lineRule="exact"/>
        <w:rPr>
          <w:rFonts w:ascii="Times New Roman" w:cs="Times New Roman" w:eastAsia="Times New Roman" w:hAnsi="Times New Roman"/>
          <w:sz w:val="22"/>
          <w:szCs w:val="22"/>
          <w:color w:val="auto"/>
        </w:rPr>
      </w:pPr>
    </w:p>
    <w:p>
      <w:pPr>
        <w:ind w:firstLine="1304"/>
        <w:spacing w:after="0" w:line="236" w:lineRule="auto"/>
        <w:tabs>
          <w:tab w:leader="none" w:pos="188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Indemnify and advance funds Indemnitee if a final decision by a court of competent jurisdiction determines that such indemnification is prohibited by applicable law.</w:t>
      </w:r>
    </w:p>
    <w:p>
      <w:pPr>
        <w:spacing w:after="0" w:line="161" w:lineRule="exact"/>
        <w:rPr>
          <w:rFonts w:ascii="Times New Roman" w:cs="Times New Roman" w:eastAsia="Times New Roman" w:hAnsi="Times New Roman"/>
          <w:sz w:val="22"/>
          <w:szCs w:val="22"/>
          <w:color w:val="auto"/>
        </w:rPr>
      </w:pPr>
    </w:p>
    <w:p>
      <w:pPr>
        <w:jc w:val="both"/>
        <w:ind w:firstLine="1304"/>
        <w:spacing w:after="0" w:line="224" w:lineRule="auto"/>
        <w:tabs>
          <w:tab w:leader="none" w:pos="192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Indemnify or advance funds Indemnitee for an accounting of profits arising from the purchase or sale by Indemnitee of securities of the Company in violation of Section 16(b) of the Exchange Act, or any similar successor statute, state law or other law.</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89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(the “Sarbanes-Oxley Act”) in connection with an accounting restatement of the Company or the payment to the Company of profits arising from the purchase or sale by Indemnitee of securities in violation of Section 306 of the Sarbanes-Oxley Act).</w:t>
      </w:r>
    </w:p>
    <w:p>
      <w:pPr>
        <w:spacing w:after="0" w:line="143" w:lineRule="exact"/>
        <w:rPr>
          <w:rFonts w:ascii="Times New Roman" w:cs="Times New Roman" w:eastAsia="Times New Roman" w:hAnsi="Times New Roman"/>
          <w:sz w:val="22"/>
          <w:szCs w:val="22"/>
          <w:color w:val="auto"/>
        </w:rPr>
      </w:pPr>
    </w:p>
    <w:p>
      <w:pPr>
        <w:ind w:right="40" w:firstLine="1304"/>
        <w:spacing w:after="0" w:line="220" w:lineRule="auto"/>
        <w:tabs>
          <w:tab w:leader="none" w:pos="175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indemnify or advance funds to Indemnitee for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spacing w:after="0" w:line="44"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66"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indemnify or advance funds for which payment has actually been made to or on behalf of Indemnitee under any insurance policy or other indemnity provision, except with respect to any excess beyond the amount paid under any insurance policy or other indemnity provision.</w:t>
      </w:r>
    </w:p>
    <w:p>
      <w:pPr>
        <w:spacing w:after="0" w:line="52" w:lineRule="exact"/>
        <w:rPr>
          <w:rFonts w:ascii="Times New Roman" w:cs="Times New Roman" w:eastAsia="Times New Roman" w:hAnsi="Times New Roman"/>
          <w:sz w:val="22"/>
          <w:szCs w:val="22"/>
          <w:color w:val="auto"/>
        </w:rPr>
      </w:pPr>
    </w:p>
    <w:p>
      <w:pPr>
        <w:jc w:val="both"/>
        <w:ind w:firstLine="656"/>
        <w:spacing w:after="0" w:line="228" w:lineRule="auto"/>
        <w:tabs>
          <w:tab w:leader="none" w:pos="125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Claims</w:t>
      </w:r>
      <w:r>
        <w:rPr>
          <w:rFonts w:ascii="Times New Roman" w:cs="Times New Roman" w:eastAsia="Times New Roman" w:hAnsi="Times New Roman"/>
          <w:sz w:val="21"/>
          <w:szCs w:val="21"/>
          <w:color w:val="auto"/>
        </w:rPr>
        <w:t>. The Company shall not be liable to Indemnitee under this Agreement for any amounts paid in settlement of any threatened or pending Claim related to an Indemnifiable Event effected without the Company’s prior written consent, which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03" w:right="339" w:bottom="1440" w:gutter="0" w:footer="0" w:header="0"/>
        </w:sectPr>
      </w:pPr>
    </w:p>
    <w:bookmarkStart w:id="77" w:name="page78"/>
    <w:bookmarkEnd w:id="77"/>
    <w:p>
      <w:pPr>
        <w:jc w:val="both"/>
        <w:spacing w:after="0" w:line="230" w:lineRule="auto"/>
        <w:rPr>
          <w:sz w:val="20"/>
          <w:szCs w:val="20"/>
          <w:color w:val="auto"/>
        </w:rPr>
      </w:pPr>
      <w:r>
        <w:rPr>
          <w:rFonts w:ascii="Times New Roman" w:cs="Times New Roman" w:eastAsia="Times New Roman" w:hAnsi="Times New Roman"/>
          <w:sz w:val="20"/>
          <w:szCs w:val="20"/>
          <w:color w:val="auto"/>
        </w:rPr>
        <w:t>unreasonably withheld. The Company shall not settle any Claim related to an Indemnifiable Event in any manner that would impose any Losses on the Indemnitee without the Indemnitee’s prior written consent. The Company shall not, without the prior written consent</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of Indemnitee, effect any settlement of any Claim relating to an Indemnifiable Event which the Indemnitee is or could have been a party unless such settlement solely involves the payment of money and includes a complete and unconditional release of the Indemnitee from all liability on all claims that are the subject matter of such Claim.</w:t>
      </w:r>
    </w:p>
    <w:p>
      <w:pPr>
        <w:spacing w:after="0" w:line="164" w:lineRule="exact"/>
        <w:rPr>
          <w:sz w:val="20"/>
          <w:szCs w:val="20"/>
          <w:color w:val="auto"/>
        </w:rPr>
      </w:pPr>
    </w:p>
    <w:p>
      <w:pPr>
        <w:jc w:val="both"/>
        <w:ind w:firstLine="656"/>
        <w:spacing w:after="0" w:line="214" w:lineRule="auto"/>
        <w:tabs>
          <w:tab w:leader="none" w:pos="128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Duration</w:t>
      </w:r>
      <w:r>
        <w:rPr>
          <w:rFonts w:ascii="Times New Roman" w:cs="Times New Roman" w:eastAsia="Times New Roman" w:hAnsi="Times New Roman"/>
          <w:sz w:val="21"/>
          <w:szCs w:val="21"/>
          <w:color w:val="auto"/>
        </w:rPr>
        <w:t>. All agreements and obligations of the Company contained herein shall continue during the period that Indemnitee is a director, officer, employee or agent of the Company or any subsidiary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spacing w:after="0" w:line="145" w:lineRule="exact"/>
        <w:rPr>
          <w:rFonts w:ascii="Times New Roman" w:cs="Times New Roman" w:eastAsia="Times New Roman" w:hAnsi="Times New Roman"/>
          <w:sz w:val="21"/>
          <w:szCs w:val="21"/>
          <w:color w:val="auto"/>
        </w:rPr>
      </w:pPr>
    </w:p>
    <w:p>
      <w:pPr>
        <w:jc w:val="both"/>
        <w:ind w:firstLine="656"/>
        <w:spacing w:after="0" w:line="220" w:lineRule="auto"/>
        <w:tabs>
          <w:tab w:leader="none" w:pos="124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Non-Exclusivity</w:t>
      </w:r>
      <w:r>
        <w:rPr>
          <w:rFonts w:ascii="Times New Roman" w:cs="Times New Roman" w:eastAsia="Times New Roman" w:hAnsi="Times New Roman"/>
          <w:sz w:val="21"/>
          <w:szCs w:val="21"/>
          <w:color w:val="auto"/>
        </w:rPr>
        <w:t>. The rights of Indemnitee hereunder (i) shall not be deemed exclusive of any other rights to which Indemnitee may at any time be entitled under applicable law, the Constituent Documents, any agreement, a vote of stockholders or a resolution of directors, or otherwise and (ii) shall be interpreted independently of, and without reference to, any other such rights to which Indemnitee may at any time be entitled. No amendment, alteration or repeal of this Agreement or of any provision hereof shall limit or restrict any right of Indemnitee under this Agreement in respect of any action taken or omitted by Indemnitee that is an Indemnifiable Event prior to such amendment, alteration or repeal. To the extent that a change in Delaware law, whether by statute or judicial decision, permits greater indemnification or advancement of Expenses than would be afforded currently under the Constituent Documents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1"/>
          <w:szCs w:val="21"/>
          <w:color w:val="auto"/>
        </w:rPr>
      </w:pPr>
    </w:p>
    <w:p>
      <w:pPr>
        <w:jc w:val="both"/>
        <w:ind w:firstLine="656"/>
        <w:spacing w:after="0" w:line="221" w:lineRule="auto"/>
        <w:tabs>
          <w:tab w:leader="none" w:pos="124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Liability Insurance</w:t>
      </w:r>
      <w:r>
        <w:rPr>
          <w:rFonts w:ascii="Times New Roman" w:cs="Times New Roman" w:eastAsia="Times New Roman" w:hAnsi="Times New Roman"/>
          <w:sz w:val="20"/>
          <w:szCs w:val="20"/>
          <w:color w:val="auto"/>
        </w:rPr>
        <w:t>. For the duration of Indemnitee’s service as a director or officer 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policies of directors’ and officers’ liability insurance in effect on the date of this Agreement. The insurance provided pursuant to this Section 15 shall be primary insurance to the Indemnitee for any Indemnifiable Event and/or Expense to which such insurance applies.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or of the Company’s officers, if Indemnitee is an officer (and not a director) by such policy. Upon request, the Company will provide to Indemnitee copies of all directors’ and officers’ liability insurance applications, binders, policies, declarations, endorsements and other related materials.</w:t>
      </w:r>
    </w:p>
    <w:p>
      <w:pPr>
        <w:spacing w:after="0" w:line="168" w:lineRule="exact"/>
        <w:rPr>
          <w:rFonts w:ascii="Times New Roman" w:cs="Times New Roman" w:eastAsia="Times New Roman" w:hAnsi="Times New Roman"/>
          <w:sz w:val="20"/>
          <w:szCs w:val="20"/>
          <w:color w:val="auto"/>
        </w:rPr>
      </w:pPr>
    </w:p>
    <w:p>
      <w:pPr>
        <w:jc w:val="both"/>
        <w:ind w:firstLine="656"/>
        <w:spacing w:after="0" w:line="223" w:lineRule="auto"/>
        <w:tabs>
          <w:tab w:leader="none" w:pos="128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Duplication of Payments</w:t>
      </w:r>
      <w:r>
        <w:rPr>
          <w:rFonts w:ascii="Times New Roman" w:cs="Times New Roman" w:eastAsia="Times New Roman" w:hAnsi="Times New Roman"/>
          <w:sz w:val="21"/>
          <w:szCs w:val="21"/>
          <w:color w:val="auto"/>
        </w:rPr>
        <w:t>. The Company shall not be liable under this Agreement to make any payment to Indemnitee in respect of any Losses to the extent Indemnitee has otherwise received payment under any insurance policy, the Constituent Documents, Other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03" w:right="339" w:bottom="1440" w:gutter="0" w:footer="0" w:header="0"/>
        </w:sectPr>
      </w:pPr>
    </w:p>
    <w:bookmarkStart w:id="78" w:name="page79"/>
    <w:bookmarkEnd w:id="78"/>
    <w:p>
      <w:pPr>
        <w:spacing w:after="0" w:line="219" w:lineRule="auto"/>
        <w:rPr>
          <w:sz w:val="20"/>
          <w:szCs w:val="20"/>
          <w:color w:val="auto"/>
        </w:rPr>
      </w:pPr>
      <w:r>
        <w:rPr>
          <w:rFonts w:ascii="Times New Roman" w:cs="Times New Roman" w:eastAsia="Times New Roman" w:hAnsi="Times New Roman"/>
          <w:sz w:val="21"/>
          <w:szCs w:val="21"/>
          <w:color w:val="auto"/>
        </w:rPr>
        <w:t>Provisions or otherwise of the amounts otherwise (including from another Enterprise) indemnifiable by the Company hereunder; provided that the foregoing shall not affect the rights of Indemnitee or the Fund Indemnitors (as defined below) as set forth in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pacing w:after="0" w:line="153" w:lineRule="exact"/>
        <w:rPr>
          <w:sz w:val="20"/>
          <w:szCs w:val="20"/>
          <w:color w:val="auto"/>
        </w:rPr>
      </w:pPr>
    </w:p>
    <w:p>
      <w:pPr>
        <w:jc w:val="both"/>
        <w:ind w:firstLine="656"/>
        <w:spacing w:after="0" w:line="209" w:lineRule="auto"/>
        <w:tabs>
          <w:tab w:leader="none" w:pos="124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Primacy of Indemnification</w:t>
      </w:r>
      <w:r>
        <w:rPr>
          <w:rFonts w:ascii="Times New Roman" w:cs="Times New Roman" w:eastAsia="Times New Roman" w:hAnsi="Times New Roman"/>
          <w:sz w:val="21"/>
          <w:szCs w:val="21"/>
          <w:color w:val="auto"/>
        </w:rPr>
        <w:t>. The Company hereby acknowledges that Indemnitee has or may have in the future certain rights to indemnification, advancement of expenses and/or insurance provided by Investment Group of Santa Barbara and certain of its affiliates (collectively, the “</w:t>
      </w:r>
      <w:r>
        <w:rPr>
          <w:rFonts w:ascii="Times New Roman" w:cs="Times New Roman" w:eastAsia="Times New Roman" w:hAnsi="Times New Roman"/>
          <w:sz w:val="21"/>
          <w:szCs w:val="21"/>
          <w:b w:val="1"/>
          <w:bCs w:val="1"/>
          <w:color w:val="auto"/>
        </w:rPr>
        <w:t>Fund Indemnitors</w:t>
      </w:r>
      <w:r>
        <w:rPr>
          <w:rFonts w:ascii="Times New Roman" w:cs="Times New Roman" w:eastAsia="Times New Roman" w:hAnsi="Times New Roman"/>
          <w:sz w:val="21"/>
          <w:szCs w:val="21"/>
          <w:color w:val="auto"/>
        </w:rPr>
        <w:t>”).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(iii) that it shall be liable for the full amount of all Losses to the extent legally permitted and as required by the terms of this Agreement, the Constituent Documents and/or Other Indemnity Provisions, without regard to any rights Indemnitee may have against the Fund Indemnitors. The Company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17.</w:t>
      </w:r>
    </w:p>
    <w:p>
      <w:pPr>
        <w:spacing w:after="0" w:line="174" w:lineRule="exact"/>
        <w:rPr>
          <w:rFonts w:ascii="Times New Roman" w:cs="Times New Roman" w:eastAsia="Times New Roman" w:hAnsi="Times New Roman"/>
          <w:sz w:val="21"/>
          <w:szCs w:val="21"/>
          <w:color w:val="auto"/>
        </w:rPr>
      </w:pPr>
    </w:p>
    <w:p>
      <w:pPr>
        <w:jc w:val="both"/>
        <w:ind w:firstLine="656"/>
        <w:spacing w:after="0" w:line="221" w:lineRule="auto"/>
        <w:tabs>
          <w:tab w:leader="none" w:pos="126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Subrogation</w:t>
      </w:r>
      <w:r>
        <w:rPr>
          <w:rFonts w:ascii="Times New Roman" w:cs="Times New Roman" w:eastAsia="Times New Roman" w:hAnsi="Times New Roman"/>
          <w:sz w:val="21"/>
          <w:szCs w:val="21"/>
          <w:color w:val="auto"/>
        </w:rPr>
        <w:t>. In the event of payment to Indemnitee under this Agreement, the Company shall be subrogated to the extent of such payment to all of the rights of recovery of Indemnitee (other than against the Fund Indemnitors). Indemnitee shall execute all papers required and shall do everything that may be necessary to secure such rights, including the execution of such documents necessary to enable the Company effectively to bring suit to enforce such rights.</w:t>
      </w:r>
    </w:p>
    <w:p>
      <w:pPr>
        <w:spacing w:after="0" w:line="150" w:lineRule="exact"/>
        <w:rPr>
          <w:rFonts w:ascii="Times New Roman" w:cs="Times New Roman" w:eastAsia="Times New Roman" w:hAnsi="Times New Roman"/>
          <w:sz w:val="21"/>
          <w:szCs w:val="21"/>
          <w:color w:val="auto"/>
        </w:rPr>
      </w:pPr>
    </w:p>
    <w:p>
      <w:pPr>
        <w:jc w:val="both"/>
        <w:ind w:firstLine="656"/>
        <w:spacing w:after="0" w:line="217" w:lineRule="auto"/>
        <w:tabs>
          <w:tab w:leader="none" w:pos="1242"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Waivers</w:t>
      </w:r>
      <w:r>
        <w:rPr>
          <w:rFonts w:ascii="Times New Roman" w:cs="Times New Roman" w:eastAsia="Times New Roman" w:hAnsi="Times New Roman"/>
          <w:sz w:val="21"/>
          <w:szCs w:val="21"/>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63" w:lineRule="exact"/>
        <w:rPr>
          <w:rFonts w:ascii="Times New Roman" w:cs="Times New Roman" w:eastAsia="Times New Roman" w:hAnsi="Times New Roman"/>
          <w:sz w:val="21"/>
          <w:szCs w:val="21"/>
          <w:color w:val="auto"/>
        </w:rPr>
      </w:pPr>
    </w:p>
    <w:p>
      <w:pPr>
        <w:ind w:left="1240" w:hanging="584"/>
        <w:spacing w:after="0"/>
        <w:tabs>
          <w:tab w:leader="none" w:pos="124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Enforcement and Binding Effect</w:t>
      </w:r>
      <w:r>
        <w:rPr>
          <w:rFonts w:ascii="Times New Roman" w:cs="Times New Roman" w:eastAsia="Times New Roman" w:hAnsi="Times New Roman"/>
          <w:sz w:val="21"/>
          <w:szCs w:val="21"/>
          <w:color w:val="auto"/>
        </w:rPr>
        <w:t>.</w:t>
      </w:r>
    </w:p>
    <w:p>
      <w:pPr>
        <w:spacing w:after="0" w:line="177" w:lineRule="exact"/>
        <w:rPr>
          <w:rFonts w:ascii="Times New Roman" w:cs="Times New Roman" w:eastAsia="Times New Roman" w:hAnsi="Times New Roman"/>
          <w:sz w:val="21"/>
          <w:szCs w:val="21"/>
          <w:color w:val="auto"/>
        </w:rPr>
      </w:pPr>
    </w:p>
    <w:p>
      <w:pPr>
        <w:jc w:val="both"/>
        <w:ind w:firstLine="1304"/>
        <w:spacing w:after="0" w:line="222" w:lineRule="auto"/>
        <w:tabs>
          <w:tab w:leader="none" w:pos="188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Company expressly confirms and agrees that it has entered into this Agreement and assumed the obligations imposed on it hereby in order to induce Indemnitee to serve or continue to service as a director or officer of the Company, and the Company acknowledges that Indemnitee is relying upon this Agreement in serving or continuing to serve as a director or officer of the Company.</w:t>
      </w:r>
    </w:p>
    <w:p>
      <w:pPr>
        <w:spacing w:after="0" w:line="148"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85"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Without limiting any of the rights of Indemnitee under any Other Indemnity Provisions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Constituent Documents, any directors’ and officers’ insurance maintained by the Company and applicable law, and shall not be deemed a substitute therefor, nor to diminish or abrogate any rights of Indemnitee thereunder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03" w:right="339" w:bottom="1440" w:gutter="0" w:footer="0" w:header="0"/>
        </w:sectPr>
      </w:pPr>
    </w:p>
    <w:bookmarkStart w:id="79" w:name="page80"/>
    <w:bookmarkEnd w:id="79"/>
    <w:p>
      <w:pPr>
        <w:jc w:val="both"/>
        <w:ind w:firstLine="1304"/>
        <w:spacing w:after="0" w:line="215" w:lineRule="auto"/>
        <w:tabs>
          <w:tab w:leader="none" w:pos="190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substances satisfactory to Indemnitee, expressly to assume and agree to perform this Agreement in the same manner and to the same extent that the Company would be required to perform if no such succession had taken place.</w:t>
      </w:r>
    </w:p>
    <w:p>
      <w:pPr>
        <w:spacing w:after="0" w:line="149"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53" w:lineRule="exact"/>
        <w:rPr>
          <w:rFonts w:ascii="Times New Roman" w:cs="Times New Roman" w:eastAsia="Times New Roman" w:hAnsi="Times New Roman"/>
          <w:sz w:val="21"/>
          <w:szCs w:val="21"/>
          <w:color w:val="auto"/>
        </w:rPr>
      </w:pPr>
    </w:p>
    <w:p>
      <w:pPr>
        <w:ind w:right="20" w:firstLine="656"/>
        <w:spacing w:after="0" w:line="234" w:lineRule="auto"/>
        <w:tabs>
          <w:tab w:leader="none" w:pos="124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demands and other communications hereunder shall be in writing and shall be deemed to have been duly given if delivered by hand, against receipt, or mailed, by postage prepaid, certified or registered mail:</w:t>
      </w:r>
    </w:p>
    <w:p>
      <w:pPr>
        <w:spacing w:after="0" w:line="163" w:lineRule="exact"/>
        <w:rPr>
          <w:rFonts w:ascii="Times New Roman" w:cs="Times New Roman" w:eastAsia="Times New Roman" w:hAnsi="Times New Roman"/>
          <w:sz w:val="21"/>
          <w:szCs w:val="21"/>
          <w:color w:val="auto"/>
        </w:rPr>
      </w:pPr>
    </w:p>
    <w:p>
      <w:pPr>
        <w:ind w:left="1900" w:hanging="596"/>
        <w:spacing w:after="0"/>
        <w:tabs>
          <w:tab w:leader="none" w:pos="19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to Indemnitee, to the address set forth on the signature page hereto.</w:t>
      </w:r>
    </w:p>
    <w:p>
      <w:pPr>
        <w:spacing w:after="0" w:line="179"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if to the Company, to:</w:t>
      </w:r>
    </w:p>
    <w:p>
      <w:pPr>
        <w:spacing w:after="0" w:line="16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AppFolio, Inc.</w:t>
      </w:r>
    </w:p>
    <w:p>
      <w:pPr>
        <w:ind w:left="2600"/>
        <w:spacing w:after="0" w:line="201" w:lineRule="auto"/>
        <w:rPr>
          <w:sz w:val="20"/>
          <w:szCs w:val="20"/>
          <w:color w:val="auto"/>
        </w:rPr>
      </w:pPr>
      <w:r>
        <w:rPr>
          <w:rFonts w:ascii="Times New Roman" w:cs="Times New Roman" w:eastAsia="Times New Roman" w:hAnsi="Times New Roman"/>
          <w:sz w:val="21"/>
          <w:szCs w:val="21"/>
          <w:color w:val="auto"/>
        </w:rPr>
        <w:t>Attn: Chief Legal Officer</w:t>
      </w:r>
    </w:p>
    <w:p>
      <w:pPr>
        <w:ind w:left="2600"/>
        <w:spacing w:after="0" w:line="214" w:lineRule="auto"/>
        <w:rPr>
          <w:sz w:val="20"/>
          <w:szCs w:val="20"/>
          <w:color w:val="auto"/>
        </w:rPr>
      </w:pPr>
      <w:r>
        <w:rPr>
          <w:rFonts w:ascii="Times New Roman" w:cs="Times New Roman" w:eastAsia="Times New Roman" w:hAnsi="Times New Roman"/>
          <w:sz w:val="21"/>
          <w:szCs w:val="21"/>
          <w:color w:val="auto"/>
        </w:rPr>
        <w:t>70 Castilian Drive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Santa Barbara, California 93117</w:t>
      </w:r>
    </w:p>
    <w:p>
      <w:pPr>
        <w:spacing w:after="0" w:line="153" w:lineRule="exact"/>
        <w:rPr>
          <w:sz w:val="20"/>
          <w:szCs w:val="20"/>
          <w:color w:val="auto"/>
        </w:rPr>
      </w:pPr>
    </w:p>
    <w:p>
      <w:pPr>
        <w:ind w:firstLine="285"/>
        <w:spacing w:after="0" w:line="234" w:lineRule="auto"/>
        <w:rPr>
          <w:sz w:val="20"/>
          <w:szCs w:val="20"/>
          <w:color w:val="auto"/>
        </w:rPr>
      </w:pPr>
      <w:r>
        <w:rPr>
          <w:rFonts w:ascii="Times New Roman" w:cs="Times New Roman" w:eastAsia="Times New Roman" w:hAnsi="Times New Roman"/>
          <w:sz w:val="21"/>
          <w:szCs w:val="21"/>
          <w:color w:val="auto"/>
        </w:rPr>
        <w:t>Notice of change of address shall be effective only when given in accordance with this Section. All notices complying with this Section shall be deemed to have been received on the date of hand delivery or on the third business day after mailing.</w:t>
      </w:r>
    </w:p>
    <w:p>
      <w:pPr>
        <w:spacing w:after="0" w:line="164" w:lineRule="exact"/>
        <w:rPr>
          <w:sz w:val="20"/>
          <w:szCs w:val="20"/>
          <w:color w:val="auto"/>
        </w:rPr>
      </w:pPr>
    </w:p>
    <w:p>
      <w:pPr>
        <w:jc w:val="both"/>
        <w:ind w:firstLine="656"/>
        <w:spacing w:after="0" w:line="213" w:lineRule="auto"/>
        <w:tabs>
          <w:tab w:leader="none" w:pos="125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and Forum</w:t>
      </w:r>
      <w:r>
        <w:rPr>
          <w:rFonts w:ascii="Times New Roman" w:cs="Times New Roman" w:eastAsia="Times New Roman" w:hAnsi="Times New Roman"/>
          <w:sz w:val="21"/>
          <w:szCs w:val="21"/>
          <w:color w:val="auto"/>
        </w:rPr>
        <w:t>. This Agreement shall be governed by and construed and enforced in accordance with the laws of the State of Delaware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or any other country, (b) consent to submit to the exclusive jurisdiction of the Delaware Court for purposes of any action or proceeding arising out of or in connection with this Agreement and (c) waive, and agree not to plead or make, any claim that the Delaware Court lacks venue or that any such action or proceeding brought in the Delaware Court has been brought in an improper or inconvenient forum.</w:t>
      </w:r>
    </w:p>
    <w:p>
      <w:pPr>
        <w:spacing w:after="0" w:line="148" w:lineRule="exact"/>
        <w:rPr>
          <w:rFonts w:ascii="Times New Roman" w:cs="Times New Roman" w:eastAsia="Times New Roman" w:hAnsi="Times New Roman"/>
          <w:sz w:val="21"/>
          <w:szCs w:val="21"/>
          <w:color w:val="auto"/>
        </w:rPr>
      </w:pPr>
    </w:p>
    <w:p>
      <w:pPr>
        <w:ind w:firstLine="656"/>
        <w:spacing w:after="0" w:line="243" w:lineRule="auto"/>
        <w:tabs>
          <w:tab w:leader="none" w:pos="125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of the sections and paragraphs of this Agreement are inserted for convenience only and shall not be deemed to constitute part of this Agreement or to affect the construction or interpretation thereof.</w:t>
      </w:r>
    </w:p>
    <w:p>
      <w:pPr>
        <w:spacing w:after="0" w:line="145" w:lineRule="exact"/>
        <w:rPr>
          <w:rFonts w:ascii="Times New Roman" w:cs="Times New Roman" w:eastAsia="Times New Roman" w:hAnsi="Times New Roman"/>
          <w:sz w:val="21"/>
          <w:szCs w:val="21"/>
          <w:color w:val="auto"/>
        </w:rPr>
      </w:pPr>
    </w:p>
    <w:p>
      <w:pPr>
        <w:ind w:firstLine="656"/>
        <w:spacing w:after="0" w:line="234" w:lineRule="auto"/>
        <w:tabs>
          <w:tab w:leader="none" w:pos="125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each of which shall for all purposes be deemed to be an original, but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03" w:right="33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 Follows]</w:t>
      </w:r>
    </w:p>
    <w:p>
      <w:pPr>
        <w:sectPr>
          <w:pgSz w:w="11900" w:h="16838" w:orient="portrait"/>
          <w:cols w:equalWidth="0" w:num="1">
            <w:col w:w="9019"/>
          </w:cols>
          <w:pgMar w:left="1440" w:top="14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9019"/>
          </w:cols>
          <w:pgMar w:left="1440" w:top="1401" w:right="1440"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date first above written.</w:t>
      </w:r>
    </w:p>
    <w:p>
      <w:pPr>
        <w:sectPr>
          <w:pgSz w:w="11900" w:h="16838" w:orient="portrait"/>
          <w:cols w:equalWidth="0" w:num="1">
            <w:col w:w="9479"/>
          </w:cols>
          <w:pgMar w:left="980" w:top="140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19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APPFOLIO, INC.</w:t>
      </w:r>
    </w:p>
    <w:p>
      <w:pPr>
        <w:spacing w:after="0" w:line="39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-12065</wp:posOffset>
            </wp:positionV>
            <wp:extent cx="1314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15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-12065</wp:posOffset>
            </wp:positionV>
            <wp:extent cx="1314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1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-12065</wp:posOffset>
            </wp:positionV>
            <wp:extent cx="1314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131445" cy="8890"/>
                    </a:xfrm>
                    <a:prstGeom prst="rect">
                      <a:avLst/>
                    </a:prstGeom>
                    <a:noFill/>
                  </pic:spPr>
                </pic:pic>
              </a:graphicData>
            </a:graphic>
          </wp:anchor>
        </w:drawing>
      </w:r>
    </w:p>
    <w:p>
      <w:pPr>
        <w:spacing w:after="0" w:line="37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563245</wp:posOffset>
            </wp:positionV>
            <wp:extent cx="1314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-140335</wp:posOffset>
            </wp:positionV>
            <wp:extent cx="1314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153"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21"/>
          <w:szCs w:val="21"/>
          <w:b w:val="1"/>
          <w:bCs w:val="1"/>
          <w:i w:val="1"/>
          <w:iCs w:val="1"/>
          <w:color w:val="auto"/>
        </w:rPr>
        <w:t>Address:</w:t>
      </w:r>
      <w:r>
        <w:rPr>
          <w:sz w:val="20"/>
          <w:szCs w:val="20"/>
          <w:color w:val="auto"/>
        </w:rPr>
        <w:tab/>
      </w:r>
      <w:r>
        <w:rPr>
          <w:rFonts w:ascii="Times New Roman" w:cs="Times New Roman" w:eastAsia="Times New Roman" w:hAnsi="Times New Roman"/>
          <w:sz w:val="20"/>
          <w:szCs w:val="20"/>
          <w:b w:val="1"/>
          <w:bCs w:val="1"/>
          <w:i w:val="1"/>
          <w:iCs w:val="1"/>
          <w:color w:val="auto"/>
        </w:rPr>
        <w:t>70 Castilian Drive</w:t>
      </w:r>
    </w:p>
    <w:p>
      <w:pPr>
        <w:spacing w:after="0" w:line="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b w:val="1"/>
          <w:bCs w:val="1"/>
          <w:i w:val="1"/>
          <w:iCs w:val="1"/>
          <w:color w:val="auto"/>
        </w:rPr>
        <w:t>Santa Barbara, CA 93117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i w:val="1"/>
          <w:iCs w:val="1"/>
          <w:color w:val="auto"/>
        </w:rPr>
        <w:t>[Signature Page to Indemnification Agreement]</w:t>
      </w:r>
    </w:p>
    <w:p>
      <w:pPr>
        <w:sectPr>
          <w:pgSz w:w="11900" w:h="16838" w:orient="portrait"/>
          <w:cols w:equalWidth="0" w:num="1">
            <w:col w:w="9479"/>
          </w:cols>
          <w:pgMar w:left="980" w:top="1403" w:right="1440"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06" w:lineRule="exact"/>
        <w:rPr>
          <w:sz w:val="20"/>
          <w:szCs w:val="20"/>
          <w:color w:val="auto"/>
        </w:rPr>
      </w:pPr>
    </w:p>
    <w:p>
      <w:pPr>
        <w:ind w:firstLine="309"/>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as of February 8,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between AppFolio,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William Shane Trigg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p>
    <w:p>
      <w:pPr>
        <w:spacing w:after="0" w:line="20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employs the Executive as the President and General Manager, Real Estate of the Company; and</w:t>
      </w:r>
    </w:p>
    <w:p>
      <w:pPr>
        <w:spacing w:after="0" w:line="206" w:lineRule="exact"/>
        <w:rPr>
          <w:sz w:val="20"/>
          <w:szCs w:val="20"/>
          <w:color w:val="auto"/>
        </w:rPr>
      </w:pPr>
    </w:p>
    <w:p>
      <w:pPr>
        <w:ind w:firstLine="405"/>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desire to enter into this Agreement as to the terms of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w:t>
      </w:r>
    </w:p>
    <w:p>
      <w:pPr>
        <w:spacing w:after="0" w:line="1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parties to this Agreement agree as follows:</w:t>
      </w:r>
    </w:p>
    <w:p>
      <w:pPr>
        <w:spacing w:after="0" w:line="206" w:lineRule="exact"/>
        <w:rPr>
          <w:sz w:val="20"/>
          <w:szCs w:val="20"/>
          <w:color w:val="auto"/>
        </w:rPr>
      </w:pPr>
    </w:p>
    <w:p>
      <w:pPr>
        <w:jc w:val="both"/>
        <w:ind w:firstLine="656"/>
        <w:spacing w:after="0" w:line="221" w:lineRule="auto"/>
        <w:tabs>
          <w:tab w:leader="none" w:pos="1296"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Employment Term. </w:t>
      </w:r>
      <w:r>
        <w:rPr>
          <w:rFonts w:ascii="Times New Roman" w:cs="Times New Roman" w:eastAsia="Times New Roman" w:hAnsi="Times New Roman"/>
          <w:sz w:val="22"/>
          <w:szCs w:val="22"/>
          <w:color w:val="auto"/>
        </w:rPr>
        <w:t>The Company agrees to employ the Executive pursuant to the terms of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Executive agrees to be so employed, commencing as of the Effective Date. The Executive’s employment may be terminated in accordance with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of this Agreement. The period of time between the Effective Date and the termination of the Executive’s employment is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Duties.</w:t>
      </w:r>
    </w:p>
    <w:p>
      <w:pPr>
        <w:spacing w:after="0" w:line="183" w:lineRule="exact"/>
        <w:rPr>
          <w:sz w:val="20"/>
          <w:szCs w:val="20"/>
          <w:color w:val="auto"/>
        </w:rPr>
      </w:pPr>
    </w:p>
    <w:p>
      <w:pPr>
        <w:jc w:val="both"/>
        <w:ind w:firstLine="656"/>
        <w:spacing w:after="0" w:line="225" w:lineRule="auto"/>
        <w:tabs>
          <w:tab w:leader="none" w:pos="12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Term, the Executive will serve as the President and General Manager, Real Estate of the Company, reporting to the Company’s Chief Executive Officer. In this capacity, the Executive will have the duties, authorities and responsibilities as are consistent with the Executive’s position.</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Employment Term, the Executive shall devote all of the Executive’s business time, energy, business judgment, knowledge and skill and the Executive’s best efforts to the performance of the Executive’s duties with the Company. Notwithstanding the foregoing, the Executive may, subject to the Company’s policies, practices and procedures: (i) serve on the boards of directors of non-profit organizations and, in a manner consistent with the Company’s applicable policies and procedures and practices, other for-profit companies, (ii) participate in charitable, civic, educational, professional, community or industry affairs, and (iii) manage the Executive’s passive personal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of clauses (i)-(iii), so long as such activities in the aggregate do not interfere or conflict with the Executive’s duties under this Agreement or create a potential business or fiduciary conflict.</w:t>
      </w:r>
    </w:p>
    <w:p>
      <w:pPr>
        <w:spacing w:after="0" w:line="152" w:lineRule="exact"/>
        <w:rPr>
          <w:sz w:val="20"/>
          <w:szCs w:val="20"/>
          <w:color w:val="auto"/>
        </w:rPr>
      </w:pPr>
    </w:p>
    <w:p>
      <w:pPr>
        <w:jc w:val="both"/>
        <w:ind w:firstLine="656"/>
        <w:spacing w:after="0" w:line="227" w:lineRule="auto"/>
        <w:tabs>
          <w:tab w:leader="none" w:pos="129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During the Employment Term, the Company will pay the Executive a base salary (the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the Company’s regular payroll practices. The Base Salary is subject to annual review by the Company’s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8" w:lineRule="auto"/>
        <w:tabs>
          <w:tab w:leader="none" w:pos="1296"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Corporate Bonus Program. </w:t>
      </w:r>
      <w:r>
        <w:rPr>
          <w:rFonts w:ascii="Times New Roman" w:cs="Times New Roman" w:eastAsia="Times New Roman" w:hAnsi="Times New Roman"/>
          <w:sz w:val="22"/>
          <w:szCs w:val="22"/>
          <w:color w:val="auto"/>
        </w:rPr>
        <w:t>For each fiscal year of the Company completed during the Employment Term,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will be eligible to earn an annual bonus under the Company’s Corporate Bonus Program (each annual bonus, an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The Annual Bonus is subject to the Board’s approval and the Executive’s execution of any applicable participation agreement under the Corporate Bonus Program. In each case, the Annual Bonus will be subject to the terms and conditions of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the applicable plan documents.</w:t>
      </w:r>
    </w:p>
    <w:p>
      <w:pPr>
        <w:spacing w:after="0" w:line="14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Equity Awards. </w:t>
      </w:r>
      <w:r>
        <w:rPr>
          <w:rFonts w:ascii="Times New Roman" w:cs="Times New Roman" w:eastAsia="Times New Roman" w:hAnsi="Times New Roman"/>
          <w:sz w:val="22"/>
          <w:szCs w:val="22"/>
          <w:color w:val="auto"/>
        </w:rPr>
        <w:t>The Executive will be eligible to receive the following incentive equity awards:</w:t>
      </w:r>
    </w:p>
    <w:p>
      <w:pPr>
        <w:sectPr>
          <w:pgSz w:w="11900" w:h="16838" w:orient="portrait"/>
          <w:cols w:equalWidth="0" w:num="1">
            <w:col w:w="11240"/>
          </w:cols>
          <w:pgMar w:left="320" w:top="1391" w:right="339" w:bottom="1440" w:gutter="0" w:footer="0" w:header="0"/>
        </w:sectPr>
      </w:pPr>
    </w:p>
    <w:bookmarkStart w:id="83" w:name="page84"/>
    <w:bookmarkEnd w:id="83"/>
    <w:p>
      <w:pPr>
        <w:jc w:val="both"/>
        <w:ind w:firstLine="656"/>
        <w:spacing w:after="0" w:line="221" w:lineRule="auto"/>
        <w:tabs>
          <w:tab w:leader="none" w:pos="129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Performance-Based Award. </w:t>
      </w:r>
      <w:r>
        <w:rPr>
          <w:rFonts w:ascii="Times New Roman" w:cs="Times New Roman" w:eastAsia="Times New Roman" w:hAnsi="Times New Roman"/>
          <w:sz w:val="22"/>
          <w:szCs w:val="22"/>
          <w:color w:val="auto"/>
        </w:rPr>
        <w:t>The Executive will be granted an award of RSUs that is tied to certain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metrics over a performance period of up to three years (the “</w:t>
      </w:r>
      <w:r>
        <w:rPr>
          <w:rFonts w:ascii="Times New Roman" w:cs="Times New Roman" w:eastAsia="Times New Roman" w:hAnsi="Times New Roman"/>
          <w:sz w:val="22"/>
          <w:szCs w:val="22"/>
          <w:u w:val="single" w:color="auto"/>
          <w:color w:val="auto"/>
        </w:rPr>
        <w:t>Performance-Based LTI Award</w:t>
      </w:r>
      <w:r>
        <w:rPr>
          <w:rFonts w:ascii="Times New Roman" w:cs="Times New Roman" w:eastAsia="Times New Roman" w:hAnsi="Times New Roman"/>
          <w:sz w:val="22"/>
          <w:szCs w:val="22"/>
          <w:color w:val="auto"/>
        </w:rPr>
        <w:t>”). Such Performance-Based LTI Award is subject to the Board’s approval and the Executive’s acceptance of related equity award grant agreements with the Company containing standard terms and conditions; and</w:t>
      </w:r>
    </w:p>
    <w:p>
      <w:pPr>
        <w:spacing w:after="0" w:line="148"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Time-Based Award. </w:t>
      </w:r>
      <w:r>
        <w:rPr>
          <w:rFonts w:ascii="Times New Roman" w:cs="Times New Roman" w:eastAsia="Times New Roman" w:hAnsi="Times New Roman"/>
          <w:sz w:val="22"/>
          <w:szCs w:val="22"/>
          <w:color w:val="auto"/>
        </w:rPr>
        <w:t>The Executive will be granted an award of time-vesting RSUs (the “</w:t>
      </w:r>
      <w:r>
        <w:rPr>
          <w:rFonts w:ascii="Times New Roman" w:cs="Times New Roman" w:eastAsia="Times New Roman" w:hAnsi="Times New Roman"/>
          <w:sz w:val="22"/>
          <w:szCs w:val="22"/>
          <w:u w:val="single" w:color="auto"/>
          <w:color w:val="auto"/>
        </w:rPr>
        <w:t>Time-Based LTI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The Time-Based LTI Award will vest subject to a vesting schedule and the Executive’s continuous employment through the applicable vesting date. The Time-Based LTI Award is subject to the Board’s approval and the Executive’s acceptance of related equity award grant agreements with the Company containing standard terms and conditions.</w:t>
      </w:r>
    </w:p>
    <w:p>
      <w:pPr>
        <w:spacing w:after="0" w:line="148"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Benefits.</w:t>
      </w:r>
    </w:p>
    <w:p>
      <w:pPr>
        <w:spacing w:after="0" w:line="179" w:lineRule="exact"/>
        <w:rPr>
          <w:sz w:val="20"/>
          <w:szCs w:val="20"/>
          <w:color w:val="auto"/>
        </w:rPr>
      </w:pPr>
    </w:p>
    <w:p>
      <w:pPr>
        <w:jc w:val="both"/>
        <w:ind w:firstLine="656"/>
        <w:spacing w:after="0" w:line="228" w:lineRule="auto"/>
        <w:tabs>
          <w:tab w:leader="none" w:pos="129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Benefit Plans; Vacation. </w:t>
      </w:r>
      <w:r>
        <w:rPr>
          <w:rFonts w:ascii="Times New Roman" w:cs="Times New Roman" w:eastAsia="Times New Roman" w:hAnsi="Times New Roman"/>
          <w:sz w:val="21"/>
          <w:szCs w:val="21"/>
          <w:color w:val="auto"/>
        </w:rPr>
        <w:t>During the Employment Term, the Executive will be eligible to participate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benefit plan adopted by the Company for the benefit of its executive employees, subject to satisfying the applicable eligibility requirements, except to the extent such plans are duplicative of the benefits otherwise provided under this Agreement. The Executive shall be entitled to the same vacation policy for executive employees of the Company as in effect from time to time. Notwithstanding the foregoing, the Company may modify or terminate any employee benefit plan at any time.</w:t>
      </w:r>
    </w:p>
    <w:p>
      <w:pPr>
        <w:spacing w:after="0" w:line="148" w:lineRule="exact"/>
        <w:rPr>
          <w:rFonts w:ascii="Times New Roman" w:cs="Times New Roman" w:eastAsia="Times New Roman" w:hAnsi="Times New Roman"/>
          <w:sz w:val="21"/>
          <w:szCs w:val="21"/>
          <w:color w:val="auto"/>
        </w:rPr>
      </w:pPr>
    </w:p>
    <w:p>
      <w:pPr>
        <w:jc w:val="both"/>
        <w:ind w:firstLine="656"/>
        <w:spacing w:after="0" w:line="221"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Business Expenses. </w:t>
      </w:r>
      <w:r>
        <w:rPr>
          <w:rFonts w:ascii="Times New Roman" w:cs="Times New Roman" w:eastAsia="Times New Roman" w:hAnsi="Times New Roman"/>
          <w:sz w:val="22"/>
          <w:szCs w:val="22"/>
          <w:color w:val="auto"/>
        </w:rPr>
        <w:t>The Company will reimburse the Executive for all reasonable and necessary out-of-pocket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incurred by the Executive in connection with the performance of the Executive’s duties under this Agreement, including reasonable travel costs and expenses incurred in connection with the Executive’s commute to the Company’s headquarters, in accordance with the Company’s expense reimbursement policy.</w:t>
      </w:r>
    </w:p>
    <w:p>
      <w:pPr>
        <w:spacing w:after="0" w:line="148" w:lineRule="exact"/>
        <w:rPr>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w:t>
      </w:r>
      <w:r>
        <w:rPr>
          <w:rFonts w:ascii="Times New Roman" w:cs="Times New Roman" w:eastAsia="Times New Roman" w:hAnsi="Times New Roman"/>
          <w:sz w:val="21"/>
          <w:szCs w:val="21"/>
          <w:color w:val="auto"/>
        </w:rPr>
        <w:t>The Executive’s employment and the Employment Term shall terminate on the first of the following</w:t>
      </w:r>
    </w:p>
    <w:p>
      <w:pPr>
        <w:spacing w:after="0" w:line="2"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to occur:</w:t>
      </w:r>
    </w:p>
    <w:p>
      <w:pPr>
        <w:spacing w:after="0" w:line="151" w:lineRule="exact"/>
        <w:rPr>
          <w:sz w:val="20"/>
          <w:szCs w:val="20"/>
          <w:color w:val="auto"/>
        </w:rPr>
      </w:pPr>
    </w:p>
    <w:p>
      <w:pPr>
        <w:ind w:firstLine="656"/>
        <w:spacing w:after="0" w:line="238" w:lineRule="auto"/>
        <w:tabs>
          <w:tab w:leader="none" w:pos="12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Immediately upon written notice by the Company to the Executive of termination due to Disability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(capitalized terms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that have not been previously defined in this Agreement are defined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below).</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Death. </w:t>
      </w:r>
      <w:r>
        <w:rPr>
          <w:rFonts w:ascii="Times New Roman" w:cs="Times New Roman" w:eastAsia="Times New Roman" w:hAnsi="Times New Roman"/>
          <w:sz w:val="22"/>
          <w:szCs w:val="22"/>
          <w:color w:val="auto"/>
        </w:rPr>
        <w:t>Automatically upon the date of death of the Executive.</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Immediately upon written notice by the Company to the Executive of a termination for Cause.</w:t>
      </w:r>
    </w:p>
    <w:p>
      <w:pPr>
        <w:spacing w:after="0" w:line="179" w:lineRule="exact"/>
        <w:rPr>
          <w:rFonts w:ascii="Times New Roman" w:cs="Times New Roman" w:eastAsia="Times New Roman" w:hAnsi="Times New Roman"/>
          <w:sz w:val="22"/>
          <w:szCs w:val="22"/>
          <w:color w:val="auto"/>
        </w:rPr>
      </w:pPr>
    </w:p>
    <w:p>
      <w:pPr>
        <w:ind w:firstLine="656"/>
        <w:spacing w:after="0" w:line="238" w:lineRule="auto"/>
        <w:tabs>
          <w:tab w:leader="none" w:pos="129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Without Cause. </w:t>
      </w:r>
      <w:r>
        <w:rPr>
          <w:rFonts w:ascii="Times New Roman" w:cs="Times New Roman" w:eastAsia="Times New Roman" w:hAnsi="Times New Roman"/>
          <w:sz w:val="22"/>
          <w:szCs w:val="22"/>
          <w:color w:val="auto"/>
        </w:rPr>
        <w:t>Immediately upon written notice by the Company to the Executive of an involuntary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Cause (other than for death or Disability).</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Good Reason. </w:t>
      </w:r>
      <w:r>
        <w:rPr>
          <w:rFonts w:ascii="Times New Roman" w:cs="Times New Roman" w:eastAsia="Times New Roman" w:hAnsi="Times New Roman"/>
          <w:sz w:val="22"/>
          <w:szCs w:val="22"/>
          <w:color w:val="auto"/>
        </w:rPr>
        <w:t>Upon written notice by the Executive to the Company of a termination for Good Reason.</w:t>
      </w:r>
    </w:p>
    <w:p>
      <w:pPr>
        <w:spacing w:after="0" w:line="179"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Without Good Reason. </w:t>
      </w:r>
      <w:r>
        <w:rPr>
          <w:rFonts w:ascii="Times New Roman" w:cs="Times New Roman" w:eastAsia="Times New Roman" w:hAnsi="Times New Roman"/>
          <w:sz w:val="22"/>
          <w:szCs w:val="22"/>
          <w:color w:val="auto"/>
        </w:rPr>
        <w:t>Upon thirty (30) days’ prior written notice by the Executive to the Company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voluntary termination of employment without Good Reason (which the Company may, in its sole discretion, make effective earlier than any notice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84" w:name="page85"/>
    <w:bookmarkEnd w:id="84"/>
    <w:p>
      <w:pPr>
        <w:ind w:left="1300" w:hanging="644"/>
        <w:spacing w:after="0"/>
        <w:tabs>
          <w:tab w:leader="none" w:pos="130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Consequences Of Termination.</w:t>
      </w:r>
    </w:p>
    <w:p>
      <w:pPr>
        <w:spacing w:after="0" w:line="179" w:lineRule="exact"/>
        <w:rPr>
          <w:sz w:val="20"/>
          <w:szCs w:val="20"/>
          <w:color w:val="auto"/>
        </w:rPr>
      </w:pPr>
    </w:p>
    <w:p>
      <w:pPr>
        <w:jc w:val="both"/>
        <w:ind w:firstLine="656"/>
        <w:spacing w:after="0" w:line="216" w:lineRule="auto"/>
        <w:tabs>
          <w:tab w:leader="none" w:pos="1293"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Death; Disability. </w:t>
      </w:r>
      <w:r>
        <w:rPr>
          <w:rFonts w:ascii="Times New Roman" w:cs="Times New Roman" w:eastAsia="Times New Roman" w:hAnsi="Times New Roman"/>
          <w:sz w:val="22"/>
          <w:szCs w:val="22"/>
          <w:color w:val="auto"/>
        </w:rPr>
        <w:t>In the event that the Executive’s employment and/or the Employment Term ends on account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Executive’s death or Disability, the Company shall pay to the Executive or the Executive’s estate, as the case may be, the Accrued Benefits (as defined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below), and the Executive’s outstanding equity awards as of such termination date shall vest in accordance with the Equity Award Treatment (as defined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below). Notwithstanding the foregoing, all rights and obligations to the Accrued Benefits shall be subject to state and federal laws governing disabilities and leaves of absence as well as the Company’s applicable policies.</w:t>
      </w:r>
    </w:p>
    <w:p>
      <w:pPr>
        <w:spacing w:after="0" w:line="14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For Cause Or Voluntary Termination By Executive. </w:t>
      </w:r>
      <w:r>
        <w:rPr>
          <w:rFonts w:ascii="Times New Roman" w:cs="Times New Roman" w:eastAsia="Times New Roman" w:hAnsi="Times New Roman"/>
          <w:sz w:val="21"/>
          <w:szCs w:val="21"/>
          <w:color w:val="auto"/>
        </w:rPr>
        <w:t>If the Executive’s employment is terminated:</w:t>
      </w:r>
    </w:p>
    <w:p>
      <w:pPr>
        <w:spacing w:after="0" w:line="2" w:lineRule="exact"/>
        <w:rPr>
          <w:rFonts w:ascii="Times New Roman" w:cs="Times New Roman" w:eastAsia="Times New Roman" w:hAnsi="Times New Roman"/>
          <w:sz w:val="21"/>
          <w:szCs w:val="21"/>
          <w:color w:val="auto"/>
        </w:rPr>
      </w:pPr>
    </w:p>
    <w:p>
      <w:pPr>
        <w:ind w:firstLine="8"/>
        <w:spacing w:after="0" w:line="225" w:lineRule="auto"/>
        <w:tabs>
          <w:tab w:leader="none" w:pos="31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for Cause, or (y) by the Executive other than by reason of death, Disability or resignation for Good Reason, then the Company shall pay to the Executive the Accrued Benefits.</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Termination Without Cause or Resignation for Good Reason. </w:t>
      </w:r>
      <w:r>
        <w:rPr>
          <w:rFonts w:ascii="Times New Roman" w:cs="Times New Roman" w:eastAsia="Times New Roman" w:hAnsi="Times New Roman"/>
          <w:sz w:val="22"/>
          <w:szCs w:val="22"/>
          <w:color w:val="auto"/>
        </w:rPr>
        <w:t>If the Executive’s employment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terminated by the Company other than for Cause (excluding due to Executive’s death or Disability) or the Executive resigns for Good Reason, the Company shall pay or provide the Executive with the following:</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Benefits;</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8"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Executive’s continued compliance with </w:t>
      </w:r>
      <w:r>
        <w:rPr>
          <w:rFonts w:ascii="Times New Roman" w:cs="Times New Roman" w:eastAsia="Times New Roman" w:hAnsi="Times New Roman"/>
          <w:sz w:val="21"/>
          <w:szCs w:val="21"/>
          <w:u w:val="single" w:color="auto"/>
          <w:color w:val="auto"/>
        </w:rPr>
        <w:t>Sections 9 and 10</w:t>
      </w:r>
      <w:r>
        <w:rPr>
          <w:rFonts w:ascii="Times New Roman" w:cs="Times New Roman" w:eastAsia="Times New Roman" w:hAnsi="Times New Roman"/>
          <w:sz w:val="21"/>
          <w:szCs w:val="21"/>
          <w:color w:val="auto"/>
        </w:rPr>
        <w:t xml:space="preserve"> of this Agreement, (1) an amount equal to the Executive’s monthly Base Salary (but not as an employee), paid in accordance with the Company’s normal payroll practices for a period of twelve (12) months following such termination; (2) a prorated portion of the Annual Bonus for the fiscal year in which such termination occurs, with such prorated portion determined based on the number of days the Executive was employed by the Company during such year, and achievement of the applicable performance goals determined by the Board at the time of such termination based on forecasted results (but no greater than target-level performance), payable on the first regularly scheduled pay period following the sixtieth (60th) day following such termination; and (3) payment of COBRA premiums (through premium reimbursement or direct payment to the insurer) for twelve (12) months following termination. Notwithstanding the foregoing, any such payment scheduled to occur pursuant to this </w:t>
      </w:r>
      <w:r>
        <w:rPr>
          <w:rFonts w:ascii="Times New Roman" w:cs="Times New Roman" w:eastAsia="Times New Roman" w:hAnsi="Times New Roman"/>
          <w:sz w:val="21"/>
          <w:szCs w:val="21"/>
          <w:u w:val="single" w:color="auto"/>
          <w:color w:val="auto"/>
        </w:rPr>
        <w:t>Section 8(c)(ii)</w:t>
      </w:r>
      <w:r>
        <w:rPr>
          <w:rFonts w:ascii="Times New Roman" w:cs="Times New Roman" w:eastAsia="Times New Roman" w:hAnsi="Times New Roman"/>
          <w:sz w:val="21"/>
          <w:szCs w:val="21"/>
          <w:color w:val="auto"/>
        </w:rPr>
        <w:t xml:space="preserve"> during the first sixty (60) days following the termination will not be paid until the first regularly scheduled pay period following the sixtieth (60th) day following such termination and will include payment of any amount that was otherwise scheduled to be paid prior thereto.</w:t>
      </w:r>
    </w:p>
    <w:p>
      <w:pPr>
        <w:spacing w:after="0" w:line="153" w:lineRule="exact"/>
        <w:rPr>
          <w:rFonts w:ascii="Times New Roman" w:cs="Times New Roman" w:eastAsia="Times New Roman" w:hAnsi="Times New Roman"/>
          <w:sz w:val="21"/>
          <w:szCs w:val="21"/>
          <w:color w:val="auto"/>
        </w:rPr>
      </w:pPr>
    </w:p>
    <w:p>
      <w:pPr>
        <w:jc w:val="both"/>
        <w:ind w:firstLine="656"/>
        <w:spacing w:after="0" w:line="212" w:lineRule="auto"/>
        <w:tabs>
          <w:tab w:leader="none" w:pos="1291"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Corporate Transaction</w:t>
      </w:r>
      <w:r>
        <w:rPr>
          <w:rFonts w:ascii="Times New Roman" w:cs="Times New Roman" w:eastAsia="Times New Roman" w:hAnsi="Times New Roman"/>
          <w:sz w:val="22"/>
          <w:szCs w:val="22"/>
          <w:color w:val="auto"/>
        </w:rPr>
        <w:t>. In addition to the payments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8(c)(i)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and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Executive’s continued compliance with </w:t>
      </w:r>
      <w:r>
        <w:rPr>
          <w:rFonts w:ascii="Times New Roman" w:cs="Times New Roman" w:eastAsia="Times New Roman" w:hAnsi="Times New Roman"/>
          <w:sz w:val="22"/>
          <w:szCs w:val="22"/>
          <w:u w:val="single" w:color="auto"/>
          <w:color w:val="auto"/>
        </w:rPr>
        <w:t>Sections 9 and 10</w:t>
      </w:r>
      <w:r>
        <w:rPr>
          <w:rFonts w:ascii="Times New Roman" w:cs="Times New Roman" w:eastAsia="Times New Roman" w:hAnsi="Times New Roman"/>
          <w:sz w:val="22"/>
          <w:szCs w:val="22"/>
          <w:color w:val="auto"/>
        </w:rPr>
        <w:t xml:space="preserve"> of this Agreement, if the Executive’s employment by the Company (or its successor) is terminated by the Company (or its successor) other than for Cause or the Executive resigns for Good Reason on or within twelve (12) months following the consummation of a Corporate Transaction (as defined in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below), all outstanding equity awards held by the Executive as of the applicable termination date shall accelerate and become fully-vested effective as of immediately prior to such termination. In addition, if the outstanding equity awards held by the Executive as of immediately prior to the consummation of a Corporate Transaction are not assumed or substituted for value upon such Corporate Transaction, such equity awards shall accelerate and become fully-vested effective as of immediately prior to such Corporate Transaction.</w:t>
      </w:r>
    </w:p>
    <w:p>
      <w:pPr>
        <w:spacing w:after="0" w:line="148"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Resignation From All Other Positions</w:t>
      </w:r>
      <w:r>
        <w:rPr>
          <w:rFonts w:ascii="Times New Roman" w:cs="Times New Roman" w:eastAsia="Times New Roman" w:hAnsi="Times New Roman"/>
          <w:sz w:val="22"/>
          <w:szCs w:val="22"/>
          <w:color w:val="auto"/>
        </w:rPr>
        <w:t>. Upon any termination of the Employment Term, the Executive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promptly resign, and will be deemed to have automatically resigned, from all positions, if any, that the Executive holds as a member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1"/>
          <w:szCs w:val="21"/>
          <w:color w:val="auto"/>
        </w:rPr>
        <w:t>Board (including any committees), officer, director, manager or fiduciary of the Company or any of its affiliates or subsidiaries.</w:t>
      </w:r>
    </w:p>
    <w:p>
      <w:pPr>
        <w:spacing w:after="0"/>
        <w:rPr>
          <w:sz w:val="20"/>
          <w:szCs w:val="20"/>
          <w:color w:val="auto"/>
        </w:rPr>
      </w:pPr>
      <w:r>
        <w:rPr>
          <w:rFonts w:ascii="Times New Roman" w:cs="Times New Roman" w:eastAsia="Times New Roman" w:hAnsi="Times New Roman"/>
          <w:sz w:val="22"/>
          <w:szCs w:val="22"/>
          <w:color w:val="auto"/>
        </w:rPr>
        <w:t xml:space="preserve">The Executive will take all actions reasonably requested by the Company to give effect to this </w:t>
      </w:r>
      <w:r>
        <w:rPr>
          <w:rFonts w:ascii="Times New Roman" w:cs="Times New Roman" w:eastAsia="Times New Roman" w:hAnsi="Times New Roman"/>
          <w:sz w:val="22"/>
          <w:szCs w:val="22"/>
          <w:u w:val="single" w:color="auto"/>
          <w:color w:val="auto"/>
        </w:rPr>
        <w:t>Section 8(e)</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656"/>
        <w:spacing w:after="0" w:line="216" w:lineRule="auto"/>
        <w:tabs>
          <w:tab w:leader="none" w:pos="129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Exclusive Remedy. </w:t>
      </w:r>
      <w:r>
        <w:rPr>
          <w:rFonts w:ascii="Times New Roman" w:cs="Times New Roman" w:eastAsia="Times New Roman" w:hAnsi="Times New Roman"/>
          <w:sz w:val="22"/>
          <w:szCs w:val="22"/>
          <w:color w:val="auto"/>
        </w:rPr>
        <w:t>The amounts payable to the Executive following termination of employment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Employment Term pursuant to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of this Agreement shall be in full and complete satisfaction of the Executive’s rights under this Agreement and any other claims that the Executive may have in respect of the Executive’s employment with the Company or any of its affiliates. The Executive acknowledges that such amounts are fair and reasonable and are the Executive’s sole and exclusive remedy, in lieu of all other remedies at law or in equity, with respect to the termination of the Executive’s employment or any breach of this Agreement.</w:t>
      </w:r>
    </w:p>
    <w:p>
      <w:pPr>
        <w:spacing w:after="0" w:line="146" w:lineRule="exact"/>
        <w:rPr>
          <w:sz w:val="20"/>
          <w:szCs w:val="20"/>
          <w:color w:val="auto"/>
        </w:rPr>
      </w:pPr>
    </w:p>
    <w:p>
      <w:pPr>
        <w:jc w:val="both"/>
        <w:ind w:firstLine="656"/>
        <w:spacing w:after="0" w:line="211" w:lineRule="auto"/>
        <w:tabs>
          <w:tab w:leader="none" w:pos="129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Release; Continued Compliance. </w:t>
      </w:r>
      <w:r>
        <w:rPr>
          <w:rFonts w:ascii="Times New Roman" w:cs="Times New Roman" w:eastAsia="Times New Roman" w:hAnsi="Times New Roman"/>
          <w:sz w:val="22"/>
          <w:szCs w:val="22"/>
          <w:color w:val="auto"/>
        </w:rPr>
        <w:t>Any and all amounts payable and benefits or additional rights provided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termination of employment pursuant to this Agreement beyond the Accrued Benefits pursuant to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xml:space="preserve">”) shall be payable if and only if the Executive delivers to the Company, and does not revoke, a general release of claims in favor of the Company in substantially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Such release will be executed and delivered (and no longer subject to revocation, if applicable) within sixty (60) days following termination. During such time that the Executive is receiving the Severance Benefits, if (a) the Company discovers grounds constituting Cause existed before Executive’s termination or (b) the Executive breaches any of the restrictive covenants set forth in the Employee Proprietary Information and Invention Assignment Agreement attached to this Agreement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the Executive’s right to receive the Severance Benefits will immediately cease and be forfeited and any previously paid Severance Benefits shall be repaid by the Executive to the Company.</w:t>
      </w:r>
    </w:p>
    <w:p>
      <w:pPr>
        <w:spacing w:after="0" w:line="151" w:lineRule="exact"/>
        <w:rPr>
          <w:rFonts w:ascii="Times New Roman" w:cs="Times New Roman" w:eastAsia="Times New Roman" w:hAnsi="Times New Roman"/>
          <w:sz w:val="22"/>
          <w:szCs w:val="22"/>
          <w:b w:val="1"/>
          <w:bCs w:val="1"/>
          <w:color w:val="auto"/>
        </w:rPr>
      </w:pPr>
    </w:p>
    <w:p>
      <w:pPr>
        <w:ind w:right="20" w:firstLine="656"/>
        <w:spacing w:after="0" w:line="238" w:lineRule="auto"/>
        <w:tabs>
          <w:tab w:leader="none" w:pos="1296"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Restrictive Covenants. </w:t>
      </w:r>
      <w:r>
        <w:rPr>
          <w:rFonts w:ascii="Times New Roman" w:cs="Times New Roman" w:eastAsia="Times New Roman" w:hAnsi="Times New Roman"/>
          <w:sz w:val="22"/>
          <w:szCs w:val="22"/>
          <w:color w:val="auto"/>
        </w:rPr>
        <w:t>The Executive acknowledges and agrees to be bound by the restrictive covenants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the Employee Proprietary Information and Invention Assignment Agreement attached to this Agreement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Defined Terms</w:t>
      </w:r>
      <w:r>
        <w:rPr>
          <w:rFonts w:ascii="Times New Roman" w:cs="Times New Roman" w:eastAsia="Times New Roman" w:hAnsi="Times New Roman"/>
          <w:sz w:val="22"/>
          <w:szCs w:val="22"/>
          <w:color w:val="auto"/>
        </w:rPr>
        <w:t>. As used in this Agreement, the following terms have the meanings set forth below:</w:t>
      </w:r>
    </w:p>
    <w:p>
      <w:pPr>
        <w:spacing w:after="0" w:line="183" w:lineRule="exact"/>
        <w:rPr>
          <w:sz w:val="20"/>
          <w:szCs w:val="20"/>
          <w:color w:val="auto"/>
        </w:rPr>
      </w:pPr>
    </w:p>
    <w:p>
      <w:pPr>
        <w:jc w:val="both"/>
        <w:ind w:firstLine="656"/>
        <w:spacing w:after="0" w:line="217" w:lineRule="auto"/>
        <w:tabs>
          <w:tab w:leader="none" w:pos="129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 means: (i) any accrued but unpaid Base Salary through the date of termination; (ii) reimbursement for any unreimbursed business expenses incurred through the date of termination; and (iii) all other accrued but unpaid payments, benefits or fringe benefits to which the Executive shall be entitled under the terms of any applicable compensation or benefit arrangement. Notwithstanding anything to the contrary, amounts due under prongs (i)-(iii) will be paid within sixty (60) days following termination of employment, or such earlier date as may be required by applicable law.</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means the Executive’s: (i) theft, dishonesty, misconduct, falsification of any employment or Company records, (ii) any act or omission that has a material detrimental effect on the Company’s reputation or business; (iii) conviction (including any plea of guilty or no contest) for any felony, or for any criminal act that materially impairs the Executive’s ability to perform the Executives duties to the Company; (iv) material breach of any agreement between the Executive and the Company; or (v) material violation of any Company policy; or (vi) the Executive’s willful failure to perform, or willful misconduct or gross negligence in the performance of, the Executive’s duties to the Company or the Executive’s failure to follow the lawful directives of the Board or any executive to which the Executive reports (other than as a result of death or Disability);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in the case of clauses (iv), (v) and (vi), Executive shall have an opportunity to cure, if susceptible to cure, for a period of thirty (30) days following written notice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3" w:right="339" w:bottom="1440" w:gutter="0" w:footer="0" w:header="0"/>
        </w:sectPr>
      </w:pPr>
    </w:p>
    <w:bookmarkStart w:id="86" w:name="page87"/>
    <w:bookmarkEnd w:id="86"/>
    <w:p>
      <w:pPr>
        <w:ind w:firstLine="656"/>
        <w:spacing w:after="0" w:line="236" w:lineRule="auto"/>
        <w:tabs>
          <w:tab w:leader="none" w:pos="129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Transaction</w:t>
      </w:r>
      <w:r>
        <w:rPr>
          <w:rFonts w:ascii="Times New Roman" w:cs="Times New Roman" w:eastAsia="Times New Roman" w:hAnsi="Times New Roman"/>
          <w:sz w:val="22"/>
          <w:szCs w:val="22"/>
          <w:color w:val="auto"/>
        </w:rPr>
        <w:t>” has the meaning set forth in the Company’s 2015 Stock Incentive Plan, as may be amended from time to time.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Disabled</w:t>
      </w:r>
      <w:r>
        <w:rPr>
          <w:rFonts w:ascii="Times New Roman" w:cs="Times New Roman" w:eastAsia="Times New Roman" w:hAnsi="Times New Roman"/>
          <w:sz w:val="22"/>
          <w:szCs w:val="22"/>
          <w:color w:val="auto"/>
        </w:rPr>
        <w:t>” means the Executive becomes “disabled” or suffers from a “disability” as defined in Section 409A, or in any successor regulation, as determined by the Board in good faith.</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Award Treatment</w:t>
      </w:r>
      <w:r>
        <w:rPr>
          <w:rFonts w:ascii="Times New Roman" w:cs="Times New Roman" w:eastAsia="Times New Roman" w:hAnsi="Times New Roman"/>
          <w:sz w:val="21"/>
          <w:szCs w:val="21"/>
          <w:color w:val="auto"/>
        </w:rPr>
        <w:t>” means (i) with respect to each outstanding equity award held by the Executive as of the applicable termination date that vests solely based on the Executive’s continued employment with the Company (whether strictly time-based awards or earned but not yet vested performance-based awards), the portion of such award that would have vested had the Executive remained employed with the Company for an additional twelve (12) months will accelerate and become vested effective as of immediately prior to such termination; and (ii) with respect to each outstanding equity award held by the Executive as of the applicable termination date that has not yet vested but is forecasted to vest (in whole or in part) based on achievement of applicable performance goals (each a “</w:t>
      </w:r>
      <w:r>
        <w:rPr>
          <w:rFonts w:ascii="Times New Roman" w:cs="Times New Roman" w:eastAsia="Times New Roman" w:hAnsi="Times New Roman"/>
          <w:sz w:val="21"/>
          <w:szCs w:val="21"/>
          <w:u w:val="single" w:color="auto"/>
          <w:color w:val="auto"/>
        </w:rPr>
        <w:t>Performance-Vesting Award</w:t>
      </w:r>
      <w:r>
        <w:rPr>
          <w:rFonts w:ascii="Times New Roman" w:cs="Times New Roman" w:eastAsia="Times New Roman" w:hAnsi="Times New Roman"/>
          <w:sz w:val="21"/>
          <w:szCs w:val="21"/>
          <w:color w:val="auto"/>
        </w:rPr>
        <w:t>”), a prorated portion of such Performance-Vesting Award will accelerate and become vested effective as of immediately prior to such termination, with such prorated portion determined based on the number of days the Executive was employed by the Company during the applicable performance period for the Performance-Vesting Award, and achievement of the applicable performance goals determined by the Board at the time of such termination based on forecasted results (but no greater than target-level performance).</w:t>
      </w:r>
    </w:p>
    <w:p>
      <w:pPr>
        <w:spacing w:after="0" w:line="157" w:lineRule="exact"/>
        <w:rPr>
          <w:rFonts w:ascii="Times New Roman" w:cs="Times New Roman" w:eastAsia="Times New Roman" w:hAnsi="Times New Roman"/>
          <w:sz w:val="21"/>
          <w:szCs w:val="21"/>
          <w:color w:val="auto"/>
        </w:rPr>
      </w:pPr>
    </w:p>
    <w:p>
      <w:pPr>
        <w:jc w:val="both"/>
        <w:ind w:firstLine="656"/>
        <w:spacing w:after="0" w:line="208" w:lineRule="auto"/>
        <w:tabs>
          <w:tab w:leader="none" w:pos="129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xml:space="preserve">” means, without the Executive’s prior written consent: (i) a material reduction in the Executive’s base salary (other than a reduction pertaining to all similarly situated employees of the Company); (ii) a material diminution of the Executive’s duties inconsistent with the Executive’s position; (iii) a material breach by the Company or its affiliate of the Agreement or any other material written agreement with the Company; (iv) a material modification by the Company of the Executive’s flexible hybrid work arrangement involving both off-site services and in-person services at the Company’s headquarters; or (v) any change in Executive’s reporting structure such that Executive no longer reports to the Chief Executive Officer;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“Good Reason” shall only exist if the Executive tenders written objection to the Company within thirty</w:t>
      </w:r>
    </w:p>
    <w:p>
      <w:pPr>
        <w:spacing w:after="0" w:line="1" w:lineRule="exact"/>
        <w:rPr>
          <w:rFonts w:ascii="Times New Roman" w:cs="Times New Roman" w:eastAsia="Times New Roman" w:hAnsi="Times New Roman"/>
          <w:sz w:val="22"/>
          <w:szCs w:val="22"/>
          <w:color w:val="auto"/>
        </w:rPr>
      </w:pPr>
    </w:p>
    <w:p>
      <w:pPr>
        <w:jc w:val="both"/>
        <w:ind w:firstLine="8"/>
        <w:spacing w:after="0" w:line="218" w:lineRule="auto"/>
        <w:tabs>
          <w:tab w:leader="none" w:pos="41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initial occurrence of such Good Reason setting forth in reasonable detail the circumstances alleged to give rise to Good Reason, the Company fails to remedy the condition within thirty (30) days after receiving such written objection notice, and the Executive gives notice of resignation from employment within thirty (30) days after the end of such cure period.</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means restricted stock units covering a number of shares of Class A common stock of the Company that may be settled in cash and/or by issuance of shares of Class A common stock of the Company.</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means Section 409A of the Internal Revenue Code and the regulations and guidance promulgated under the Internal Revenue Code.</w:t>
      </w:r>
    </w:p>
    <w:p>
      <w:pPr>
        <w:spacing w:after="0" w:line="146" w:lineRule="exact"/>
        <w:rPr>
          <w:sz w:val="20"/>
          <w:szCs w:val="20"/>
          <w:color w:val="auto"/>
        </w:rPr>
      </w:pPr>
    </w:p>
    <w:p>
      <w:pPr>
        <w:jc w:val="both"/>
        <w:ind w:firstLine="656"/>
        <w:spacing w:after="0" w:line="227" w:lineRule="auto"/>
        <w:tabs>
          <w:tab w:leader="none" w:pos="129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Assignments. </w:t>
      </w:r>
      <w:r>
        <w:rPr>
          <w:rFonts w:ascii="Times New Roman" w:cs="Times New Roman" w:eastAsia="Times New Roman" w:hAnsi="Times New Roman"/>
          <w:sz w:val="22"/>
          <w:szCs w:val="22"/>
          <w:color w:val="auto"/>
        </w:rPr>
        <w:t>This Agreement is personal to each of the parties. Except as provided below, no party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assign or delegate any rights or obligations under this Agreement without first obtaining the written consent of the other party. The Company may assign this Agreement to any successor to all or substantially all of its business or assets.</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All communications provided for in this Agreement shall be in writing and shall be deemed to have been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duly given (a) on the date of delivery, if delivered by hand, (b) on the date of transmission, if delivered by electronic mail, or (c) on the first business day following the date of deposit, if delivered by guaranteed overnight delivery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87" w:name="page88"/>
    <w:bookmarkEnd w:id="87"/>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If to the Executive:</w:t>
      </w:r>
    </w:p>
    <w:p>
      <w:pPr>
        <w:spacing w:after="0" w:line="19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At the address (or to the email address) shown in the books and</w:t>
      </w:r>
    </w:p>
    <w:p>
      <w:pPr>
        <w:ind w:left="1800"/>
        <w:spacing w:after="0"/>
        <w:rPr>
          <w:sz w:val="20"/>
          <w:szCs w:val="20"/>
          <w:color w:val="auto"/>
        </w:rPr>
      </w:pPr>
      <w:r>
        <w:rPr>
          <w:rFonts w:ascii="Times New Roman" w:cs="Times New Roman" w:eastAsia="Times New Roman" w:hAnsi="Times New Roman"/>
          <w:sz w:val="22"/>
          <w:szCs w:val="22"/>
          <w:color w:val="auto"/>
        </w:rPr>
        <w:t>records of the Company.</w:t>
      </w:r>
    </w:p>
    <w:p>
      <w:pPr>
        <w:spacing w:after="0" w:line="16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If to the Company:</w:t>
      </w:r>
    </w:p>
    <w:p>
      <w:pPr>
        <w:ind w:left="1800"/>
        <w:spacing w:after="0" w:line="204" w:lineRule="auto"/>
        <w:rPr>
          <w:sz w:val="20"/>
          <w:szCs w:val="20"/>
          <w:color w:val="auto"/>
        </w:rPr>
      </w:pPr>
      <w:r>
        <w:rPr>
          <w:rFonts w:ascii="Times New Roman" w:cs="Times New Roman" w:eastAsia="Times New Roman" w:hAnsi="Times New Roman"/>
          <w:sz w:val="22"/>
          <w:szCs w:val="22"/>
          <w:color w:val="auto"/>
        </w:rPr>
        <w:t>70 Castilian Drive</w:t>
      </w:r>
    </w:p>
    <w:p>
      <w:pPr>
        <w:ind w:left="1800"/>
        <w:spacing w:after="0" w:line="205" w:lineRule="auto"/>
        <w:rPr>
          <w:sz w:val="20"/>
          <w:szCs w:val="20"/>
          <w:color w:val="auto"/>
        </w:rPr>
      </w:pPr>
      <w:r>
        <w:rPr>
          <w:rFonts w:ascii="Times New Roman" w:cs="Times New Roman" w:eastAsia="Times New Roman" w:hAnsi="Times New Roman"/>
          <w:sz w:val="22"/>
          <w:szCs w:val="22"/>
          <w:color w:val="auto"/>
        </w:rPr>
        <w:t>Santa Barbara, CA 93117</w:t>
      </w:r>
    </w:p>
    <w:p>
      <w:pPr>
        <w:spacing w:after="0" w:line="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Attention: Chief Legal Officer</w:t>
      </w:r>
    </w:p>
    <w:p>
      <w:pPr>
        <w:spacing w:after="0" w:line="27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or to such other address as either party may have furnished to the other in writing in accordance herewith, except that notices of change of address shall be effective only upon receipt.</w:t>
      </w:r>
    </w:p>
    <w:p>
      <w:pPr>
        <w:spacing w:after="0" w:line="146" w:lineRule="exact"/>
        <w:rPr>
          <w:sz w:val="20"/>
          <w:szCs w:val="20"/>
          <w:color w:val="auto"/>
        </w:rPr>
      </w:pPr>
    </w:p>
    <w:p>
      <w:pPr>
        <w:jc w:val="both"/>
        <w:ind w:firstLine="656"/>
        <w:spacing w:after="0" w:line="227"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Interpretation. </w:t>
      </w:r>
      <w:r>
        <w:rPr>
          <w:rFonts w:ascii="Times New Roman" w:cs="Times New Roman" w:eastAsia="Times New Roman" w:hAnsi="Times New Roman"/>
          <w:sz w:val="22"/>
          <w:szCs w:val="22"/>
          <w:color w:val="auto"/>
        </w:rPr>
        <w:t>The section headings used in this Agreement are included solely for convenience and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 or be used in connection with, the interpretation of this Agreement. In the event of any inconsistency between the terms of this Agreement and any form, award, plan or policy of the Company, the terms of this Agreement shall govern and control.</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8"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The provisions of this Agreement shall be deemed severable. The invalidity or unenforceability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provision of this Agreement in any jurisdiction shall not affect the validity, legality or enforceability of the remainder of this Agreement in such jurisdiction or the validity, legality or enforceability of any provision of this Agreement in any other jurisdiction, it being intended that all rights and obligations of the parties shall be enforceable to the fullest extent permitted by applicable law.</w:t>
      </w:r>
    </w:p>
    <w:p>
      <w:pPr>
        <w:spacing w:after="0" w:line="147" w:lineRule="exact"/>
        <w:rPr>
          <w:rFonts w:ascii="Times New Roman" w:cs="Times New Roman" w:eastAsia="Times New Roman" w:hAnsi="Times New Roman"/>
          <w:sz w:val="22"/>
          <w:szCs w:val="22"/>
          <w:b w:val="1"/>
          <w:bCs w:val="1"/>
          <w:color w:val="auto"/>
        </w:rPr>
      </w:pPr>
    </w:p>
    <w:p>
      <w:pPr>
        <w:ind w:firstLine="656"/>
        <w:spacing w:after="0" w:line="238"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This Agreement may be executed in several counterparts, each of which shall be deemed to be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original but all of which together will constitute one and the same instrument.</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Arbitration. </w:t>
      </w:r>
      <w:r>
        <w:rPr>
          <w:rFonts w:ascii="Times New Roman" w:cs="Times New Roman" w:eastAsia="Times New Roman" w:hAnsi="Times New Roman"/>
          <w:sz w:val="22"/>
          <w:szCs w:val="22"/>
          <w:color w:val="auto"/>
        </w:rPr>
        <w:t>Any dispute or controversy arising under or in connection with this Agreement or the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shall be settled exclusively by arbitration, conducted before a single arbitrator in Santa Barbara, California in accordance with the JAMS Employment Rules and Procedures then in effect (available at www.jamsdr.com). The decision of the arbitrator will be final and binding upon the parties. Judgment may be entered on the arbitrator’s award in any court having jurisdiction. In connection with any such arbitration and regardless of outcome, (a) each party shall pay all of its own costs and expenses, including, without limitation, its own legal fees and expenses, and (b) the arbitration costs shall be borne by the Company.</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Agreement, the rights and obligations of the parties, and all claims or disputes relating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thereto, shall be governed by and construed in accordance with the laws of the State of California (without regard to its choice of law provisions).</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Miscellaneous. </w:t>
      </w:r>
      <w:r>
        <w:rPr>
          <w:rFonts w:ascii="Times New Roman" w:cs="Times New Roman" w:eastAsia="Times New Roman" w:hAnsi="Times New Roman"/>
          <w:sz w:val="22"/>
          <w:szCs w:val="22"/>
          <w:color w:val="auto"/>
        </w:rPr>
        <w:t>No provision of this Agreement may be modified, waived or discharged unless such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 or discharge is agreed to in writing and signed by the Executive and such officer or director as may be designated by the Board. No waiver by either party at any time of any breach by the other party of, or compliance with, any condition or provision of this Agreement to be performed by such other party shall be deemed a waiver of similar or dissimilar provisions or conditions at the same or at any prior or subsequent time. This Agreement, together with all exhibits attached to this Agreement, sets forth the entire agreement of the parties in respect of the subject matter contained in this Agreement and supersedes any and all prior agreements or understandings between the Executive and the Company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88" w:name="page89"/>
    <w:bookmarkEnd w:id="88"/>
    <w:p>
      <w:pPr>
        <w:jc w:val="both"/>
        <w:spacing w:after="0" w:line="236" w:lineRule="auto"/>
        <w:rPr>
          <w:sz w:val="20"/>
          <w:szCs w:val="20"/>
          <w:color w:val="auto"/>
        </w:rPr>
      </w:pPr>
      <w:r>
        <w:rPr>
          <w:rFonts w:ascii="Times New Roman" w:cs="Times New Roman" w:eastAsia="Times New Roman" w:hAnsi="Times New Roman"/>
          <w:sz w:val="21"/>
          <w:szCs w:val="21"/>
          <w:color w:val="auto"/>
        </w:rPr>
        <w:t>the subject matter of this Agreement. No agreements or representations, oral or otherwise, express or implied, with respect to the subject matter hereof have been made by either party which are not expressly set forth in this Agreement. In the event of any inconsistency between the terms of this Agreement and any equity award, the terms of this Agreement shall govern and control.</w:t>
      </w:r>
    </w:p>
    <w:p>
      <w:pPr>
        <w:spacing w:after="0" w:line="148" w:lineRule="exact"/>
        <w:rPr>
          <w:sz w:val="20"/>
          <w:szCs w:val="20"/>
          <w:color w:val="auto"/>
        </w:rPr>
      </w:pPr>
    </w:p>
    <w:p>
      <w:pPr>
        <w:jc w:val="both"/>
        <w:ind w:firstLine="656"/>
        <w:spacing w:after="0" w:line="218" w:lineRule="auto"/>
        <w:tabs>
          <w:tab w:leader="none" w:pos="1296"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Representations. </w:t>
      </w:r>
      <w:r>
        <w:rPr>
          <w:rFonts w:ascii="Times New Roman" w:cs="Times New Roman" w:eastAsia="Times New Roman" w:hAnsi="Times New Roman"/>
          <w:sz w:val="22"/>
          <w:szCs w:val="22"/>
          <w:color w:val="auto"/>
        </w:rPr>
        <w:t>The Executive represents and warrants to the Company that: (a) the Executive has the legal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enter into this Agreement and to perform all of the obligations on the Executive’s part to be performed under this Agreement; and (b) the Executive is not a party to any agreement or understanding, written or oral, and is not subject to any restriction, which, in either case, could prevent or impair the Executive from entering into this Agreement or performing the Executive’s duties and obligations under this Agreement.</w:t>
      </w:r>
    </w:p>
    <w:p>
      <w:pPr>
        <w:spacing w:after="0" w:line="14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p>
    <w:p>
      <w:pPr>
        <w:spacing w:after="0" w:line="179" w:lineRule="exact"/>
        <w:rPr>
          <w:sz w:val="20"/>
          <w:szCs w:val="20"/>
          <w:color w:val="auto"/>
        </w:rPr>
      </w:pPr>
    </w:p>
    <w:p>
      <w:pPr>
        <w:ind w:firstLine="656"/>
        <w:spacing w:after="0" w:line="238" w:lineRule="auto"/>
        <w:tabs>
          <w:tab w:leader="none" w:pos="12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Withholding. </w:t>
      </w:r>
      <w:r>
        <w:rPr>
          <w:rFonts w:ascii="Times New Roman" w:cs="Times New Roman" w:eastAsia="Times New Roman" w:hAnsi="Times New Roman"/>
          <w:sz w:val="22"/>
          <w:szCs w:val="22"/>
          <w:color w:val="auto"/>
        </w:rPr>
        <w:t>The Company may withhold from any and all amounts payable under this Agreement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federal, state and local taxes as may be required to be withheld pursuant to any applicable law or regulation.</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 Compliance.</w:t>
      </w:r>
    </w:p>
    <w:p>
      <w:pPr>
        <w:spacing w:after="0" w:line="183" w:lineRule="exact"/>
        <w:rPr>
          <w:sz w:val="20"/>
          <w:szCs w:val="20"/>
          <w:color w:val="auto"/>
        </w:rPr>
      </w:pPr>
    </w:p>
    <w:p>
      <w:pPr>
        <w:jc w:val="both"/>
        <w:ind w:firstLine="1304"/>
        <w:spacing w:after="0" w:line="220" w:lineRule="auto"/>
        <w:tabs>
          <w:tab w:leader="none" w:pos="193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intent of the parties is that payments and benefits under this Agreement comply with, or are exempt from, Section 409A. Accordingly, to the maximum extent permitted, this Agreement shall be interpreted to be in compliance therewith or exempt therefrom. In no event whatsoever shall the Company be liable for any additional tax, interest or penalty that may be imposed on the Executive by Section 409A or damages for failing to comply with Section 409A.</w:t>
      </w:r>
    </w:p>
    <w:p>
      <w:pPr>
        <w:spacing w:after="0" w:line="152" w:lineRule="exact"/>
        <w:rPr>
          <w:sz w:val="20"/>
          <w:szCs w:val="20"/>
          <w:color w:val="auto"/>
        </w:rPr>
      </w:pPr>
    </w:p>
    <w:p>
      <w:pPr>
        <w:jc w:val="both"/>
        <w:ind w:firstLine="1304"/>
        <w:spacing w:after="0" w:line="219" w:lineRule="auto"/>
        <w:tabs>
          <w:tab w:leader="none" w:pos="1932"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Section 409A,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the Executive, and (B) the date of the Executive’s death, to the extent required under Section 409A. Upon the expiration of the foregoing delay period, all payments and benefits delayed pursuant to this </w:t>
      </w:r>
      <w:r>
        <w:rPr>
          <w:rFonts w:ascii="Times New Roman" w:cs="Times New Roman" w:eastAsia="Times New Roman" w:hAnsi="Times New Roman"/>
          <w:sz w:val="21"/>
          <w:szCs w:val="21"/>
          <w:u w:val="single" w:color="auto"/>
          <w:color w:val="auto"/>
        </w:rPr>
        <w:t>Section 22(b)(ii)</w:t>
      </w:r>
      <w:r>
        <w:rPr>
          <w:rFonts w:ascii="Times New Roman" w:cs="Times New Roman" w:eastAsia="Times New Roman" w:hAnsi="Times New Roman"/>
          <w:sz w:val="21"/>
          <w:szCs w:val="21"/>
          <w:color w:val="auto"/>
        </w:rPr>
        <w:t xml:space="preserve">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w:t>
      </w:r>
    </w:p>
    <w:p>
      <w:pPr>
        <w:spacing w:after="0" w:line="159" w:lineRule="exact"/>
        <w:rPr>
          <w:rFonts w:ascii="Times New Roman" w:cs="Times New Roman" w:eastAsia="Times New Roman" w:hAnsi="Times New Roman"/>
          <w:sz w:val="21"/>
          <w:szCs w:val="21"/>
          <w:color w:val="auto"/>
        </w:rPr>
      </w:pPr>
    </w:p>
    <w:p>
      <w:pPr>
        <w:jc w:val="both"/>
        <w:ind w:firstLine="1304"/>
        <w:spacing w:after="0" w:line="215" w:lineRule="auto"/>
        <w:tabs>
          <w:tab w:leader="none" w:pos="193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reimbursements or other in-kind benefits under this Agreement constitute “nonqualified deferred compensation” for purposes of Section 409A, (A) all expenses or other reimbursements under this Agreement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color w:val="auto"/>
        </w:rPr>
        <w:t>expenses eligible for reimbursement, or in-kind benefits to be provided, in any other taxable year.</w:t>
      </w:r>
    </w:p>
    <w:p>
      <w:pPr>
        <w:spacing w:after="0" w:line="179" w:lineRule="exact"/>
        <w:rPr>
          <w:sz w:val="20"/>
          <w:szCs w:val="20"/>
          <w:color w:val="auto"/>
        </w:rPr>
      </w:pPr>
    </w:p>
    <w:p>
      <w:pPr>
        <w:jc w:val="both"/>
        <w:ind w:firstLine="1304"/>
        <w:spacing w:after="0" w:line="220" w:lineRule="auto"/>
        <w:tabs>
          <w:tab w:leader="none" w:pos="194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executed this Agreement as of the date first written above.</w:t>
      </w:r>
    </w:p>
    <w:p>
      <w:pPr>
        <w:spacing w:after="0" w:line="27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APPFOLIO, INC.</w:t>
      </w:r>
    </w:p>
    <w:p>
      <w:pPr>
        <w:spacing w:after="0" w:line="200" w:lineRule="exact"/>
        <w:rPr>
          <w:sz w:val="20"/>
          <w:szCs w:val="20"/>
          <w:color w:val="auto"/>
        </w:rPr>
      </w:pPr>
    </w:p>
    <w:p>
      <w:pPr>
        <w:spacing w:after="0" w:line="307" w:lineRule="exact"/>
        <w:rPr>
          <w:sz w:val="20"/>
          <w:szCs w:val="20"/>
          <w:color w:val="auto"/>
        </w:rPr>
      </w:pPr>
    </w:p>
    <w:p>
      <w:pPr>
        <w:ind w:left="4520"/>
        <w:spacing w:after="0"/>
        <w:tabs>
          <w:tab w:leader="none" w:pos="5120" w:val="left"/>
        </w:tabs>
        <w:rPr>
          <w:sz w:val="20"/>
          <w:szCs w:val="20"/>
          <w:color w:val="auto"/>
        </w:rPr>
      </w:pPr>
      <w:r>
        <w:rPr>
          <w:rFonts w:ascii="Times New Roman" w:cs="Times New Roman" w:eastAsia="Times New Roman" w:hAnsi="Times New Roman"/>
          <w:sz w:val="22"/>
          <w:szCs w:val="22"/>
          <w:color w:val="auto"/>
        </w:rPr>
        <w:t>By:</w:t>
        <w:tab/>
        <w:t>/s/ Jason Randall</w:t>
      </w:r>
    </w:p>
    <w:p>
      <w:pPr>
        <w:spacing w:after="0" w:line="29" w:lineRule="exact"/>
        <w:rPr>
          <w:sz w:val="20"/>
          <w:szCs w:val="20"/>
          <w:color w:val="auto"/>
        </w:rPr>
      </w:pPr>
    </w:p>
    <w:p>
      <w:pPr>
        <w:ind w:left="4260"/>
        <w:spacing w:after="0"/>
        <w:tabs>
          <w:tab w:leader="none" w:pos="5120" w:val="left"/>
        </w:tabs>
        <w:rPr>
          <w:sz w:val="20"/>
          <w:szCs w:val="20"/>
          <w:color w:val="auto"/>
        </w:rPr>
      </w:pPr>
      <w:r>
        <w:rPr>
          <w:rFonts w:ascii="Times New Roman" w:cs="Times New Roman" w:eastAsia="Times New Roman" w:hAnsi="Times New Roman"/>
          <w:sz w:val="22"/>
          <w:szCs w:val="22"/>
          <w:color w:val="auto"/>
        </w:rPr>
        <w:t>Name:</w:t>
        <w:tab/>
        <w:t>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-158750</wp:posOffset>
            </wp:positionV>
            <wp:extent cx="39173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1" w:lineRule="exact"/>
        <w:rPr>
          <w:sz w:val="20"/>
          <w:szCs w:val="20"/>
          <w:color w:val="auto"/>
        </w:rPr>
      </w:pPr>
    </w:p>
    <w:p>
      <w:pPr>
        <w:ind w:left="4380"/>
        <w:spacing w:after="0"/>
        <w:tabs>
          <w:tab w:leader="none" w:pos="5120" w:val="left"/>
        </w:tabs>
        <w:rPr>
          <w:sz w:val="20"/>
          <w:szCs w:val="20"/>
          <w:color w:val="auto"/>
        </w:rPr>
      </w:pPr>
      <w:r>
        <w:rPr>
          <w:rFonts w:ascii="Times New Roman" w:cs="Times New Roman" w:eastAsia="Times New Roman" w:hAnsi="Times New Roman"/>
          <w:sz w:val="22"/>
          <w:szCs w:val="22"/>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20320</wp:posOffset>
            </wp:positionV>
            <wp:extent cx="39173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-158750</wp:posOffset>
            </wp:positionV>
            <wp:extent cx="39173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20"/>
        <w:spacing w:after="0"/>
        <w:tabs>
          <w:tab w:leader="none" w:pos="5120" w:val="left"/>
        </w:tabs>
        <w:rPr>
          <w:sz w:val="20"/>
          <w:szCs w:val="20"/>
          <w:color w:val="auto"/>
        </w:rPr>
      </w:pPr>
      <w:r>
        <w:rPr>
          <w:rFonts w:ascii="Times New Roman" w:cs="Times New Roman" w:eastAsia="Times New Roman" w:hAnsi="Times New Roman"/>
          <w:sz w:val="22"/>
          <w:szCs w:val="22"/>
          <w:color w:val="auto"/>
        </w:rPr>
        <w:t>By:</w:t>
        <w:tab/>
        <w:t>/s/ William Shane Trigg</w:t>
      </w:r>
    </w:p>
    <w:p>
      <w:pPr>
        <w:spacing w:after="0" w:line="29" w:lineRule="exact"/>
        <w:rPr>
          <w:sz w:val="20"/>
          <w:szCs w:val="20"/>
          <w:color w:val="auto"/>
        </w:rPr>
      </w:pPr>
    </w:p>
    <w:p>
      <w:pPr>
        <w:ind w:left="4260"/>
        <w:spacing w:after="0"/>
        <w:tabs>
          <w:tab w:leader="none" w:pos="5120" w:val="left"/>
        </w:tabs>
        <w:rPr>
          <w:sz w:val="20"/>
          <w:szCs w:val="20"/>
          <w:color w:val="auto"/>
        </w:rPr>
      </w:pPr>
      <w:r>
        <w:rPr>
          <w:rFonts w:ascii="Times New Roman" w:cs="Times New Roman" w:eastAsia="Times New Roman" w:hAnsi="Times New Roman"/>
          <w:sz w:val="22"/>
          <w:szCs w:val="22"/>
          <w:color w:val="auto"/>
        </w:rPr>
        <w:t>Name:</w:t>
        <w:tab/>
        <w:t>William Shane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-158750</wp:posOffset>
            </wp:positionV>
            <wp:extent cx="39173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11" w:lineRule="exact"/>
        <w:rPr>
          <w:sz w:val="20"/>
          <w:szCs w:val="20"/>
          <w:color w:val="auto"/>
        </w:rPr>
      </w:pPr>
    </w:p>
    <w:p>
      <w:pPr>
        <w:ind w:left="4380"/>
        <w:spacing w:after="0"/>
        <w:tabs>
          <w:tab w:leader="none" w:pos="5120" w:val="left"/>
        </w:tabs>
        <w:rPr>
          <w:sz w:val="20"/>
          <w:szCs w:val="20"/>
          <w:color w:val="auto"/>
        </w:rPr>
      </w:pPr>
      <w:r>
        <w:rPr>
          <w:rFonts w:ascii="Times New Roman" w:cs="Times New Roman" w:eastAsia="Times New Roman" w:hAnsi="Times New Roman"/>
          <w:sz w:val="22"/>
          <w:szCs w:val="22"/>
          <w:color w:val="auto"/>
        </w:rPr>
        <w:t>Title:</w:t>
        <w:tab/>
        <w:t>General Manger,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20320</wp:posOffset>
            </wp:positionV>
            <wp:extent cx="39173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-158750</wp:posOffset>
            </wp:positionV>
            <wp:extent cx="39173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i w:val="1"/>
          <w:iCs w:val="1"/>
          <w:color w:val="auto"/>
        </w:rPr>
        <w:t>[Signature Page to Employment Agreement]</w:t>
      </w:r>
    </w:p>
    <w:p>
      <w:pPr>
        <w:sectPr>
          <w:pgSz w:w="11900" w:h="16838" w:orient="portrait"/>
          <w:cols w:equalWidth="0" w:num="1">
            <w:col w:w="9919"/>
          </w:cols>
          <w:pgMar w:left="540" w:top="1391"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GENERAL RELEASE</w:t>
      </w:r>
    </w:p>
    <w:p>
      <w:pPr>
        <w:spacing w:after="0" w:line="200" w:lineRule="exact"/>
        <w:rPr>
          <w:sz w:val="20"/>
          <w:szCs w:val="20"/>
          <w:color w:val="auto"/>
        </w:rPr>
      </w:pPr>
    </w:p>
    <w:p>
      <w:pPr>
        <w:spacing w:after="0" w:line="226" w:lineRule="exact"/>
        <w:rPr>
          <w:sz w:val="20"/>
          <w:szCs w:val="20"/>
          <w:color w:val="auto"/>
        </w:rPr>
      </w:pPr>
    </w:p>
    <w:p>
      <w:pPr>
        <w:jc w:val="both"/>
        <w:ind w:firstLine="356"/>
        <w:spacing w:after="0" w:line="212" w:lineRule="auto"/>
        <w:rPr>
          <w:sz w:val="20"/>
          <w:szCs w:val="20"/>
          <w:color w:val="auto"/>
        </w:rPr>
      </w:pPr>
      <w:r>
        <w:rPr>
          <w:rFonts w:ascii="Times New Roman" w:cs="Times New Roman" w:eastAsia="Times New Roman" w:hAnsi="Times New Roman"/>
          <w:sz w:val="22"/>
          <w:szCs w:val="22"/>
          <w:color w:val="auto"/>
        </w:rPr>
        <w:t>I, Shane Trigg, in consideration of and subject to the performance by AppFolio, Inc. (together with its subsidiaries,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of its obligations under that Employment Agreement, dated as of February 8, 2023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do hereby release and forever discharge as of the date hereof the Company and its respective affiliates and all present, former and future managers, directors, officers, employees, successors and assigns of the Company and its affiliates and direct or indirect owners (collectively,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to the extent provided below (this “</w:t>
      </w: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spacing w:after="0" w:line="156" w:lineRule="exact"/>
        <w:rPr>
          <w:sz w:val="20"/>
          <w:szCs w:val="20"/>
          <w:color w:val="auto"/>
        </w:rPr>
      </w:pPr>
    </w:p>
    <w:p>
      <w:pPr>
        <w:jc w:val="both"/>
        <w:ind w:left="660" w:hanging="652"/>
        <w:spacing w:after="0" w:line="211" w:lineRule="auto"/>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My employment or service with the Company and its affiliates terminated as of ________________, and I hereby resign from any position as an officer, member of the board of managers or directors (as applicable) or fiduciary of the Company or its affiliates (or reaffirm any such resignation that may have already occurred). I understand that the Severance Benefits represent, in part, consideration for signing this General Release and are not salary, wages or benefits to which I was already entitled. I understand and agree that I will not receive the Severance Benefits unless I execute this General Release and do not revoke this General Release within the time period permitted hereafter. I understand and agree that such payments and benefits are subject to the restrictive covenants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to the Agreement, which (as noted below) expressly survive my termination of employment and the execution of this General Release. Such payments and benefits will not be considered compensation for purposes of any employee benefit plan, program, policy or arrangement maintained or hereafter established by the Company or its affiliates.</w:t>
      </w:r>
    </w:p>
    <w:p>
      <w:pPr>
        <w:spacing w:after="0" w:line="151" w:lineRule="exact"/>
        <w:rPr>
          <w:rFonts w:ascii="Times New Roman" w:cs="Times New Roman" w:eastAsia="Times New Roman" w:hAnsi="Times New Roman"/>
          <w:sz w:val="22"/>
          <w:szCs w:val="22"/>
          <w:color w:val="auto"/>
        </w:rPr>
      </w:pPr>
    </w:p>
    <w:p>
      <w:pPr>
        <w:jc w:val="both"/>
        <w:ind w:left="660" w:hanging="652"/>
        <w:spacing w:after="0" w:line="218" w:lineRule="auto"/>
        <w:tabs>
          <w:tab w:leader="none" w:pos="66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paragraphs 5 and 6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- 1</w:t>
      </w:r>
    </w:p>
    <w:p>
      <w:pPr>
        <w:sectPr>
          <w:pgSz w:w="11900" w:h="16838" w:orient="portrait"/>
          <w:cols w:equalWidth="0" w:num="1">
            <w:col w:w="11240"/>
          </w:cols>
          <w:pgMar w:left="320" w:top="1391" w:right="339" w:bottom="1440" w:gutter="0" w:footer="0" w:header="0"/>
        </w:sectPr>
      </w:pPr>
    </w:p>
    <w:bookmarkStart w:id="92" w:name="page93"/>
    <w:bookmarkEnd w:id="92"/>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left="660" w:hanging="652"/>
        <w:spacing w:after="0" w:line="225" w:lineRule="auto"/>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released claims described in paragraph 2 hereof include all such claims, whether known or unknown by me. Therefore, I waive the effect of California Civil Code Section 1542 and any other analogous provision of applicable law of any jurisdiction. Section 1542 states:</w:t>
      </w:r>
    </w:p>
    <w:p>
      <w:pPr>
        <w:spacing w:after="0" w:line="153" w:lineRule="exact"/>
        <w:rPr>
          <w:sz w:val="20"/>
          <w:szCs w:val="20"/>
          <w:color w:val="auto"/>
        </w:rPr>
      </w:pPr>
    </w:p>
    <w:p>
      <w:pPr>
        <w:jc w:val="both"/>
        <w:ind w:left="660" w:firstLine="648"/>
        <w:spacing w:after="0" w:line="220"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ind w:left="660" w:right="20" w:hanging="652"/>
        <w:spacing w:after="0" w:line="236" w:lineRule="auto"/>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that I have made no assignment or transfer of any right, claim, demand, cause of action, or other matter covered by paragraph 2 above.</w:t>
      </w:r>
    </w:p>
    <w:p>
      <w:pPr>
        <w:spacing w:after="0" w:line="150" w:lineRule="exact"/>
        <w:rPr>
          <w:rFonts w:ascii="Times New Roman" w:cs="Times New Roman" w:eastAsia="Times New Roman" w:hAnsi="Times New Roman"/>
          <w:sz w:val="22"/>
          <w:szCs w:val="22"/>
          <w:color w:val="auto"/>
        </w:rPr>
      </w:pPr>
    </w:p>
    <w:p>
      <w:pPr>
        <w:jc w:val="both"/>
        <w:ind w:left="660" w:hanging="652"/>
        <w:spacing w:after="0" w:line="217" w:lineRule="auto"/>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11" w:lineRule="auto"/>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agree that I hereby waive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disclaim and waive any right to share or participate in any monetary award resulting from the prosecution of such charge or investigation or proceeding. Additionally, I am not waiving (i) any right to the Accrued Benefits or any severance benefits to which I am entitled under the Agreement, (ii) any claim relating to directors’ and officers’ liability insurance coverage or any right of indemnification under the Company’s organizational documents or otherwise, or (iii) my rights as an equity or security holder in the Company or its affiliates.</w:t>
      </w:r>
    </w:p>
    <w:p>
      <w:pPr>
        <w:spacing w:after="0" w:line="151" w:lineRule="exact"/>
        <w:rPr>
          <w:rFonts w:ascii="Times New Roman" w:cs="Times New Roman" w:eastAsia="Times New Roman" w:hAnsi="Times New Roman"/>
          <w:sz w:val="22"/>
          <w:szCs w:val="22"/>
          <w:color w:val="auto"/>
        </w:rPr>
      </w:pPr>
    </w:p>
    <w:p>
      <w:pPr>
        <w:jc w:val="both"/>
        <w:ind w:left="660" w:hanging="652"/>
        <w:spacing w:after="0" w:line="211" w:lineRule="auto"/>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w:t>
      </w:r>
    </w:p>
    <w:p>
      <w:pPr>
        <w:sectPr>
          <w:pgSz w:w="11900" w:h="16838" w:orient="portrait"/>
          <w:cols w:equalWidth="0" w:num="1">
            <w:col w:w="11240"/>
          </w:cols>
          <w:pgMar w:left="320" w:top="1395" w:right="339" w:bottom="1440" w:gutter="0" w:footer="0" w:header="0"/>
        </w:sectPr>
      </w:pPr>
    </w:p>
    <w:bookmarkStart w:id="93" w:name="page94"/>
    <w:bookmarkEnd w:id="93"/>
    <w:p>
      <w:pPr>
        <w:ind w:left="660"/>
        <w:spacing w:after="0" w:line="236" w:lineRule="auto"/>
        <w:rPr>
          <w:sz w:val="20"/>
          <w:szCs w:val="20"/>
          <w:color w:val="auto"/>
        </w:rPr>
      </w:pPr>
      <w:r>
        <w:rPr>
          <w:rFonts w:ascii="Times New Roman" w:cs="Times New Roman" w:eastAsia="Times New Roman" w:hAnsi="Times New Roman"/>
          <w:sz w:val="22"/>
          <w:szCs w:val="22"/>
          <w:color w:val="auto"/>
        </w:rPr>
        <w:t>agree that I am not aware of any pending claim of the type described in paragraph 2 above as of the execution of this General Release.</w:t>
      </w:r>
    </w:p>
    <w:p>
      <w:pPr>
        <w:spacing w:after="0" w:line="150" w:lineRule="exact"/>
        <w:rPr>
          <w:sz w:val="20"/>
          <w:szCs w:val="20"/>
          <w:color w:val="auto"/>
        </w:rPr>
      </w:pPr>
    </w:p>
    <w:p>
      <w:pPr>
        <w:jc w:val="both"/>
        <w:ind w:left="660" w:hanging="652"/>
        <w:spacing w:after="0" w:line="225" w:lineRule="auto"/>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52" w:lineRule="exact"/>
        <w:rPr>
          <w:rFonts w:ascii="Times New Roman" w:cs="Times New Roman" w:eastAsia="Times New Roman" w:hAnsi="Times New Roman"/>
          <w:sz w:val="22"/>
          <w:szCs w:val="22"/>
          <w:color w:val="auto"/>
        </w:rPr>
      </w:pPr>
    </w:p>
    <w:p>
      <w:pPr>
        <w:ind w:left="660" w:hanging="652"/>
        <w:spacing w:after="0" w:line="236" w:lineRule="auto"/>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if I violate this General Release by suing the Company or the other Released Parties, I will pay all costs and expenses of defending against the suit incurred by the Released Parties, including reasonable attorneys’ fees.</w:t>
      </w:r>
    </w:p>
    <w:p>
      <w:pPr>
        <w:spacing w:after="0" w:line="150" w:lineRule="exact"/>
        <w:rPr>
          <w:rFonts w:ascii="Times New Roman" w:cs="Times New Roman" w:eastAsia="Times New Roman" w:hAnsi="Times New Roman"/>
          <w:sz w:val="22"/>
          <w:szCs w:val="22"/>
          <w:color w:val="auto"/>
        </w:rPr>
      </w:pPr>
    </w:p>
    <w:p>
      <w:pPr>
        <w:jc w:val="both"/>
        <w:ind w:left="660" w:hanging="652"/>
        <w:spacing w:after="0" w:line="220" w:lineRule="auto"/>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 regulatory organization or any governmental entity.</w:t>
      </w:r>
    </w:p>
    <w:p>
      <w:pPr>
        <w:spacing w:after="0" w:line="152" w:lineRule="exact"/>
        <w:rPr>
          <w:rFonts w:ascii="Times New Roman" w:cs="Times New Roman" w:eastAsia="Times New Roman" w:hAnsi="Times New Roman"/>
          <w:sz w:val="22"/>
          <w:szCs w:val="22"/>
          <w:color w:val="auto"/>
        </w:rPr>
      </w:pPr>
    </w:p>
    <w:p>
      <w:pPr>
        <w:ind w:left="660" w:hanging="652"/>
        <w:spacing w:after="0" w:line="236" w:lineRule="auto"/>
        <w:tabs>
          <w:tab w:leader="none" w:pos="65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hereby acknowledge that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of the Agreement shall survive as applicable therein my execution of this General Release.</w:t>
      </w:r>
    </w:p>
    <w:p>
      <w:pPr>
        <w:spacing w:after="0" w:line="150" w:lineRule="exact"/>
        <w:rPr>
          <w:rFonts w:ascii="Times New Roman" w:cs="Times New Roman" w:eastAsia="Times New Roman" w:hAnsi="Times New Roman"/>
          <w:sz w:val="22"/>
          <w:szCs w:val="22"/>
          <w:color w:val="auto"/>
        </w:rPr>
      </w:pPr>
    </w:p>
    <w:p>
      <w:pPr>
        <w:jc w:val="both"/>
        <w:ind w:left="660" w:hanging="652"/>
        <w:spacing w:after="0" w:line="217" w:lineRule="auto"/>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152" w:lineRule="exact"/>
        <w:rPr>
          <w:rFonts w:ascii="Times New Roman" w:cs="Times New Roman" w:eastAsia="Times New Roman" w:hAnsi="Times New Roman"/>
          <w:sz w:val="22"/>
          <w:szCs w:val="22"/>
          <w:color w:val="auto"/>
        </w:rPr>
      </w:pPr>
    </w:p>
    <w:p>
      <w:pPr>
        <w:jc w:val="both"/>
        <w:ind w:left="660" w:hanging="652"/>
        <w:spacing w:after="0" w:line="217" w:lineRule="auto"/>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THIS GENERAL RELEASE, I REPRESENT AND AGREE THAT:</w:t>
      </w:r>
    </w:p>
    <w:p>
      <w:pPr>
        <w:spacing w:after="0" w:line="179"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IT CAREFULLY;</w:t>
      </w:r>
    </w:p>
    <w:p>
      <w:pPr>
        <w:spacing w:after="0" w:line="179" w:lineRule="exact"/>
        <w:rPr>
          <w:rFonts w:ascii="Times New Roman" w:cs="Times New Roman" w:eastAsia="Times New Roman" w:hAnsi="Times New Roman"/>
          <w:sz w:val="22"/>
          <w:szCs w:val="22"/>
          <w:color w:val="auto"/>
        </w:rPr>
      </w:pPr>
    </w:p>
    <w:p>
      <w:pPr>
        <w:jc w:val="both"/>
        <w:ind w:left="1300" w:hanging="644"/>
        <w:spacing w:after="0" w:line="217" w:lineRule="auto"/>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VOLUNTARILY CONSENT TO EVERYTHING IN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w:t>
      </w:r>
    </w:p>
    <w:p>
      <w:pPr>
        <w:sectPr>
          <w:pgSz w:w="11900" w:h="16838" w:orient="portrait"/>
          <w:cols w:equalWidth="0" w:num="1">
            <w:col w:w="11240"/>
          </w:cols>
          <w:pgMar w:left="320" w:top="1395" w:right="339" w:bottom="1440" w:gutter="0" w:footer="0" w:header="0"/>
        </w:sectPr>
      </w:pPr>
    </w:p>
    <w:bookmarkStart w:id="94" w:name="page95"/>
    <w:bookmarkEnd w:id="94"/>
    <w:p>
      <w:pPr>
        <w:jc w:val="both"/>
        <w:ind w:left="644" w:hanging="644"/>
        <w:spacing w:after="0" w:line="225" w:lineRule="auto"/>
        <w:tabs>
          <w:tab w:leader="none" w:pos="6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ADVISED TO CONSULT WITH AN ATTORNEY BEFORE EXECUTING IT AND I HAVE DONE SO OR, AFTER CAREFUL READING AND CONSIDERATION, I HAVE CHOSEN NOT TO DO SO OF MY OWN VOLITION;</w:t>
      </w:r>
    </w:p>
    <w:p>
      <w:pPr>
        <w:spacing w:after="0" w:line="148" w:lineRule="exact"/>
        <w:rPr>
          <w:rFonts w:ascii="Times New Roman" w:cs="Times New Roman" w:eastAsia="Times New Roman" w:hAnsi="Times New Roman"/>
          <w:sz w:val="22"/>
          <w:szCs w:val="22"/>
          <w:color w:val="auto"/>
        </w:rPr>
      </w:pPr>
    </w:p>
    <w:p>
      <w:pPr>
        <w:jc w:val="both"/>
        <w:ind w:left="644" w:hanging="644"/>
        <w:spacing w:after="0" w:line="238" w:lineRule="auto"/>
        <w:tabs>
          <w:tab w:leader="none" w:pos="644"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HAVE HAD AT LEAST </w:t>
      </w:r>
      <w:r>
        <w:rPr>
          <w:rFonts w:ascii="Times New Roman" w:cs="Times New Roman" w:eastAsia="Times New Roman" w:hAnsi="Times New Roman"/>
          <w:sz w:val="21"/>
          <w:szCs w:val="21"/>
          <w:b w:val="1"/>
          <w:bCs w:val="1"/>
          <w:color w:val="auto"/>
        </w:rPr>
        <w:t>21</w:t>
      </w:r>
      <w:r>
        <w:rPr>
          <w:rFonts w:ascii="Times New Roman" w:cs="Times New Roman" w:eastAsia="Times New Roman" w:hAnsi="Times New Roman"/>
          <w:sz w:val="21"/>
          <w:szCs w:val="21"/>
          <w:color w:val="auto"/>
        </w:rPr>
        <w:t xml:space="preserve"> DAYS FROM THE DATE OF MY RECEIPT OF THIS RELEASE TO CONSIDER IT, AND THE CHANGES MADE SINCE MY RECEIPT OF THIS RELEASE ARE NOT MATERIAL OR WERE MADE AT MY REQUEST AND WILL NOT RESTART THE REQUIRED </w:t>
      </w:r>
      <w:r>
        <w:rPr>
          <w:rFonts w:ascii="Times New Roman" w:cs="Times New Roman" w:eastAsia="Times New Roman" w:hAnsi="Times New Roman"/>
          <w:sz w:val="21"/>
          <w:szCs w:val="21"/>
          <w:b w:val="1"/>
          <w:bCs w:val="1"/>
          <w:color w:val="auto"/>
        </w:rPr>
        <w:t>21-DAY</w:t>
      </w:r>
      <w:r>
        <w:rPr>
          <w:rFonts w:ascii="Times New Roman" w:cs="Times New Roman" w:eastAsia="Times New Roman" w:hAnsi="Times New Roman"/>
          <w:sz w:val="21"/>
          <w:szCs w:val="21"/>
          <w:color w:val="auto"/>
        </w:rPr>
        <w:t xml:space="preserve"> PERIOD;-</w:t>
      </w:r>
    </w:p>
    <w:p>
      <w:pPr>
        <w:spacing w:after="0" w:line="149" w:lineRule="exact"/>
        <w:rPr>
          <w:rFonts w:ascii="Times New Roman" w:cs="Times New Roman" w:eastAsia="Times New Roman" w:hAnsi="Times New Roman"/>
          <w:sz w:val="21"/>
          <w:szCs w:val="21"/>
          <w:color w:val="auto"/>
        </w:rPr>
      </w:pPr>
    </w:p>
    <w:p>
      <w:pPr>
        <w:jc w:val="both"/>
        <w:ind w:left="644" w:hanging="644"/>
        <w:spacing w:after="0" w:line="225" w:lineRule="auto"/>
        <w:tabs>
          <w:tab w:leader="none" w:pos="6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I HAVE SEVEN (7) DAYS AFTER THE EXECUTION OF THIS RELEASE TO REVOKE IT AND THAT THIS RELEASE SHALL NOT BECOME EFFECTIVE OR ENFORCEABLE UNTIL THE REVOCATION PERIOD HAS EXPIRED;</w:t>
      </w:r>
    </w:p>
    <w:p>
      <w:pPr>
        <w:spacing w:after="0" w:line="152" w:lineRule="exact"/>
        <w:rPr>
          <w:rFonts w:ascii="Times New Roman" w:cs="Times New Roman" w:eastAsia="Times New Roman" w:hAnsi="Times New Roman"/>
          <w:sz w:val="22"/>
          <w:szCs w:val="22"/>
          <w:color w:val="auto"/>
        </w:rPr>
      </w:pPr>
    </w:p>
    <w:p>
      <w:pPr>
        <w:ind w:left="644" w:hanging="644"/>
        <w:spacing w:after="0" w:line="236" w:lineRule="auto"/>
        <w:tabs>
          <w:tab w:leader="none" w:pos="6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SIGNED THIS GENERAL RELEASE KNOWINGLY AND VOLUNTARILY AND WITH THE ADVICE OF ANY COUNSEL RETAINED TO ADVISE ME WITH RESPECT TO IT; AND</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25" w:lineRule="auto"/>
        <w:tabs>
          <w:tab w:leader="none" w:pos="6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AGREE THAT THE PROVISIONS OF THIS GENERAL RELEASE MAY NOT BE AMENDED, WAIVED, CHANGED OR MODIFIED EXCEPT BY AN INSTRUMENT IN WRITING SIGNED BY AN AUTHORIZED REPRESENTATIVE OF THE COMPANY AND BY ME.</w:t>
      </w:r>
    </w:p>
    <w:p>
      <w:pPr>
        <w:spacing w:after="0" w:line="153" w:lineRule="exact"/>
        <w:rPr>
          <w:sz w:val="20"/>
          <w:szCs w:val="20"/>
          <w:color w:val="auto"/>
        </w:rPr>
      </w:pPr>
    </w:p>
    <w:p>
      <w:pPr>
        <w:ind w:left="1404"/>
        <w:spacing w:after="0"/>
        <w:tabs>
          <w:tab w:leader="none" w:pos="5264" w:val="left"/>
        </w:tabs>
        <w:rPr>
          <w:sz w:val="20"/>
          <w:szCs w:val="20"/>
          <w:color w:val="auto"/>
        </w:rPr>
      </w:pPr>
      <w:r>
        <w:rPr>
          <w:rFonts w:ascii="Times New Roman" w:cs="Times New Roman" w:eastAsia="Times New Roman" w:hAnsi="Times New Roman"/>
          <w:sz w:val="22"/>
          <w:szCs w:val="22"/>
          <w:color w:val="auto"/>
        </w:rPr>
        <w:t>SIGNED:__________________________</w:t>
      </w:r>
      <w:r>
        <w:rPr>
          <w:sz w:val="20"/>
          <w:szCs w:val="20"/>
          <w:color w:val="auto"/>
        </w:rPr>
        <w:tab/>
      </w:r>
      <w:r>
        <w:rPr>
          <w:rFonts w:ascii="Times New Roman" w:cs="Times New Roman" w:eastAsia="Times New Roman" w:hAnsi="Times New Roman"/>
          <w:sz w:val="21"/>
          <w:szCs w:val="21"/>
          <w:color w:val="auto"/>
        </w:rPr>
        <w:t>DATED:_________________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04"/>
        <w:spacing w:after="0"/>
        <w:rPr>
          <w:sz w:val="20"/>
          <w:szCs w:val="20"/>
          <w:color w:val="auto"/>
        </w:rPr>
      </w:pPr>
      <w:r>
        <w:rPr>
          <w:rFonts w:ascii="Times New Roman" w:cs="Times New Roman" w:eastAsia="Times New Roman" w:hAnsi="Times New Roman"/>
          <w:sz w:val="22"/>
          <w:szCs w:val="22"/>
          <w:color w:val="auto"/>
        </w:rPr>
        <w:t>Exhibit A - 4</w:t>
      </w:r>
    </w:p>
    <w:p>
      <w:pPr>
        <w:sectPr>
          <w:pgSz w:w="11900" w:h="16838" w:orient="portrait"/>
          <w:cols w:equalWidth="0" w:num="1">
            <w:col w:w="10584"/>
          </w:cols>
          <w:pgMar w:left="976" w:top="1395"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Employee Proprietary Information and Invention Assignment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 - 1</w:t>
      </w:r>
    </w:p>
    <w:p>
      <w:pPr>
        <w:sectPr>
          <w:pgSz w:w="11900" w:h="16838" w:orient="portrait"/>
          <w:cols w:equalWidth="0" w:num="1">
            <w:col w:w="9019"/>
          </w:cols>
          <w:pgMar w:left="1440" w:top="1391" w:right="1440"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3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List of 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4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Jurisdiction</w:t>
            </w:r>
          </w:p>
        </w:tc>
      </w:tr>
      <w:tr>
        <w:trPr>
          <w:trHeight w:val="20"/>
        </w:trPr>
        <w:tc>
          <w:tcPr>
            <w:tcW w:w="7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45"/>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AppFolio Investment Management, Inc.</w:t>
            </w:r>
          </w:p>
        </w:tc>
        <w:tc>
          <w:tcPr>
            <w:tcW w:w="3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California</w:t>
            </w:r>
          </w:p>
        </w:tc>
      </w:tr>
      <w:tr>
        <w:trPr>
          <w:trHeight w:val="22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Dynasty Marketplace, Inc.</w:t>
            </w:r>
          </w:p>
        </w:tc>
        <w:tc>
          <w:tcPr>
            <w:tcW w:w="3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AppFolio Insurance Services, Inc.</w:t>
            </w:r>
          </w:p>
        </w:tc>
        <w:tc>
          <w:tcPr>
            <w:tcW w:w="3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RentLinx LLC</w:t>
            </w:r>
          </w:p>
        </w:tc>
        <w:tc>
          <w:tcPr>
            <w:tcW w:w="3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Michigan</w:t>
            </w:r>
          </w:p>
        </w:tc>
      </w:tr>
      <w:tr>
        <w:trPr>
          <w:trHeight w:val="234"/>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Terra Mar Insurance Company, Inc.</w:t>
            </w:r>
          </w:p>
        </w:tc>
        <w:tc>
          <w:tcPr>
            <w:tcW w:w="3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Hawaii</w:t>
            </w:r>
          </w:p>
        </w:tc>
      </w:tr>
    </w:tbl>
    <w:p>
      <w:pPr>
        <w:sectPr>
          <w:pgSz w:w="11900" w:h="16838" w:orient="portrait"/>
          <w:cols w:equalWidth="0" w:num="1">
            <w:col w:w="10700"/>
          </w:cols>
          <w:pgMar w:left="860" w:top="131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350" w:lineRule="exact"/>
        <w:rPr>
          <w:sz w:val="20"/>
          <w:szCs w:val="20"/>
          <w:color w:val="auto"/>
        </w:rPr>
      </w:pPr>
    </w:p>
    <w:p>
      <w:pPr>
        <w:ind w:right="4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333-263096, No. 333-236818, No. 333-229970, No. 333-223231, No. 333-216274, No. 333-209792, and No. 333-206179) of AppFolio, Inc. of our report dated February 9, 2023 relating to the financial statements and the effectiveness of internal control over financial reporting which appears in this Form 10-K.</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Los Angeles, California</w:t>
      </w:r>
    </w:p>
    <w:p>
      <w:pPr>
        <w:spacing w:after="0"/>
        <w:rPr>
          <w:sz w:val="20"/>
          <w:szCs w:val="20"/>
          <w:color w:val="auto"/>
        </w:rPr>
      </w:pPr>
      <w:r>
        <w:rPr>
          <w:rFonts w:ascii="Georgia" w:cs="Georgia" w:eastAsia="Georgia" w:hAnsi="Georgia"/>
          <w:sz w:val="18"/>
          <w:szCs w:val="18"/>
          <w:color w:val="auto"/>
        </w:rPr>
        <w:t>February 9, 2023</w:t>
      </w:r>
    </w:p>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Randall, certify that:</w:t>
      </w:r>
    </w:p>
    <w:p>
      <w:pPr>
        <w:spacing w:after="0" w:line="144" w:lineRule="exact"/>
        <w:rPr>
          <w:sz w:val="20"/>
          <w:szCs w:val="20"/>
          <w:color w:val="auto"/>
        </w:rPr>
      </w:pPr>
    </w:p>
    <w:p>
      <w:pPr>
        <w:ind w:left="1100" w:hanging="1074"/>
        <w:spacing w:after="0"/>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AppFolio, Inc.;</w:t>
      </w:r>
    </w:p>
    <w:p>
      <w:pPr>
        <w:spacing w:after="0" w:line="130" w:lineRule="exact"/>
        <w:rPr>
          <w:rFonts w:ascii="Times New Roman" w:cs="Times New Roman" w:eastAsia="Times New Roman" w:hAnsi="Times New Roman"/>
          <w:sz w:val="18"/>
          <w:szCs w:val="18"/>
          <w:color w:val="auto"/>
        </w:rPr>
      </w:pPr>
    </w:p>
    <w:p>
      <w:pPr>
        <w:jc w:val="both"/>
        <w:ind w:left="1100" w:right="20" w:hanging="1074"/>
        <w:spacing w:after="0" w:line="231" w:lineRule="auto"/>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37" w:lineRule="auto"/>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1100" w:right="20" w:hanging="1074"/>
        <w:spacing w:after="0" w:line="226" w:lineRule="auto"/>
        <w:tabs>
          <w:tab w:leader="none" w:pos="11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31" w:lineRule="auto"/>
        <w:tabs>
          <w:tab w:leader="none" w:pos="228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2280" w:right="420" w:hanging="519"/>
        <w:spacing w:after="0" w:line="231" w:lineRule="auto"/>
        <w:tabs>
          <w:tab w:leader="none" w:pos="228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26" w:lineRule="auto"/>
        <w:tabs>
          <w:tab w:leader="none" w:pos="228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2280" w:right="40" w:hanging="519"/>
        <w:spacing w:after="0" w:line="231" w:lineRule="auto"/>
        <w:tabs>
          <w:tab w:leader="none" w:pos="228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63" w:lineRule="auto"/>
        <w:tabs>
          <w:tab w:leader="none" w:pos="11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7"/>
          <w:szCs w:val="17"/>
          <w:color w:val="auto"/>
        </w:rPr>
      </w:pPr>
    </w:p>
    <w:p>
      <w:pPr>
        <w:jc w:val="both"/>
        <w:ind w:left="2260" w:right="20" w:hanging="520"/>
        <w:spacing w:after="0" w:line="226" w:lineRule="auto"/>
        <w:tabs>
          <w:tab w:leader="none" w:pos="22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2260" w:right="20" w:hanging="520"/>
        <w:spacing w:after="0" w:line="250" w:lineRule="auto"/>
        <w:tabs>
          <w:tab w:leader="none" w:pos="22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700" w:val="left"/>
          <w:tab w:leader="none" w:pos="5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9, 2023</w:t>
      </w:r>
      <w:r>
        <w:rPr>
          <w:sz w:val="20"/>
          <w:szCs w:val="20"/>
          <w:color w:val="auto"/>
        </w:rPr>
        <w:tab/>
      </w:r>
      <w:r>
        <w:rPr>
          <w:rFonts w:ascii="Times New Roman" w:cs="Times New Roman" w:eastAsia="Times New Roman" w:hAnsi="Times New Roman"/>
          <w:sz w:val="17"/>
          <w:szCs w:val="17"/>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775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Jason Randall</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1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Fay Sien Goon, certify that:</w:t>
      </w:r>
    </w:p>
    <w:p>
      <w:pPr>
        <w:spacing w:after="0" w:line="144" w:lineRule="exact"/>
        <w:rPr>
          <w:sz w:val="20"/>
          <w:szCs w:val="20"/>
          <w:color w:val="auto"/>
        </w:rPr>
      </w:pPr>
    </w:p>
    <w:p>
      <w:pPr>
        <w:ind w:left="1120" w:hanging="1094"/>
        <w:spacing w:after="0"/>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AppFolio, Inc.;</w:t>
      </w:r>
    </w:p>
    <w:p>
      <w:pPr>
        <w:spacing w:after="0" w:line="130" w:lineRule="exact"/>
        <w:rPr>
          <w:rFonts w:ascii="Times New Roman" w:cs="Times New Roman" w:eastAsia="Times New Roman" w:hAnsi="Times New Roman"/>
          <w:sz w:val="18"/>
          <w:szCs w:val="18"/>
          <w:color w:val="auto"/>
        </w:rPr>
      </w:pPr>
    </w:p>
    <w:p>
      <w:pPr>
        <w:jc w:val="both"/>
        <w:ind w:left="1100" w:right="20" w:hanging="1074"/>
        <w:spacing w:after="0" w:line="231"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37"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1100" w:right="20" w:hanging="1074"/>
        <w:spacing w:after="0" w:line="226" w:lineRule="auto"/>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92" w:lineRule="exact"/>
        <w:rPr>
          <w:rFonts w:ascii="Times New Roman" w:cs="Times New Roman" w:eastAsia="Times New Roman" w:hAnsi="Times New Roman"/>
          <w:sz w:val="18"/>
          <w:szCs w:val="18"/>
          <w:color w:val="auto"/>
        </w:rPr>
      </w:pPr>
    </w:p>
    <w:p>
      <w:pPr>
        <w:jc w:val="both"/>
        <w:ind w:left="2300" w:right="20" w:hanging="560"/>
        <w:spacing w:after="0" w:line="231" w:lineRule="auto"/>
        <w:tabs>
          <w:tab w:leader="none" w:pos="2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2300" w:right="420" w:hanging="573"/>
        <w:spacing w:after="0" w:line="247" w:lineRule="auto"/>
        <w:tabs>
          <w:tab w:leader="none" w:pos="230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7"/>
          <w:szCs w:val="17"/>
          <w:color w:val="auto"/>
        </w:rPr>
      </w:pPr>
    </w:p>
    <w:p>
      <w:pPr>
        <w:jc w:val="both"/>
        <w:ind w:left="2300" w:right="20" w:hanging="560"/>
        <w:spacing w:after="0" w:line="226" w:lineRule="auto"/>
        <w:tabs>
          <w:tab w:leader="none" w:pos="2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jc w:val="both"/>
        <w:ind w:left="2300" w:right="20" w:hanging="560"/>
        <w:spacing w:after="0" w:line="231" w:lineRule="auto"/>
        <w:tabs>
          <w:tab w:leader="none" w:pos="230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1100" w:right="20" w:hanging="1074"/>
        <w:spacing w:after="0" w:line="263" w:lineRule="auto"/>
        <w:tabs>
          <w:tab w:leader="none" w:pos="11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7"/>
          <w:szCs w:val="17"/>
          <w:color w:val="auto"/>
        </w:rPr>
      </w:pPr>
    </w:p>
    <w:p>
      <w:pPr>
        <w:jc w:val="both"/>
        <w:ind w:left="2400" w:right="20" w:hanging="646"/>
        <w:spacing w:after="0" w:line="226" w:lineRule="auto"/>
        <w:tabs>
          <w:tab w:leader="none" w:pos="240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sz w:val="20"/>
          <w:szCs w:val="20"/>
          <w:color w:val="auto"/>
        </w:rPr>
      </w:pPr>
    </w:p>
    <w:p>
      <w:pPr>
        <w:ind w:left="2400" w:right="20" w:hanging="646"/>
        <w:spacing w:after="0" w:line="250" w:lineRule="auto"/>
        <w:tabs>
          <w:tab w:leader="none" w:pos="24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20"/>
        <w:spacing w:after="0"/>
        <w:tabs>
          <w:tab w:leader="none" w:pos="720" w:val="left"/>
          <w:tab w:leader="none" w:pos="5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9, 2023</w:t>
      </w:r>
      <w:r>
        <w:rPr>
          <w:sz w:val="20"/>
          <w:szCs w:val="20"/>
          <w:color w:val="auto"/>
        </w:rPr>
        <w:tab/>
      </w:r>
      <w:r>
        <w:rPr>
          <w:rFonts w:ascii="Times New Roman" w:cs="Times New Roman" w:eastAsia="Times New Roman" w:hAnsi="Times New Roman"/>
          <w:sz w:val="18"/>
          <w:szCs w:val="18"/>
          <w:color w:val="auto"/>
        </w:rPr>
        <w:t>/s/ Fay Sien Goon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858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Fay Sien Goon</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413" w:right="339" w:bottom="1440" w:gutter="0" w:footer="0" w:header="0"/>
        </w:sectPr>
      </w:pPr>
    </w:p>
    <w:bookmarkStart w:id="100" w:name="page101"/>
    <w:bookmarkEnd w:id="100"/>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certifications are hereby made in connection with the Annual Report on Form 10-K of AppFolio, Inc. (the “Company”) for the period ended December 31, 2022, as filed with the Securities and Exchange Commission on the date hereof (the “Report”):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February 9, 2023</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Randall</w:t>
            </w:r>
          </w:p>
        </w:tc>
      </w:tr>
      <w:tr>
        <w:trPr>
          <w:trHeight w:val="218"/>
        </w:trPr>
        <w:tc>
          <w:tcPr>
            <w:tcW w:w="6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Randall</w:t>
            </w:r>
          </w:p>
        </w:tc>
      </w:tr>
      <w:tr>
        <w:trPr>
          <w:trHeight w:val="234"/>
        </w:trPr>
        <w:tc>
          <w:tcPr>
            <w:tcW w:w="6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February 9, 2023</w:t>
            </w:r>
          </w:p>
        </w:tc>
        <w:tc>
          <w:tcPr>
            <w:tcW w:w="21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Fay Sien Goon</w:t>
            </w:r>
          </w:p>
        </w:tc>
      </w:tr>
      <w:tr>
        <w:trPr>
          <w:trHeight w:val="218"/>
        </w:trPr>
        <w:tc>
          <w:tcPr>
            <w:tcW w:w="6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Fay Sien Goon</w:t>
            </w:r>
          </w:p>
        </w:tc>
      </w:tr>
      <w:tr>
        <w:trPr>
          <w:trHeight w:val="234"/>
        </w:trPr>
        <w:tc>
          <w:tcPr>
            <w:tcW w:w="6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1."/>
      <w:numFmt w:val="decimal"/>
      <w:start w:val="3"/>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decimal"/>
      <w:start w:val="104"/>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14">
    <w:nsid w:val="153EA438"/>
    <w:multiLevelType w:val="hybridMultilevel"/>
    <w:lvl w:ilvl="0">
      <w:lvlJc w:val="left"/>
      <w:lvlText w:val="%1."/>
      <w:numFmt w:val="decimal"/>
      <w:start w:val="1"/>
    </w:lvl>
    <w:lvl w:ilvl="1">
      <w:lvlJc w:val="left"/>
      <w:lvlText w:val="(%2)"/>
      <w:numFmt w:val="lowerLetter"/>
      <w:start w:val="1"/>
    </w:lvl>
  </w:abstractNum>
  <w:abstractNum w:abstractNumId="15">
    <w:nsid w:val="3855585C"/>
    <w:multiLevelType w:val="hybridMultilevel"/>
    <w:lvl w:ilvl="0">
      <w:lvlJc w:val="left"/>
      <w:lvlText w:val="(%1)"/>
      <w:numFmt w:val="lowerLetter"/>
      <w:start w:val="3"/>
    </w:lvl>
    <w:lvl w:ilvl="1">
      <w:lvlJc w:val="left"/>
      <w:lvlText w:val="(%2)"/>
      <w:numFmt w:val="lowerRoman"/>
      <w:start w:val="1"/>
    </w:lvl>
  </w:abstractNum>
  <w:abstractNum w:abstractNumId="16">
    <w:nsid w:val="70A64E2A"/>
    <w:multiLevelType w:val="hybridMultilevel"/>
    <w:lvl w:ilvl="0">
      <w:lvlJc w:val="left"/>
      <w:lvlText w:val="(%1)"/>
      <w:numFmt w:val="lowerLetter"/>
      <w:start w:val="7"/>
    </w:lvl>
  </w:abstractNum>
  <w:abstractNum w:abstractNumId="17">
    <w:nsid w:val="6A2342EC"/>
    <w:multiLevelType w:val="hybridMultilevel"/>
    <w:lvl w:ilvl="0">
      <w:lvlJc w:val="left"/>
      <w:lvlText w:val="(%1)"/>
      <w:numFmt w:val="lowerLetter"/>
      <w:start w:val="9"/>
    </w:lvl>
  </w:abstractNum>
  <w:abstractNum w:abstractNumId="18">
    <w:nsid w:val="2A487CB0"/>
    <w:multiLevelType w:val="hybridMultilevel"/>
    <w:lvl w:ilvl="0">
      <w:lvlJc w:val="left"/>
      <w:lvlText w:val="%1"/>
      <w:numFmt w:val="decimal"/>
      <w:start w:val="1"/>
    </w:lvl>
    <w:lvl w:ilvl="1">
      <w:lvlJc w:val="left"/>
      <w:lvlText w:val="(%2)"/>
      <w:numFmt w:val="lowerLetter"/>
      <w:start w:val="19"/>
    </w:lvl>
  </w:abstractNum>
  <w:abstractNum w:abstractNumId="19">
    <w:nsid w:val="1D4ED43B"/>
    <w:multiLevelType w:val="hybridMultilevel"/>
    <w:lvl w:ilvl="0">
      <w:lvlJc w:val="left"/>
      <w:lvlText w:val="%1."/>
      <w:numFmt w:val="decimal"/>
      <w:start w:val="3"/>
    </w:lvl>
    <w:lvl w:ilvl="1">
      <w:lvlJc w:val="left"/>
      <w:lvlText w:val="%2"/>
      <w:numFmt w:val="lowerLetter"/>
      <w:start w:val="1"/>
    </w:lvl>
  </w:abstractNum>
  <w:abstractNum w:abstractNumId="20">
    <w:nsid w:val="725A06FB"/>
    <w:multiLevelType w:val="hybridMultilevel"/>
    <w:lvl w:ilvl="0">
      <w:lvlJc w:val="left"/>
      <w:lvlText w:val="%1."/>
      <w:numFmt w:val="decimal"/>
      <w:start w:val="5"/>
    </w:lvl>
    <w:lvl w:ilvl="1">
      <w:lvlJc w:val="left"/>
      <w:lvlText w:val="(%2)"/>
      <w:numFmt w:val="lowerLetter"/>
      <w:start w:val="1"/>
    </w:lvl>
  </w:abstractNum>
  <w:abstractNum w:abstractNumId="21">
    <w:nsid w:val="2CD89A32"/>
    <w:multiLevelType w:val="hybridMultilevel"/>
    <w:lvl w:ilvl="0">
      <w:lvlJc w:val="left"/>
      <w:lvlText w:val="%1."/>
      <w:numFmt w:val="decimal"/>
      <w:start w:val="9"/>
    </w:lvl>
  </w:abstractNum>
  <w:abstractNum w:abstractNumId="22">
    <w:nsid w:val="57E4CCA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3">
    <w:nsid w:val="7A6D8D3C"/>
    <w:multiLevelType w:val="hybridMultilevel"/>
    <w:lvl w:ilvl="0">
      <w:lvlJc w:val="left"/>
      <w:lvlText w:val="(%1)"/>
      <w:numFmt w:val="lowerLetter"/>
      <w:start w:val="3"/>
    </w:lvl>
  </w:abstractNum>
  <w:abstractNum w:abstractNumId="24">
    <w:nsid w:val="4B588F54"/>
    <w:multiLevelType w:val="hybridMultilevel"/>
    <w:lvl w:ilvl="0">
      <w:lvlJc w:val="left"/>
      <w:lvlText w:val="(%1)"/>
      <w:numFmt w:val="lowerLetter"/>
      <w:start w:val="4"/>
    </w:lvl>
    <w:lvl w:ilvl="1">
      <w:lvlJc w:val="left"/>
      <w:lvlText w:val="(%2)"/>
      <w:numFmt w:val="lowerRoman"/>
      <w:start w:val="1"/>
    </w:lvl>
  </w:abstractNum>
  <w:abstractNum w:abstractNumId="25">
    <w:nsid w:val="542289EC"/>
    <w:multiLevelType w:val="hybridMultilevel"/>
    <w:lvl w:ilvl="0">
      <w:lvlJc w:val="left"/>
      <w:lvlText w:val="(%1)"/>
      <w:numFmt w:val="lowerLetter"/>
      <w:start w:val="5"/>
    </w:lvl>
  </w:abstractNum>
  <w:abstractNum w:abstractNumId="26">
    <w:nsid w:val="6DE91B18"/>
    <w:multiLevelType w:val="hybridMultilevel"/>
    <w:lvl w:ilvl="0">
      <w:lvlJc w:val="left"/>
      <w:lvlText w:val="(%1)"/>
      <w:numFmt w:val="lowerLetter"/>
      <w:start w:val="6"/>
    </w:lvl>
    <w:lvl w:ilvl="1">
      <w:lvlJc w:val="left"/>
      <w:lvlText w:val="(%2)"/>
      <w:numFmt w:val="lowerRoman"/>
      <w:start w:val="1"/>
    </w:lvl>
  </w:abstractNum>
  <w:abstractNum w:abstractNumId="27">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8">
    <w:nsid w:val="7644A45C"/>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9">
    <w:nsid w:val="32FFF902"/>
    <w:multiLevelType w:val="hybridMultilevel"/>
    <w:lvl w:ilvl="0">
      <w:lvlJc w:val="left"/>
      <w:lvlText w:val="%1."/>
      <w:numFmt w:val="decimal"/>
      <w:start w:val="13"/>
    </w:lvl>
  </w:abstractNum>
  <w:abstractNum w:abstractNumId="30">
    <w:nsid w:val="684A481A"/>
    <w:multiLevelType w:val="hybridMultilevel"/>
    <w:lvl w:ilvl="0">
      <w:lvlJc w:val="left"/>
      <w:lvlText w:val="%1."/>
      <w:numFmt w:val="decimal"/>
      <w:start w:val="17"/>
    </w:lvl>
    <w:lvl w:ilvl="1">
      <w:lvlJc w:val="left"/>
      <w:lvlText w:val="(%2)"/>
      <w:numFmt w:val="lowerLetter"/>
      <w:start w:val="1"/>
    </w:lvl>
  </w:abstractNum>
  <w:abstractNum w:abstractNumId="31">
    <w:nsid w:val="579478FE"/>
    <w:multiLevelType w:val="hybridMultilevel"/>
    <w:lvl w:ilvl="0">
      <w:lvlJc w:val="left"/>
      <w:lvlText w:val="%1"/>
      <w:numFmt w:val="decimal"/>
      <w:start w:val="1"/>
    </w:lvl>
    <w:lvl w:ilvl="1">
      <w:lvlJc w:val="left"/>
      <w:lvlText w:val="(%2)"/>
      <w:numFmt w:val="lowerLetter"/>
      <w:start w:val="3"/>
    </w:lvl>
  </w:abstractNum>
  <w:abstractNum w:abstractNumId="32">
    <w:nsid w:val="749ABB43"/>
    <w:multiLevelType w:val="hybridMultilevel"/>
    <w:lvl w:ilvl="0">
      <w:lvlJc w:val="left"/>
      <w:lvlText w:val="%1."/>
      <w:numFmt w:val="decimal"/>
      <w:start w:val="21"/>
    </w:lvl>
    <w:lvl w:ilvl="1">
      <w:lvlJc w:val="left"/>
      <w:lvlText w:val="(%2)"/>
      <w:numFmt w:val="lowerLetter"/>
      <w:start w:val="1"/>
    </w:lvl>
  </w:abstractNum>
  <w:abstractNum w:abstractNumId="33">
    <w:nsid w:val="3DC240FB"/>
    <w:multiLevelType w:val="hybridMultilevel"/>
    <w:lvl w:ilvl="0">
      <w:lvlJc w:val="left"/>
      <w:lvlText w:val="%1."/>
      <w:numFmt w:val="decimal"/>
      <w:start w:val="23"/>
    </w:lvl>
  </w:abstractNum>
  <w:abstractNum w:abstractNumId="34">
    <w:nsid w:val="1BA026FA"/>
    <w:multiLevelType w:val="hybridMultilevel"/>
    <w:lvl w:ilvl="0">
      <w:lvlJc w:val="left"/>
      <w:lvlText w:val="%1."/>
      <w:numFmt w:val="decimal"/>
      <w:start w:val="1"/>
    </w:lvl>
  </w:abstractNum>
  <w:abstractNum w:abstractNumId="35">
    <w:nsid w:val="79A1DEAA"/>
    <w:multiLevelType w:val="hybridMultilevel"/>
    <w:lvl w:ilvl="0">
      <w:lvlJc w:val="left"/>
      <w:lvlText w:val="(%1)"/>
      <w:numFmt w:val="lowerLetter"/>
      <w:start w:val="1"/>
    </w:lvl>
  </w:abstractNum>
  <w:abstractNum w:abstractNumId="36">
    <w:nsid w:val="75C6C33A"/>
    <w:multiLevelType w:val="hybridMultilevel"/>
    <w:lvl w:ilvl="0">
      <w:lvlJc w:val="left"/>
      <w:lvlText w:val="%1."/>
      <w:numFmt w:val="decimal"/>
      <w:start w:val="3"/>
    </w:lvl>
  </w:abstractNum>
  <w:abstractNum w:abstractNumId="37">
    <w:nsid w:val="12E685FB"/>
    <w:multiLevelType w:val="hybridMultilevel"/>
    <w:lvl w:ilvl="0">
      <w:lvlJc w:val="left"/>
      <w:lvlText w:val="(%1)"/>
      <w:numFmt w:val="lowerLetter"/>
      <w:start w:val="1"/>
    </w:lvl>
  </w:abstractNum>
  <w:abstractNum w:abstractNumId="38">
    <w:nsid w:val="70C6A529"/>
    <w:multiLevelType w:val="hybridMultilevel"/>
    <w:lvl w:ilvl="0">
      <w:lvlJc w:val="left"/>
      <w:lvlText w:val="%1."/>
      <w:numFmt w:val="decimal"/>
      <w:start w:val="6"/>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1."/>
      <w:numFmt w:val="decimal"/>
      <w:start w:val="7"/>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decimal"/>
      <w:start w:val="8"/>
    </w:lvl>
  </w:abstractNum>
  <w:abstractNum w:abstractNumId="43">
    <w:nsid w:val="649BB77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4">
    <w:nsid w:val="275AC794"/>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45">
    <w:nsid w:val="39386575"/>
    <w:multiLevelType w:val="hybridMultilevel"/>
    <w:lvl w:ilvl="0">
      <w:lvlJc w:val="left"/>
      <w:lvlText w:val="(%1)"/>
      <w:numFmt w:val="lowerLetter"/>
      <w:start w:val="6"/>
    </w:lvl>
  </w:abstractNum>
  <w:abstractNum w:abstractNumId="46">
    <w:nsid w:val="1CF10FD8"/>
    <w:multiLevelType w:val="hybridMultilevel"/>
    <w:lvl w:ilvl="0">
      <w:lvlJc w:val="left"/>
      <w:lvlText w:val="%1."/>
      <w:numFmt w:val="decimal"/>
      <w:start w:val="9"/>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decimal"/>
      <w:start w:val="1"/>
    </w:lvl>
    <w:lvl w:ilvl="1">
      <w:lvlJc w:val="left"/>
      <w:lvlText w:val="(%2)"/>
      <w:numFmt w:val="lowerLetter"/>
      <w:start w:val="3"/>
    </w:lvl>
  </w:abstractNum>
  <w:abstractNum w:abstractNumId="49">
    <w:nsid w:val="47398C89"/>
    <w:multiLevelType w:val="hybridMultilevel"/>
    <w:lvl w:ilvl="0">
      <w:lvlJc w:val="left"/>
      <w:lvlText w:val="(%1)"/>
      <w:numFmt w:val="decimal"/>
      <w:start w:val="30"/>
    </w:lvl>
    <w:lvl w:ilvl="1">
      <w:lvlJc w:val="left"/>
      <w:lvlText w:val="(%2)"/>
      <w:numFmt w:val="lowerLetter"/>
      <w:start w:val="7"/>
    </w:lvl>
  </w:abstractNum>
  <w:abstractNum w:abstractNumId="50">
    <w:nsid w:val="354FE9F9"/>
    <w:multiLevelType w:val="hybridMultilevel"/>
    <w:lvl w:ilvl="0">
      <w:lvlJc w:val="left"/>
      <w:lvlText w:val="%1."/>
      <w:numFmt w:val="decimal"/>
      <w:start w:val="12"/>
    </w:lvl>
  </w:abstractNum>
  <w:abstractNum w:abstractNumId="51">
    <w:nsid w:val="15B5AF5C"/>
    <w:multiLevelType w:val="hybridMultilevel"/>
    <w:lvl w:ilvl="0">
      <w:lvlJc w:val="left"/>
      <w:lvlText w:val="%1."/>
      <w:numFmt w:val="decimal"/>
      <w:start w:val="14"/>
    </w:lvl>
  </w:abstractNum>
  <w:abstractNum w:abstractNumId="52">
    <w:nsid w:val="741226BB"/>
    <w:multiLevelType w:val="hybridMultilevel"/>
    <w:lvl w:ilvl="0">
      <w:lvlJc w:val="left"/>
      <w:lvlText w:val="%1."/>
      <w:numFmt w:val="decimal"/>
      <w:start w:val="20"/>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Roman"/>
      <w:start w:val="1"/>
    </w:lvl>
  </w:abstractNum>
  <w:abstractNum w:abstractNumId="55">
    <w:nsid w:val="3F6AB60F"/>
    <w:multiLevelType w:val="hybridMultilevel"/>
    <w:lvl w:ilvl="0">
      <w:lvlJc w:val="left"/>
      <w:lvlText w:val="(%1)"/>
      <w:numFmt w:val="lowerRoman"/>
      <w:start w:val="1"/>
    </w:lvl>
  </w:abstractNum>
  <w:abstractNum w:abstractNumId="56">
    <w:nsid w:val="61574095"/>
    <w:multiLevelType w:val="hybridMultilevel"/>
    <w:lvl w:ilvl="0">
      <w:lvlJc w:val="left"/>
      <w:lvlText w:val="(%1)"/>
      <w:numFmt w:val="lowerRoman"/>
      <w:start w:val="3"/>
    </w:lvl>
  </w:abstractNum>
  <w:abstractNum w:abstractNumId="57">
    <w:nsid w:val="7E0C57B1"/>
    <w:multiLevelType w:val="hybridMultilevel"/>
    <w:lvl w:ilvl="0">
      <w:lvlJc w:val="left"/>
      <w:lvlText w:val="%1."/>
      <w:numFmt w:val="decimal"/>
      <w:start w:val="1"/>
    </w:lvl>
  </w:abstractNum>
  <w:abstractNum w:abstractNumId="58">
    <w:nsid w:val="77AE35EB"/>
    <w:multiLevelType w:val="hybridMultilevel"/>
    <w:lvl w:ilvl="0">
      <w:lvlJc w:val="left"/>
      <w:lvlText w:val="%1."/>
      <w:numFmt w:val="decimal"/>
      <w:start w:val="3"/>
    </w:lvl>
  </w:abstractNum>
  <w:abstractNum w:abstractNumId="59">
    <w:nsid w:val="579BE4F1"/>
    <w:multiLevelType w:val="hybridMultilevel"/>
    <w:lvl w:ilvl="0">
      <w:lvlJc w:val="left"/>
      <w:lvlText w:val="%1."/>
      <w:numFmt w:val="decimal"/>
      <w:start w:val="4"/>
    </w:lvl>
  </w:abstractNum>
  <w:abstractNum w:abstractNumId="60">
    <w:nsid w:val="310C50B3"/>
    <w:multiLevelType w:val="hybridMultilevel"/>
    <w:lvl w:ilvl="0">
      <w:lvlJc w:val="left"/>
      <w:lvlText w:val="%1."/>
      <w:numFmt w:val="decimal"/>
      <w:start w:val="8"/>
    </w:lvl>
  </w:abstractNum>
  <w:abstractNum w:abstractNumId="61">
    <w:nsid w:val="5FF87E05"/>
    <w:multiLevelType w:val="hybridMultilevel"/>
    <w:lvl w:ilvl="0">
      <w:lvlJc w:val="left"/>
      <w:lvlText w:val="%1."/>
      <w:numFmt w:val="decimal"/>
      <w:start w:val="1"/>
    </w:lvl>
  </w:abstractNum>
  <w:abstractNum w:abstractNumId="62">
    <w:nsid w:val="2F305DEF"/>
    <w:multiLevelType w:val="hybridMultilevel"/>
    <w:lvl w:ilvl="0">
      <w:lvlJc w:val="left"/>
      <w:lvlText w:val="%1."/>
      <w:numFmt w:val="decimal"/>
      <w:start w:val="4"/>
    </w:lvl>
  </w:abstractNum>
  <w:abstractNum w:abstractNumId="63">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5">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6">
    <w:nsid w:val="1F48EAA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78" Type="http://schemas.openxmlformats.org/officeDocument/2006/relationships/hyperlink" Target="http://www.sec.gov/Archives/edgar/data/1433195/000143319515000003/exhibit3163015.htm" TargetMode="External"/><Relationship Id="rId79" Type="http://schemas.openxmlformats.org/officeDocument/2006/relationships/hyperlink" Target="https://www.sec.gov/Archives/edgar/data/1433195/000143319520000061/a63020exhibit31.htm" TargetMode="External"/><Relationship Id="rId80" Type="http://schemas.openxmlformats.org/officeDocument/2006/relationships/hyperlink" Target="http://www.sec.gov/Archives/edgar/data/1433195/000119312515213095/d907976dex41.htm" TargetMode="External"/><Relationship Id="rId81" Type="http://schemas.openxmlformats.org/officeDocument/2006/relationships/hyperlink" Target="http://www.sec.gov/Archives/edgar/data/1433195/000119312515213095/d907976dex42.htm" TargetMode="External"/><Relationship Id="rId82" Type="http://schemas.openxmlformats.org/officeDocument/2006/relationships/hyperlink" Target="https://www.sec.gov/Archives/edgar/data/1433195/000143319520000019/a123119exhibit43.htm" TargetMode="External"/><Relationship Id="rId83" Type="http://schemas.openxmlformats.org/officeDocument/2006/relationships/hyperlink" Target="https://www.sec.gov/Archives/edgar/data/1433195/000143319519000085/exhibit10150castilianl.htm" TargetMode="External"/><Relationship Id="rId84" Type="http://schemas.openxmlformats.org/officeDocument/2006/relationships/hyperlink" Target="https://www.sec.gov/Archives/edgar/data/1433195/000143319519000085/exhibit10270castilianl.htm" TargetMode="External"/><Relationship Id="rId85" Type="http://schemas.openxmlformats.org/officeDocument/2006/relationships/hyperlink" Target="https://www.sec.gov/Archives/edgar/data/1433195/000143319519000085/exhibit10390castilianl.htm" TargetMode="External"/><Relationship Id="rId86" Type="http://schemas.openxmlformats.org/officeDocument/2006/relationships/hyperlink" Target="https://www.sec.gov/Archives/edgar/data/1433195/000143319522000023/a123121ex104-50castilianfi.htm" TargetMode="External"/><Relationship Id="rId87" Type="http://schemas.openxmlformats.org/officeDocument/2006/relationships/hyperlink" Target="https://www.sec.gov/Archives/edgar/data/1433195/000143319522000023/a123121ex105-70castilianfi.htm" TargetMode="External"/><Relationship Id="rId88" Type="http://schemas.openxmlformats.org/officeDocument/2006/relationships/hyperlink" Target="https://www.sec.gov/Archives/edgar/data/1433195/000143319522000023/a123121ex106-90castilianfi.htm" TargetMode="External"/><Relationship Id="rId89" Type="http://schemas.openxmlformats.org/officeDocument/2006/relationships/hyperlink" Target="https://www.sec.gov/Archives/edgar/data/1433195/000143319522000023/a123121ex107-umbrellatermi.htm" TargetMode="External"/><Relationship Id="rId90" Type="http://schemas.openxmlformats.org/officeDocument/2006/relationships/hyperlink" Target="https://www.sec.gov/Archives/edgar/data/1433195/000143319522000088/a63022ex101jasonrandallemp.htm" TargetMode="External"/><Relationship Id="rId91" Type="http://schemas.openxmlformats.org/officeDocument/2006/relationships/hyperlink" Target="http://www.sec.gov/Archives/edgar/data/1433195/000119312515213095/d907976dex103.htm" TargetMode="External"/><Relationship Id="rId92" Type="http://schemas.openxmlformats.org/officeDocument/2006/relationships/hyperlink" Target="http://www.sec.gov/Archives/edgar/data/1433195/000119312515213095/d907976dex104.htm" TargetMode="External"/><Relationship Id="rId93" Type="http://schemas.openxmlformats.org/officeDocument/2006/relationships/hyperlink" Target="http://www.sec.gov/Archives/edgar/data/1433195/000119312515213095/d907976dex105.htm" TargetMode="External"/><Relationship Id="rId94" Type="http://schemas.openxmlformats.org/officeDocument/2006/relationships/hyperlink" Target="http://www.sec.gov/Archives/edgar/data/1433195/000143319518000011/exhibit109-longxtermcashin.htm" TargetMode="External"/><Relationship Id="rId95" Type="http://schemas.openxmlformats.org/officeDocument/2006/relationships/hyperlink" Target="http://www.sec.gov/Archives/edgar/data/1433195/000143319518000011/exhibit1010-longxtermcashi.htm" TargetMode="External"/><Relationship Id="rId96" Type="http://schemas.openxmlformats.org/officeDocument/2006/relationships/hyperlink" Target="https://www.sec.gov/Archives/edgar/data/1433195/000143319521000106/a93021ex101faysiengoonempl.htm" TargetMode="External"/><Relationship Id="rId99" Type="http://schemas.openxmlformats.org/officeDocument/2006/relationships/hyperlink" Target="https://www.sec.gov/Archives/edgar/data/1433195/000143319522000023/a123121ex10162015rsugranta.htm" TargetMode="External"/><Relationship Id="rId100" Type="http://schemas.openxmlformats.org/officeDocument/2006/relationships/hyperlink" Target="https://www.sec.gov/Archives/edgar/data/1433195/000143319522000023/a123121ex10172015rsugranta.htm" TargetMode="External"/><Relationship Id="rId101" Type="http://schemas.openxmlformats.org/officeDocument/2006/relationships/hyperlink" Target="https://www.sec.gov/Archives/edgar/data/1433195/000143319522000023/a123121ex10182015appfoliop.htm" TargetMode="External"/><Relationship Id="rId102" Type="http://schemas.openxmlformats.org/officeDocument/2006/relationships/hyperlink" Target="https://www.sec.gov/Archives/edgar/data/1433195/000143319522000023/a123121ex1019nonemployeedi.htm" TargetMode="External"/><Relationship Id="rId103" Type="http://schemas.openxmlformats.org/officeDocument/2006/relationships/hyperlink" Target="https://www.sec.gov/Archives/edgar/data/1433195/000143319522000023/a123121ex10202022deferra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2023-02-09T15:20:24Z</dcterms:created>
  <dcterms:modified xsi:type="dcterms:W3CDTF">2023-02-09T15:20:24Z</dcterms:modified>
</cp:coreProperties>
</file>