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0" w:after="40"/>
        <w:jc w:val="center"/>
        <w:rPr/>
      </w:pPr>
      <w:r>
        <w:rPr>
          <w:color w:val="000000"/>
        </w:rPr>
        <w:t> </w:t>
      </w: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001-37468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AppFolio, Inc.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(Zip Code)</w:t>
            </w:r>
          </w:p>
        </w:tc>
      </w:tr>
    </w:tbl>
    <w:p>
      <w:pPr>
        <w:pStyle w:val="TextBody"/>
        <w:bidi w:val="0"/>
        <w:spacing w:lineRule="auto" w:line="288" w:before="80" w:after="180"/>
        <w:jc w:val="center"/>
        <w:rPr/>
      </w:pPr>
      <w:r>
        <w:rPr>
          <w:color w:val="000000"/>
        </w:rPr>
        <w:t> </w:t>
      </w:r>
      <w:r>
        <w:rPr>
          <w:rFonts w:ascii="Times New Roman;serif" w:hAnsi="Times New Roman;serif"/>
          <w:b/>
          <w:color w:val="000000"/>
          <w:sz w:val="18"/>
        </w:rPr>
        <w:t xml:space="preserve">(805) 364-6093 </w:t>
      </w:r>
    </w:p>
    <w:p>
      <w:pPr>
        <w:pStyle w:val="TextBody"/>
        <w:bidi w:val="0"/>
        <w:spacing w:lineRule="auto" w:line="417" w:before="180" w:after="180"/>
        <w:jc w:val="center"/>
        <w:rPr>
          <w:rFonts w:ascii="Times New Roman;serif" w:hAnsi="Times New Roman;serif"/>
          <w:b/>
          <w:i/>
          <w:color w:val="000000"/>
          <w:sz w:val="18"/>
        </w:rPr>
      </w:pPr>
      <w:r>
        <w:rPr>
          <w:rFonts w:ascii="Times New Roman;serif" w:hAnsi="Times New Roman;serif"/>
          <w:b/>
          <w:i/>
          <w:color w:val="000000"/>
          <w:sz w:val="18"/>
        </w:rPr>
        <w:t>(Registrant’s telephone number, including area code)</w:t>
      </w:r>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180" w:after="180"/>
        <w:jc w:val="center"/>
        <w:rPr>
          <w:rFonts w:ascii="Times New Roman;serif" w:hAnsi="Times New Roman;serif"/>
          <w:b/>
          <w:i/>
          <w:color w:val="000000"/>
          <w:sz w:val="18"/>
        </w:rPr>
      </w:pPr>
      <w:r>
        <w:rPr>
          <w:rFonts w:ascii="Times New Roman;serif" w:hAnsi="Times New Roman;serif"/>
          <w:b/>
          <w:i/>
          <w:color w:val="000000"/>
          <w:sz w:val="18"/>
        </w:rPr>
        <w:t>(Former name, former address and former fiscal year, if changed since last report)</w:t>
      </w:r>
    </w:p>
    <w:p>
      <w:pPr>
        <w:pStyle w:val="TextBody"/>
        <w:bidi w:val="0"/>
        <w:spacing w:lineRule="auto" w:line="288" w:before="18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00" w:after="10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July 16, 2026, the number of shares of the registrant’s Class A common stock outstanding was 24,087,367 and the number of shares of the registrant’s Class B common stock outstanding was 11,329,625.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8"/>
        <w:gridCol w:w="2872"/>
        <w:gridCol w:w="2885"/>
        <w:gridCol w:w="109"/>
        <w:gridCol w:w="109"/>
        <w:gridCol w:w="109"/>
        <w:gridCol w:w="249"/>
        <w:gridCol w:w="249"/>
        <w:gridCol w:w="35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9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0">
              <w:r>
                <w:rPr>
                  <w:rStyle w:val="InternetLink"/>
                  <w:rFonts w:ascii="Times New Roman;serif" w:hAnsi="Times New Roman;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f5cfeb28af3475f8ad76852cc0511b0_10">
              <w:r>
                <w:rPr>
                  <w:rStyle w:val="InternetLink"/>
                  <w:rFonts w:ascii="Times New Roman;serif" w:hAnsi="Times New Roman;serif"/>
                  <w:b w:val="false"/>
                  <w:color w:val="0000FF"/>
                  <w:sz w:val="20"/>
                  <w:u w:val="single"/>
                </w:rPr>
                <w:t>1</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3">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3">
              <w:r>
                <w:rPr>
                  <w:rStyle w:val="InternetLink"/>
                  <w:rFonts w:ascii="Times New Roman;serif" w:hAnsi="Times New Roman;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3">
              <w:r>
                <w:rPr>
                  <w:rStyle w:val="InternetLink"/>
                  <w:rFonts w:ascii="Times New Roman;serif" w:hAnsi="Times New Roman;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3">
              <w:r>
                <w:rPr>
                  <w:rStyle w:val="InternetLink"/>
                  <w:rFonts w:ascii="Times New Roman;serif" w:hAnsi="Times New Roman;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6">
              <w:r>
                <w:rPr>
                  <w:rStyle w:val="InternetLink"/>
                  <w:rFonts w:ascii="Times New Roman;serif" w:hAnsi="Times New Roman;serif"/>
                  <w:b w:val="false"/>
                  <w:color w:val="000080"/>
                  <w:sz w:val="20"/>
                  <w:u w:val="single"/>
                </w:rPr>
                <w:t xml:space="preserve">Condensed Consolidated Balance Sheets as of </w:t>
              </w:r>
            </w:hyperlink>
            <w:hyperlink w:anchor="iff5cfeb28af3475f8ad76852cc0511b0_16">
              <w:r>
                <w:rPr>
                  <w:rStyle w:val="InternetLink"/>
                  <w:rFonts w:ascii="Times New Roman;serif" w:hAnsi="Times New Roman;serif"/>
                  <w:b w:val="false"/>
                  <w:color w:val="000080"/>
                  <w:sz w:val="20"/>
                  <w:u w:val="single"/>
                </w:rPr>
                <w:t>June 30</w:t>
              </w:r>
            </w:hyperlink>
            <w:hyperlink w:anchor="iff5cfeb28af3475f8ad76852cc0511b0_16">
              <w:r>
                <w:rPr>
                  <w:rStyle w:val="InternetLink"/>
                  <w:rFonts w:ascii="Times New Roman;serif" w:hAnsi="Times New Roman;serif"/>
                  <w:b w:val="false"/>
                  <w:color w:val="000080"/>
                  <w:sz w:val="20"/>
                  <w:u w:val="single"/>
                </w:rPr>
                <w:t>,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6">
              <w:r>
                <w:rPr>
                  <w:rStyle w:val="InternetLink"/>
                  <w:rFonts w:ascii="Times New Roman;serif" w:hAnsi="Times New Roman;serif"/>
                  <w:b w:val="false"/>
                  <w:color w:val="0000FF"/>
                  <w:sz w:val="20"/>
                  <w:u w:val="single"/>
                </w:rPr>
                <w:t>2</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9">
              <w:r>
                <w:rPr>
                  <w:rStyle w:val="InternetLink"/>
                  <w:rFonts w:ascii="Times New Roman;serif" w:hAnsi="Times New Roman;serif"/>
                  <w:b w:val="false"/>
                  <w:color w:val="000080"/>
                  <w:sz w:val="20"/>
                  <w:u w:val="single"/>
                </w:rPr>
                <w:t xml:space="preserve">Condensed Consolidated Statements of Operations for the Three </w:t>
              </w:r>
            </w:hyperlink>
            <w:hyperlink w:anchor="iff5cfeb28af3475f8ad76852cc0511b0_19">
              <w:r>
                <w:rPr>
                  <w:rStyle w:val="InternetLink"/>
                  <w:rFonts w:ascii="Times New Roman;serif" w:hAnsi="Times New Roman;serif"/>
                  <w:b w:val="false"/>
                  <w:color w:val="000080"/>
                  <w:sz w:val="20"/>
                  <w:u w:val="single"/>
                </w:rPr>
                <w:t xml:space="preserve">and Six Months </w:t>
              </w:r>
            </w:hyperlink>
            <w:hyperlink w:anchor="iff5cfeb28af3475f8ad76852cc0511b0_19">
              <w:r>
                <w:rPr>
                  <w:rStyle w:val="InternetLink"/>
                  <w:rFonts w:ascii="Times New Roman;serif" w:hAnsi="Times New Roman;serif"/>
                  <w:b w:val="false"/>
                  <w:color w:val="000080"/>
                  <w:sz w:val="20"/>
                  <w:u w:val="single"/>
                </w:rPr>
                <w:t xml:space="preserve">Ended </w:t>
              </w:r>
            </w:hyperlink>
            <w:hyperlink w:anchor="iff5cfeb28af3475f8ad76852cc0511b0_19">
              <w:r>
                <w:rPr>
                  <w:rStyle w:val="InternetLink"/>
                  <w:rFonts w:ascii="Times New Roman;serif" w:hAnsi="Times New Roman;serif"/>
                  <w:b w:val="false"/>
                  <w:color w:val="000080"/>
                  <w:sz w:val="20"/>
                  <w:u w:val="single"/>
                </w:rPr>
                <w:t>June 30</w:t>
              </w:r>
            </w:hyperlink>
            <w:hyperlink w:anchor="iff5cfeb28af3475f8ad76852cc0511b0_19">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9">
              <w:r>
                <w:rPr>
                  <w:rStyle w:val="InternetLink"/>
                  <w:rFonts w:ascii="Times New Roman;serif" w:hAnsi="Times New Roman;serif"/>
                  <w:b w:val="false"/>
                  <w:color w:val="0000FF"/>
                  <w:sz w:val="20"/>
                  <w:u w:val="single"/>
                </w:rPr>
                <w:t>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22">
              <w:r>
                <w:rPr>
                  <w:rStyle w:val="InternetLink"/>
                  <w:rFonts w:ascii="Times New Roman;serif" w:hAnsi="Times New Roman;serif"/>
                  <w:b w:val="false"/>
                  <w:color w:val="000080"/>
                  <w:sz w:val="20"/>
                  <w:u w:val="single"/>
                </w:rPr>
                <w:t xml:space="preserve">Condensed Consolidated Statements of Comprehensive Income for the </w:t>
              </w:r>
            </w:hyperlink>
            <w:hyperlink w:anchor="iff5cfeb28af3475f8ad76852cc0511b0_19">
              <w:r>
                <w:rPr>
                  <w:rStyle w:val="InternetLink"/>
                  <w:rFonts w:ascii="Times New Roman;serif" w:hAnsi="Times New Roman;serif"/>
                  <w:b w:val="false"/>
                  <w:color w:val="000080"/>
                  <w:sz w:val="20"/>
                  <w:u w:val="single"/>
                </w:rPr>
                <w:t xml:space="preserve">Three </w:t>
              </w:r>
            </w:hyperlink>
            <w:hyperlink w:anchor="iff5cfeb28af3475f8ad76852cc0511b0_19">
              <w:r>
                <w:rPr>
                  <w:rStyle w:val="InternetLink"/>
                  <w:rFonts w:ascii="Times New Roman;serif" w:hAnsi="Times New Roman;serif"/>
                  <w:b w:val="false"/>
                  <w:color w:val="000080"/>
                  <w:sz w:val="20"/>
                  <w:u w:val="single"/>
                </w:rPr>
                <w:t>and Si</w:t>
              </w:r>
            </w:hyperlink>
            <w:hyperlink w:anchor="iff5cfeb28af3475f8ad76852cc0511b0_19">
              <w:r>
                <w:rPr>
                  <w:rStyle w:val="InternetLink"/>
                  <w:rFonts w:ascii="Times New Roman;serif" w:hAnsi="Times New Roman;serif"/>
                  <w:b w:val="false"/>
                  <w:color w:val="000080"/>
                  <w:sz w:val="20"/>
                  <w:u w:val="single"/>
                </w:rPr>
                <w:t xml:space="preserve">x Months </w:t>
              </w:r>
            </w:hyperlink>
            <w:hyperlink w:anchor="iff5cfeb28af3475f8ad76852cc0511b0_19">
              <w:r>
                <w:rPr>
                  <w:rStyle w:val="InternetLink"/>
                  <w:rFonts w:ascii="Times New Roman;serif" w:hAnsi="Times New Roman;serif"/>
                  <w:b w:val="false"/>
                  <w:color w:val="000080"/>
                  <w:sz w:val="20"/>
                  <w:u w:val="single"/>
                </w:rPr>
                <w:t xml:space="preserve">Ended </w:t>
              </w:r>
            </w:hyperlink>
            <w:hyperlink w:anchor="iff5cfeb28af3475f8ad76852cc0511b0_19">
              <w:r>
                <w:rPr>
                  <w:rStyle w:val="InternetLink"/>
                  <w:rFonts w:ascii="Times New Roman;serif" w:hAnsi="Times New Roman;serif"/>
                  <w:b w:val="false"/>
                  <w:color w:val="000080"/>
                  <w:sz w:val="20"/>
                  <w:u w:val="single"/>
                </w:rPr>
                <w:t>June</w:t>
              </w:r>
            </w:hyperlink>
            <w:hyperlink w:anchor="iff5cfeb28af3475f8ad76852cc0511b0_19">
              <w:r>
                <w:rPr>
                  <w:rStyle w:val="InternetLink"/>
                  <w:rFonts w:ascii="Times New Roman;serif" w:hAnsi="Times New Roman;serif"/>
                  <w:b w:val="false"/>
                  <w:color w:val="000080"/>
                  <w:sz w:val="20"/>
                  <w:u w:val="single"/>
                </w:rPr>
                <w:t xml:space="preserve"> </w:t>
              </w:r>
            </w:hyperlink>
            <w:hyperlink w:anchor="iff5cfeb28af3475f8ad76852cc0511b0_19">
              <w:r>
                <w:rPr>
                  <w:rStyle w:val="InternetLink"/>
                  <w:rFonts w:ascii="Times New Roman;serif" w:hAnsi="Times New Roman;serif"/>
                  <w:b w:val="false"/>
                  <w:color w:val="000080"/>
                  <w:sz w:val="20"/>
                  <w:u w:val="single"/>
                </w:rPr>
                <w:t>30</w:t>
              </w:r>
            </w:hyperlink>
            <w:hyperlink w:anchor="iff5cfeb28af3475f8ad76852cc0511b0_19">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22">
              <w:r>
                <w:rPr>
                  <w:rStyle w:val="InternetLink"/>
                  <w:rFonts w:ascii="Times New Roman;serif" w:hAnsi="Times New Roman;serif"/>
                  <w:b w:val="false"/>
                  <w:color w:val="0000FF"/>
                  <w:sz w:val="20"/>
                  <w:u w:val="single"/>
                </w:rPr>
                <w:t>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ff5cfeb28af3475f8ad76852cc0511b0_25">
              <w:r>
                <w:rPr>
                  <w:rStyle w:val="InternetLink"/>
                  <w:rFonts w:ascii="Times New Roman;serif" w:hAnsi="Times New Roman;serif"/>
                  <w:b w:val="false"/>
                  <w:color w:val="000080"/>
                  <w:sz w:val="20"/>
                  <w:u w:val="single"/>
                </w:rPr>
                <w:t xml:space="preserve">Three and </w:t>
              </w:r>
            </w:hyperlink>
            <w:hyperlink w:anchor="iff5cfeb28af3475f8ad76852cc0511b0_25">
              <w:r>
                <w:rPr>
                  <w:rStyle w:val="InternetLink"/>
                  <w:rFonts w:ascii="Times New Roman;serif" w:hAnsi="Times New Roman;serif"/>
                  <w:b w:val="false"/>
                  <w:color w:val="000080"/>
                  <w:sz w:val="20"/>
                  <w:u w:val="single"/>
                </w:rPr>
                <w:t>Six</w:t>
              </w:r>
            </w:hyperlink>
            <w:hyperlink w:anchor="iff5cfeb28af3475f8ad76852cc0511b0_25">
              <w:r>
                <w:rPr>
                  <w:rStyle w:val="InternetLink"/>
                  <w:rFonts w:ascii="Times New Roman;serif" w:hAnsi="Times New Roman;serif"/>
                  <w:b w:val="false"/>
                  <w:color w:val="000080"/>
                  <w:sz w:val="20"/>
                  <w:u w:val="single"/>
                </w:rPr>
                <w:t xml:space="preserve"> Months Ended </w:t>
              </w:r>
            </w:hyperlink>
            <w:hyperlink w:anchor="iff5cfeb28af3475f8ad76852cc0511b0_25">
              <w:r>
                <w:rPr>
                  <w:rStyle w:val="InternetLink"/>
                  <w:rFonts w:ascii="Times New Roman;serif" w:hAnsi="Times New Roman;serif"/>
                  <w:b w:val="false"/>
                  <w:color w:val="000080"/>
                  <w:sz w:val="20"/>
                  <w:u w:val="single"/>
                </w:rPr>
                <w:t>June</w:t>
              </w:r>
            </w:hyperlink>
            <w:hyperlink w:anchor="iff5cfeb28af3475f8ad76852cc0511b0_25">
              <w:r>
                <w:rPr>
                  <w:rStyle w:val="InternetLink"/>
                  <w:rFonts w:ascii="Times New Roman;serif" w:hAnsi="Times New Roman;serif"/>
                  <w:b w:val="false"/>
                  <w:color w:val="000080"/>
                  <w:sz w:val="20"/>
                  <w:u w:val="single"/>
                </w:rPr>
                <w:t xml:space="preserve"> 30</w:t>
              </w:r>
            </w:hyperlink>
            <w:hyperlink w:anchor="iff5cfeb28af3475f8ad76852cc0511b0_25">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25">
              <w:r>
                <w:rPr>
                  <w:rStyle w:val="InternetLink"/>
                  <w:rFonts w:ascii="Times New Roman;serif" w:hAnsi="Times New Roman;serif"/>
                  <w:b w:val="false"/>
                  <w:color w:val="0000FF"/>
                  <w:sz w:val="20"/>
                  <w:u w:val="single"/>
                </w:rPr>
                <w:t>5</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28">
              <w:r>
                <w:rPr>
                  <w:rStyle w:val="InternetLink"/>
                  <w:rFonts w:ascii="Times New Roman;serif" w:hAnsi="Times New Roman;serif"/>
                  <w:b w:val="false"/>
                  <w:color w:val="000080"/>
                  <w:sz w:val="20"/>
                  <w:u w:val="single"/>
                </w:rPr>
                <w:t xml:space="preserve">Condensed Consolidated Statements of Cash Flows for the </w:t>
              </w:r>
            </w:hyperlink>
            <w:hyperlink w:anchor="iff5cfeb28af3475f8ad76852cc0511b0_28">
              <w:r>
                <w:rPr>
                  <w:rStyle w:val="InternetLink"/>
                  <w:rFonts w:ascii="Times New Roman;serif" w:hAnsi="Times New Roman;serif"/>
                  <w:b w:val="false"/>
                  <w:color w:val="000080"/>
                  <w:sz w:val="20"/>
                  <w:u w:val="single"/>
                </w:rPr>
                <w:t xml:space="preserve">Three and </w:t>
              </w:r>
            </w:hyperlink>
            <w:hyperlink w:anchor="iff5cfeb28af3475f8ad76852cc0511b0_28">
              <w:r>
                <w:rPr>
                  <w:rStyle w:val="InternetLink"/>
                  <w:rFonts w:ascii="Times New Roman;serif" w:hAnsi="Times New Roman;serif"/>
                  <w:b w:val="false"/>
                  <w:color w:val="000080"/>
                  <w:sz w:val="20"/>
                  <w:u w:val="single"/>
                </w:rPr>
                <w:t>Six</w:t>
              </w:r>
            </w:hyperlink>
            <w:hyperlink w:anchor="iff5cfeb28af3475f8ad76852cc0511b0_28">
              <w:r>
                <w:rPr>
                  <w:rStyle w:val="InternetLink"/>
                  <w:rFonts w:ascii="Times New Roman;serif" w:hAnsi="Times New Roman;serif"/>
                  <w:b w:val="false"/>
                  <w:color w:val="000080"/>
                  <w:sz w:val="20"/>
                  <w:u w:val="single"/>
                </w:rPr>
                <w:t xml:space="preserve"> Months Ended </w:t>
              </w:r>
            </w:hyperlink>
            <w:hyperlink w:anchor="iff5cfeb28af3475f8ad76852cc0511b0_28">
              <w:r>
                <w:rPr>
                  <w:rStyle w:val="InternetLink"/>
                  <w:rFonts w:ascii="Times New Roman;serif" w:hAnsi="Times New Roman;serif"/>
                  <w:b w:val="false"/>
                  <w:color w:val="000080"/>
                  <w:sz w:val="20"/>
                  <w:u w:val="single"/>
                </w:rPr>
                <w:t>June</w:t>
              </w:r>
            </w:hyperlink>
            <w:hyperlink w:anchor="iff5cfeb28af3475f8ad76852cc0511b0_28">
              <w:r>
                <w:rPr>
                  <w:rStyle w:val="InternetLink"/>
                  <w:rFonts w:ascii="Times New Roman;serif" w:hAnsi="Times New Roman;serif"/>
                  <w:b w:val="false"/>
                  <w:color w:val="000080"/>
                  <w:sz w:val="20"/>
                  <w:u w:val="single"/>
                </w:rPr>
                <w:t xml:space="preserve"> </w:t>
              </w:r>
            </w:hyperlink>
            <w:hyperlink w:anchor="iff5cfeb28af3475f8ad76852cc0511b0_28">
              <w:r>
                <w:rPr>
                  <w:rStyle w:val="InternetLink"/>
                  <w:rFonts w:ascii="Times New Roman;serif" w:hAnsi="Times New Roman;serif"/>
                  <w:b w:val="false"/>
                  <w:color w:val="000080"/>
                  <w:sz w:val="20"/>
                  <w:u w:val="single"/>
                </w:rPr>
                <w:t>30</w:t>
              </w:r>
            </w:hyperlink>
            <w:hyperlink w:anchor="iff5cfeb28af3475f8ad76852cc0511b0_28">
              <w:r>
                <w:rPr>
                  <w:rStyle w:val="InternetLink"/>
                  <w:rFonts w:ascii="Times New Roman;serif" w:hAnsi="Times New Roman;serif"/>
                  <w:b w:val="false"/>
                  <w:color w:val="000080"/>
                  <w:sz w:val="20"/>
                  <w:u w:val="single"/>
                </w:rPr>
                <w:t>,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28">
              <w:r>
                <w:rPr>
                  <w:rStyle w:val="InternetLink"/>
                  <w:rFonts w:ascii="Times New Roman;serif" w:hAnsi="Times New Roman;serif"/>
                  <w:b w:val="false"/>
                  <w:color w:val="0000FF"/>
                  <w:sz w:val="20"/>
                  <w:u w:val="single"/>
                </w:rPr>
                <w:t>6</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31">
              <w:r>
                <w:rPr>
                  <w:rStyle w:val="InternetLink"/>
                  <w:rFonts w:ascii="Times New Roman;serif" w:hAnsi="Times New Roman;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31">
              <w:r>
                <w:rPr>
                  <w:rStyle w:val="InternetLink"/>
                  <w:rFonts w:ascii="Times New Roman;serif" w:hAnsi="Times New Roman;serif"/>
                  <w:b w:val="false"/>
                  <w:color w:val="0000FF"/>
                  <w:sz w:val="20"/>
                  <w:u w:val="single"/>
                </w:rPr>
                <w:t>7</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70">
              <w:r>
                <w:rPr>
                  <w:rStyle w:val="InternetLink"/>
                  <w:rFonts w:ascii="Times New Roman;serif" w:hAnsi="Times New Roman;serif"/>
                  <w:b w:val="false"/>
                  <w:color w:val="0000FF"/>
                  <w:sz w:val="20"/>
                  <w:u w:val="single"/>
                </w:rPr>
                <w:t>16</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91">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91">
              <w:r>
                <w:rPr>
                  <w:rStyle w:val="InternetLink"/>
                  <w:rFonts w:ascii="Times New Roman;serif" w:hAnsi="Times New Roman;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94">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94">
              <w:r>
                <w:rPr>
                  <w:rStyle w:val="InternetLink"/>
                  <w:rFonts w:ascii="Times New Roman;serif" w:hAnsi="Times New Roman;serif"/>
                  <w:b w:val="false"/>
                  <w:color w:val="0000FF"/>
                  <w:sz w:val="20"/>
                  <w:u w:val="single"/>
                </w:rPr>
                <w:t>23</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97">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97">
              <w:r>
                <w:rPr>
                  <w:rStyle w:val="InternetLink"/>
                  <w:rFonts w:ascii="Times New Roman;serif" w:hAnsi="Times New Roman;serif"/>
                  <w:b w:val="false"/>
                  <w:color w:val="0000FF"/>
                  <w:sz w:val="20"/>
                  <w:u w:val="single"/>
                </w:rPr>
                <w:t>24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00">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00">
              <w:r>
                <w:rPr>
                  <w:rStyle w:val="InternetLink"/>
                  <w:rFonts w:ascii="Times New Roman;serif" w:hAnsi="Times New Roman;serif"/>
                  <w:b w:val="false"/>
                  <w:color w:val="0000FF"/>
                  <w:sz w:val="20"/>
                  <w:u w:val="single"/>
                </w:rPr>
                <w:t>24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03">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03">
              <w:r>
                <w:rPr>
                  <w:rStyle w:val="InternetLink"/>
                  <w:rFonts w:ascii="Times New Roman;serif" w:hAnsi="Times New Roman;serif"/>
                  <w:b w:val="false"/>
                  <w:color w:val="0000FF"/>
                  <w:sz w:val="20"/>
                  <w:u w:val="single"/>
                </w:rPr>
                <w:t>24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d15fd246e9441aa2623183ee079dea_3288">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09">
              <w:r>
                <w:rPr>
                  <w:rStyle w:val="InternetLink"/>
                  <w:rFonts w:ascii="Times New Roman;serif" w:hAnsi="Times New Roman;serif"/>
                  <w:b w:val="false"/>
                  <w:color w:val="0000FF"/>
                  <w:sz w:val="20"/>
                  <w:u w:val="single"/>
                </w:rPr>
                <w:t>24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15">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f5cfeb28af3475f8ad76852cc0511b0_115">
              <w:r>
                <w:rPr>
                  <w:rStyle w:val="InternetLink"/>
                  <w:rFonts w:ascii="Times New Roman;serif" w:hAnsi="Times New Roman;serif"/>
                  <w:b w:val="false"/>
                  <w:color w:val="0000FF"/>
                  <w:sz w:val="20"/>
                  <w:u w:val="single"/>
                </w:rPr>
                <w:t>24</w:t>
              </w:r>
            </w:hyperlink>
          </w:p>
        </w:tc>
      </w:tr>
      <w:tr>
        <w:trPr/>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5cfeb28af3475f8ad76852cc0511b0_118">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fiscal quarter ended June 30, 2026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including with respect to artificial intelligence, future products and services, growth in the size of our business and number of customers, strategic plans and objectives, the benefits or performance of our strategic investments,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in this Quarterly Report and "Risk Factors" in our Annual Report on Form 10-K for the fiscal year ended December 31, 2025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6464" w:type="dxa"/>
        <w:jc w:val="center"/>
        <w:tblInd w:w="0" w:type="dxa"/>
        <w:tblLayout w:type="fixed"/>
        <w:tblCellMar>
          <w:top w:w="28" w:type="dxa"/>
          <w:left w:w="28" w:type="dxa"/>
          <w:bottom w:w="28" w:type="dxa"/>
          <w:right w:w="28" w:type="dxa"/>
        </w:tblCellMar>
      </w:tblPr>
      <w:tblGrid>
        <w:gridCol w:w="1298"/>
        <w:gridCol w:w="1137"/>
        <w:gridCol w:w="1149"/>
        <w:gridCol w:w="109"/>
        <w:gridCol w:w="109"/>
        <w:gridCol w:w="109"/>
        <w:gridCol w:w="196"/>
        <w:gridCol w:w="736"/>
        <w:gridCol w:w="109"/>
        <w:gridCol w:w="109"/>
        <w:gridCol w:w="109"/>
        <w:gridCol w:w="109"/>
        <w:gridCol w:w="214"/>
        <w:gridCol w:w="803"/>
        <w:gridCol w:w="168"/>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688,967 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688,967 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00"/>
        <w:gridCol w:w="1442"/>
        <w:gridCol w:w="145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0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 (exclusive of depreciation and amortization)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product development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822"/>
        <w:gridCol w:w="1592"/>
        <w:gridCol w:w="15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283"/>
        <w:jc w:val="left"/>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9"/>
        <w:gridCol w:w="1589"/>
        <w:gridCol w:w="160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Changes in unrealized losses on investment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283"/>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2308" w:type="dxa"/>
        <w:jc w:val="left"/>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65"/>
        <w:gridCol w:w="645"/>
        <w:gridCol w:w="206"/>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issuance of common stock under the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tbl>
      <w:tblPr>
        <w:tblW w:w="1285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7"/>
        <w:gridCol w:w="704"/>
        <w:gridCol w:w="185"/>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2241"/>
        <w:gridCol w:w="1825"/>
        <w:gridCol w:w="1840"/>
        <w:gridCol w:w="356"/>
        <w:gridCol w:w="1339"/>
        <w:gridCol w:w="197"/>
        <w:gridCol w:w="197"/>
        <w:gridCol w:w="197"/>
        <w:gridCol w:w="197"/>
        <w:gridCol w:w="356"/>
        <w:gridCol w:w="1175"/>
        <w:gridCol w:w="285"/>
      </w:tblGrid>
      <w:tr>
        <w:trPr/>
        <w:tc>
          <w:tcPr>
            <w:tcW w:w="224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APPFOLIO,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operating activities</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83,968 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costs capitalized to obtain revenue contracts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including as amortized</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121,902 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91,108 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investing activities</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investments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available-for-sale investments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202,662 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available-for-sale investments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software development costs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business acquisition, net of cash acquired</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127,022 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financing activities</w:t>
            </w:r>
          </w:p>
        </w:tc>
        <w:tc>
          <w:tcPr>
            <w:tcW w:w="1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exercises and the issuance of common stock under the Employee Stock Purchase Plan</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for net share settlement</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(145,723)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(164,693)</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217,651 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217,401 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73,478 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consolidated statements of cash flows</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217,651 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 included in operating cash flows</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1. Nature of Business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2. Summary of Significant Accounting Policies</w:t>
      </w:r>
    </w:p>
    <w:p>
      <w:pPr>
        <w:pStyle w:val="TextBody"/>
        <w:bidi w:val="0"/>
        <w:spacing w:lineRule="auto" w:line="288" w:before="12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Basis of Presentation and Significant Accounting Policies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5, 2026.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six months ended June 30, 2026 are not necessarily indicative of the results expected for the full year ending December 31, 2026.</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the fair value of privately-held strategic investments, useful lives of property and equipment and intangible assets, capitalized software development costs, incremental borrowing rate applied in lease accounting, the period of benefit associated with deferred costs, stock-based compensation, income taxes, and contingencies. Actual results could differ from those estimates and any such differences may have a material impact on our Consolidated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Segment Information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six months ended June 30, 2026 and 2025, refer to our Condensed Consolidated Statements of Operations. Stock-based compensation expense is also recognized as a significant segment expense. Details regarding this expense for the six months ended June 30, 2026 and 2025 are included in the parenthetical note to the respective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 Adopted</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July 2025, the Financial Accounting Standards Board ("FASB") issued ASU 2025-05, </w:t>
      </w:r>
      <w:r>
        <w:rPr>
          <w:rFonts w:ascii="Times New Roman;serif" w:hAnsi="Times New Roman;serif"/>
          <w:b w:val="false"/>
          <w:i/>
          <w:color w:val="000000"/>
          <w:sz w:val="20"/>
        </w:rPr>
        <w:t>Measurement of Credit Losses for Accounts Receivable and Contract Assets</w:t>
      </w:r>
      <w:r>
        <w:rPr>
          <w:rFonts w:ascii="Times New Roman;serif" w:hAnsi="Times New Roman;serif"/>
          <w:b w:val="false"/>
          <w:color w:val="000000"/>
          <w:sz w:val="20"/>
        </w:rPr>
        <w:t>, which amends ASC 326-202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guidance will be applied on a prospective basis and is effective for calendar year-end public business entities in the 2026 annual period and its interim periods, with early adoption permitted. We adopted the standard from January 1, 2026 prospectively. The adoption of the standard has no material impact on our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November 2024, FASB issued ASU 2024-03, </w:t>
      </w:r>
      <w:r>
        <w:rPr>
          <w:rFonts w:ascii="Times New Roman;serif" w:hAnsi="Times New Roman;serif"/>
          <w:b w:val="false"/>
          <w:i/>
          <w:color w:val="000000"/>
          <w:sz w:val="20"/>
        </w:rPr>
        <w:t xml:space="preserve">Disaggregation of Income Statement Expense. </w:t>
      </w:r>
      <w:r>
        <w:rPr>
          <w:rFonts w:ascii="Times New Roman;serif" w:hAnsi="Times New Roman;serif"/>
          <w:b w:val="false"/>
          <w:color w:val="000000"/>
          <w:sz w:val="20"/>
        </w:rPr>
        <w:t>The new standard requires additional disclosures about specific types of expenses included in the expense captions presented on the face of income statements as well as disclosures about selling expenses. The guidance applies prospectively with the option to apply the standard retrospectively and is effective for calendar year-end public business entities in the 2027 annual period and in 2028 for interim periods with early adoption permitted. We are currently evaluating the impact of ASU 2024-03 on our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Targeted Improvements to the Accounting for Internal-Use Software</w:t>
      </w:r>
      <w:r>
        <w:rPr>
          <w:rFonts w:ascii="Times New Roman;serif" w:hAnsi="Times New Roman;serif"/>
          <w:b w:val="false"/>
          <w:color w:val="000000"/>
          <w:sz w:val="20"/>
        </w:rPr>
        <w:t>,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calendar year-end public business entities in the 2028 annual period. The guidance can be applied on a fully prospective basis, a modified basis for in-process projects, or a full retrospective basis. We are currently evaluating the impact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3. Revenue and Deferred Costs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following table presents our revenue categories for the three and six months ended June 30, 2026 and 2025 (in thousands):</w:t>
      </w:r>
      <w:r>
        <w:rPr>
          <w:color w:val="000000"/>
        </w:rPr>
        <w:t> </w:t>
      </w:r>
    </w:p>
    <w:tbl>
      <w:tblPr>
        <w:tblW w:w="7842" w:type="dxa"/>
        <w:jc w:val="left"/>
        <w:tblInd w:w="0" w:type="dxa"/>
        <w:tblLayout w:type="fixed"/>
        <w:tblCellMar>
          <w:top w:w="28" w:type="dxa"/>
          <w:left w:w="28" w:type="dxa"/>
          <w:bottom w:w="28" w:type="dxa"/>
          <w:right w:w="28" w:type="dxa"/>
        </w:tblCellMar>
      </w:tblPr>
      <w:tblGrid>
        <w:gridCol w:w="690"/>
        <w:gridCol w:w="607"/>
        <w:gridCol w:w="60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is generated primarily from customers in the United States.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Deferred Costs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costs were $24.2 million and $22.8 million as of June 30, 2026 and December 31, 2025, respectively, of which $12.2 million and $11.2 million, respectively, are included in Prepaid expenses and other current assets and $12.0 million and $11.6 million, respectively, are included in Other long-term assets in the accompanying Condensed Consolidated Balance Sheets. Amortization expense for deferred costs was $3.3 million, and $2.7 million for the three months ended June 30, 2026 and 2025, respectively, and $6.5 million and $5.4 million for the six months ended June 30, 2026 and 2025, respectively. For the six months ended June 30, 2026 and 2025, no impairments were identified in relation to the costs capitalized for the periods presented.</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price allocated to remaining performance obligations (“RPO”) represents contracted revenue that has not been recognized, which includes deferred revenue and non-cancelable amounts that will be invoiced and recognized as revenue in future periods. RPO does not include revenue related to performance obligations that are part of a contract with an original expected duration of one year or less or related to usage-based Value Added Services that are billed in arrears.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non-cancelable RPO under our contracts with customers was $114.8 million, and we expect to recognize revenue on approximately 42.1% of these RPO over the following 12 months, with the balance to be recognized thereafter. During the six months ended June 30, 2026, we recognized revenue of $17.6 million, that was included in the RPO at the beginning of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4. Investment Securities and Fair Value Measurements</w:t>
      </w:r>
    </w:p>
    <w:p>
      <w:pPr>
        <w:pStyle w:val="TextBody"/>
        <w:bidi w:val="0"/>
        <w:spacing w:lineRule="auto" w:line="288" w:before="6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securities classified as available-for-sale consisted of the following as of June 30, 2026 and December 31, 2025 (in thousands):</w:t>
      </w:r>
    </w:p>
    <w:tbl>
      <w:tblPr>
        <w:tblW w:w="10205" w:type="dxa"/>
        <w:jc w:val="center"/>
        <w:tblInd w:w="0" w:type="dxa"/>
        <w:tblLayout w:type="fixed"/>
        <w:tblCellMar>
          <w:top w:w="28" w:type="dxa"/>
          <w:left w:w="28" w:type="dxa"/>
          <w:bottom w:w="28" w:type="dxa"/>
          <w:right w:w="28" w:type="dxa"/>
        </w:tblCellMar>
      </w:tblPr>
      <w:tblGrid>
        <w:gridCol w:w="1246"/>
        <w:gridCol w:w="1010"/>
        <w:gridCol w:w="1013"/>
        <w:gridCol w:w="264"/>
        <w:gridCol w:w="774"/>
        <w:gridCol w:w="137"/>
        <w:gridCol w:w="109"/>
        <w:gridCol w:w="109"/>
        <w:gridCol w:w="109"/>
        <w:gridCol w:w="466"/>
        <w:gridCol w:w="899"/>
        <w:gridCol w:w="243"/>
        <w:gridCol w:w="109"/>
        <w:gridCol w:w="109"/>
        <w:gridCol w:w="109"/>
        <w:gridCol w:w="582"/>
        <w:gridCol w:w="747"/>
        <w:gridCol w:w="301"/>
        <w:gridCol w:w="109"/>
        <w:gridCol w:w="109"/>
        <w:gridCol w:w="109"/>
        <w:gridCol w:w="330"/>
        <w:gridCol w:w="964"/>
        <w:gridCol w:w="248"/>
      </w:tblGrid>
      <w:tr>
        <w:trPr/>
        <w:tc>
          <w:tcPr>
            <w:tcW w:w="12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91"/>
        <w:gridCol w:w="842"/>
        <w:gridCol w:w="256"/>
        <w:gridCol w:w="109"/>
        <w:gridCol w:w="109"/>
        <w:gridCol w:w="109"/>
        <w:gridCol w:w="467"/>
        <w:gridCol w:w="901"/>
        <w:gridCol w:w="243"/>
        <w:gridCol w:w="109"/>
        <w:gridCol w:w="109"/>
        <w:gridCol w:w="109"/>
        <w:gridCol w:w="278"/>
        <w:gridCol w:w="1091"/>
        <w:gridCol w:w="212"/>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for available-for-sale debt securities in an unrealized loss position, the Company evaluated whether any portion of the decline in fair value below amortized cost was due to credit losses. Based on this evaluation, and considering that it is more likely than not that the Company will hold the securities until maturity or recovery of the cost basis, no allowance for credit losses was recorded for available-for-sale investment securities as of June 30, 2026 or December 31, 2025. </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293"/>
        <w:gridCol w:w="1139"/>
        <w:gridCol w:w="1114"/>
        <w:gridCol w:w="273"/>
        <w:gridCol w:w="800"/>
        <w:gridCol w:w="141"/>
        <w:gridCol w:w="109"/>
        <w:gridCol w:w="109"/>
        <w:gridCol w:w="109"/>
        <w:gridCol w:w="356"/>
        <w:gridCol w:w="1040"/>
        <w:gridCol w:w="183"/>
        <w:gridCol w:w="109"/>
        <w:gridCol w:w="109"/>
        <w:gridCol w:w="109"/>
        <w:gridCol w:w="227"/>
        <w:gridCol w:w="891"/>
        <w:gridCol w:w="117"/>
        <w:gridCol w:w="109"/>
        <w:gridCol w:w="109"/>
        <w:gridCol w:w="109"/>
        <w:gridCol w:w="291"/>
        <w:gridCol w:w="1141"/>
        <w:gridCol w:w="218"/>
      </w:tblGrid>
      <w:tr>
        <w:trPr/>
        <w:tc>
          <w:tcPr>
            <w:tcW w:w="129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had sales and maturities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46"/>
        <w:gridCol w:w="831"/>
        <w:gridCol w:w="833"/>
        <w:gridCol w:w="399"/>
        <w:gridCol w:w="769"/>
        <w:gridCol w:w="205"/>
        <w:gridCol w:w="109"/>
        <w:gridCol w:w="109"/>
        <w:gridCol w:w="109"/>
        <w:gridCol w:w="392"/>
        <w:gridCol w:w="799"/>
        <w:gridCol w:w="202"/>
        <w:gridCol w:w="109"/>
        <w:gridCol w:w="109"/>
        <w:gridCol w:w="109"/>
        <w:gridCol w:w="330"/>
        <w:gridCol w:w="1293"/>
        <w:gridCol w:w="170"/>
        <w:gridCol w:w="109"/>
        <w:gridCol w:w="109"/>
        <w:gridCol w:w="109"/>
        <w:gridCol w:w="398"/>
        <w:gridCol w:w="1361"/>
        <w:gridCol w:w="296"/>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Maturities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4"/>
        <w:gridCol w:w="837"/>
        <w:gridCol w:w="426"/>
        <w:gridCol w:w="730"/>
        <w:gridCol w:w="221"/>
        <w:gridCol w:w="109"/>
        <w:gridCol w:w="109"/>
        <w:gridCol w:w="109"/>
        <w:gridCol w:w="393"/>
        <w:gridCol w:w="802"/>
        <w:gridCol w:w="203"/>
        <w:gridCol w:w="109"/>
        <w:gridCol w:w="109"/>
        <w:gridCol w:w="109"/>
        <w:gridCol w:w="325"/>
        <w:gridCol w:w="1274"/>
        <w:gridCol w:w="167"/>
        <w:gridCol w:w="109"/>
        <w:gridCol w:w="109"/>
        <w:gridCol w:w="109"/>
        <w:gridCol w:w="399"/>
        <w:gridCol w:w="1366"/>
        <w:gridCol w:w="297"/>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Maturities</w:t>
            </w:r>
          </w:p>
        </w:tc>
      </w:tr>
      <w:tr>
        <w:trPr/>
        <w:tc>
          <w:tcPr>
            <w:tcW w:w="2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tables above do not include our strategic investments of non-marketable equity investments in privately-held companies, which are recorded in </w:t>
      </w:r>
      <w:r>
        <w:rPr>
          <w:rFonts w:ascii="Times New Roman;serif" w:hAnsi="Times New Roman;serif"/>
          <w:b w:val="false"/>
          <w:i/>
          <w:color w:val="000000"/>
          <w:sz w:val="20"/>
        </w:rPr>
        <w:t>long-term investments</w:t>
      </w:r>
      <w:r>
        <w:rPr>
          <w:color w:val="000000"/>
        </w:rPr>
        <w:t xml:space="preserve"> </w:t>
      </w:r>
      <w:r>
        <w:rPr>
          <w:rFonts w:ascii="Times New Roman;serif" w:hAnsi="Times New Roman;serif"/>
          <w:b w:val="false"/>
          <w:color w:val="000000"/>
          <w:sz w:val="20"/>
        </w:rPr>
        <w:t>in our Condensed Consolidated Balance Sheets. These strategic investments consist of the following as of June 30, 2026 and December 31, 2025 (in thousands):</w:t>
      </w:r>
    </w:p>
    <w:tbl>
      <w:tblPr>
        <w:tblW w:w="5489" w:type="dxa"/>
        <w:jc w:val="left"/>
        <w:tblInd w:w="0" w:type="dxa"/>
        <w:tblLayout w:type="fixed"/>
        <w:tblCellMar>
          <w:top w:w="28" w:type="dxa"/>
          <w:left w:w="28" w:type="dxa"/>
          <w:bottom w:w="28" w:type="dxa"/>
          <w:right w:w="28" w:type="dxa"/>
        </w:tblCellMar>
      </w:tblPr>
      <w:tblGrid>
        <w:gridCol w:w="961"/>
        <w:gridCol w:w="843"/>
        <w:gridCol w:w="851"/>
        <w:gridCol w:w="109"/>
        <w:gridCol w:w="109"/>
        <w:gridCol w:w="109"/>
        <w:gridCol w:w="211"/>
        <w:gridCol w:w="721"/>
        <w:gridCol w:w="109"/>
        <w:gridCol w:w="109"/>
        <w:gridCol w:w="109"/>
        <w:gridCol w:w="109"/>
        <w:gridCol w:w="221"/>
        <w:gridCol w:w="757"/>
        <w:gridCol w:w="161"/>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Nature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we purchased a minority, non-controlling equity interest in a private company, for $10.0 million, paid with cash on hand.</w:t>
      </w:r>
    </w:p>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cumulative amount of upward adjustments recognized on our strategic investments of non-marketable equity investments was $0.6 million as of June 30, 2026. The entire amount was recognized during the first quarter of 2026 as a result of an observable price change for one privately held technology company. There were no cumulative downward adjustments as of June 30,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realized or unrealized gains or losses from remeasurement of investments in equity securities under the measurement alternative for the six months ended June 30, 2025.</w:t>
      </w:r>
    </w:p>
    <w:p>
      <w:pPr>
        <w:pStyle w:val="TextBody"/>
        <w:bidi w:val="0"/>
        <w:spacing w:lineRule="auto" w:line="288" w:before="2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6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assets and liabilities measured at fair value on a recurring basis as of June 30, 2026 and December 31, 2025 by level within the fair value hierarchy (in thousands):</w:t>
      </w:r>
    </w:p>
    <w:tbl>
      <w:tblPr>
        <w:tblW w:w="7579" w:type="dxa"/>
        <w:jc w:val="left"/>
        <w:tblInd w:w="0" w:type="dxa"/>
        <w:tblLayout w:type="fixed"/>
        <w:tblCellMar>
          <w:top w:w="28" w:type="dxa"/>
          <w:left w:w="28" w:type="dxa"/>
          <w:bottom w:w="28" w:type="dxa"/>
          <w:right w:w="28" w:type="dxa"/>
        </w:tblCellMar>
      </w:tblPr>
      <w:tblGrid>
        <w:gridCol w:w="1243"/>
        <w:gridCol w:w="1092"/>
        <w:gridCol w:w="1099"/>
        <w:gridCol w:w="211"/>
        <w:gridCol w:w="826"/>
        <w:gridCol w:w="109"/>
        <w:gridCol w:w="109"/>
        <w:gridCol w:w="109"/>
        <w:gridCol w:w="109"/>
        <w:gridCol w:w="211"/>
        <w:gridCol w:w="616"/>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government and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restricted cash, accounts receivable, accounts payable and accrued liabilities approximate their fair value because of the short maturity of these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pStyle w:val="TextBody"/>
        <w:bidi w:val="0"/>
        <w:spacing w:lineRule="auto" w:line="288" w:before="6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Investments Measured and Recorded at Fair Value on a Non-Recurring Basis</w:t>
      </w:r>
    </w:p>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Strategic investments primarily include equity investments in privately-held companies, which do not have a readily determinable fair value. Strategic investments are classified as Level 3 in the fair value hierarchy, as their nonrecurring fair value measurements may include observable and unobservable inputs. As of June 30, 2026 and December 31, 2025, the balance of strategic investments was $87.7 million and $77.0 million, respectively. We recognized a net unrealized gain of $0.6 million in connection with our investment in a privately held technology company in </w:t>
      </w:r>
      <w:r>
        <w:rPr>
          <w:rFonts w:ascii="Times New Roman;serif" w:hAnsi="Times New Roman;serif"/>
          <w:b w:val="false"/>
          <w:i/>
          <w:color w:val="000000"/>
          <w:sz w:val="20"/>
        </w:rPr>
        <w:t>Other (loss) income, net</w:t>
      </w:r>
      <w:r>
        <w:rPr>
          <w:color w:val="000000"/>
        </w:rPr>
        <w:t xml:space="preserve"> </w:t>
      </w:r>
      <w:r>
        <w:rPr>
          <w:rFonts w:ascii="Times New Roman;serif" w:hAnsi="Times New Roman;serif"/>
          <w:b w:val="false"/>
          <w:color w:val="000000"/>
          <w:sz w:val="20"/>
        </w:rPr>
        <w:t>in our Condensed Consolidated Statements of Operations for the six months ended June 30, 2026. We did not recognize any net unrealized gain or loss for our strategic investments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5. Other Balance Sheet Components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884" w:type="dxa"/>
        <w:jc w:val="left"/>
        <w:tblInd w:w="0" w:type="dxa"/>
        <w:tblLayout w:type="fixed"/>
        <w:tblCellMar>
          <w:top w:w="28" w:type="dxa"/>
          <w:left w:w="28" w:type="dxa"/>
          <w:bottom w:w="28" w:type="dxa"/>
          <w:right w:w="28" w:type="dxa"/>
        </w:tblCellMar>
      </w:tblPr>
      <w:tblGrid>
        <w:gridCol w:w="1466"/>
        <w:gridCol w:w="1288"/>
        <w:gridCol w:w="1296"/>
        <w:gridCol w:w="109"/>
        <w:gridCol w:w="109"/>
        <w:gridCol w:w="109"/>
        <w:gridCol w:w="211"/>
        <w:gridCol w:w="721"/>
        <w:gridCol w:w="109"/>
        <w:gridCol w:w="109"/>
        <w:gridCol w:w="109"/>
        <w:gridCol w:w="109"/>
        <w:gridCol w:w="221"/>
        <w:gridCol w:w="757"/>
        <w:gridCol w:w="161"/>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receivable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commissions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Deposits for insurance services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For additional information on income tax, refer to Note 9, </w:t>
      </w:r>
      <w:r>
        <w:rPr>
          <w:rFonts w:ascii="Times New Roman;serif" w:hAnsi="Times New Roman;serif"/>
          <w:b w:val="false"/>
          <w:i/>
          <w:color w:val="000000"/>
          <w:sz w:val="20"/>
        </w:rPr>
        <w:t>Income Taxes.</w:t>
      </w:r>
    </w:p>
    <w:p>
      <w:pPr>
        <w:pStyle w:val="TextBody"/>
        <w:bidi w:val="0"/>
        <w:spacing w:lineRule="auto" w:line="288" w:before="120" w:after="120"/>
        <w:ind w:left="0" w:right="0" w:firstLine="72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For additional information on deferred commissions, refer to Deferred Costs in Note 3, </w:t>
      </w:r>
      <w:r>
        <w:rPr>
          <w:rFonts w:ascii="Times New Roman;serif" w:hAnsi="Times New Roman;serif"/>
          <w:b w:val="false"/>
          <w:i/>
          <w:color w:val="000000"/>
          <w:sz w:val="20"/>
        </w:rPr>
        <w:t>Revenue and Deferred Costs.</w:t>
      </w:r>
    </w:p>
    <w:p>
      <w:pPr>
        <w:pStyle w:val="TextBody"/>
        <w:bidi w:val="0"/>
        <w:spacing w:lineRule="auto" w:line="288" w:before="120" w:after="120"/>
        <w:ind w:left="0" w:right="0" w:firstLine="720"/>
        <w:jc w:val="both"/>
        <w:rPr/>
      </w:pPr>
      <w:r>
        <w:rPr>
          <w:rFonts w:ascii="Times New Roman;serif" w:hAnsi="Times New Roman;serif"/>
          <w:b w:val="false"/>
          <w:color w:val="000000"/>
          <w:sz w:val="13"/>
        </w:rPr>
        <w:t>(3)</w:t>
      </w:r>
      <w:r>
        <w:rPr>
          <w:rFonts w:ascii="Times New Roman;serif" w:hAnsi="Times New Roman;serif"/>
          <w:b w:val="false"/>
          <w:color w:val="000000"/>
          <w:sz w:val="20"/>
        </w:rPr>
        <w:t>For additional information on deposits held with a third party related to requirements to maintain collateral for insurance services, refer to "Legal Liability to Landlord Insurance" in Note 6,</w:t>
      </w:r>
      <w:r>
        <w:rPr>
          <w:color w:val="000000"/>
        </w:rPr>
        <w:t xml:space="preserve"> </w:t>
      </w:r>
      <w:r>
        <w:rPr>
          <w:rFonts w:ascii="Times New Roman;serif" w:hAnsi="Times New Roman;serif"/>
          <w:b w:val="false"/>
          <w:i/>
          <w:color w:val="000000"/>
          <w:sz w:val="20"/>
        </w:rPr>
        <w:t>Commitments and Contingencies.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Accrued Employee Expenses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employee expenses consisted of the following (in thousands):</w:t>
      </w:r>
    </w:p>
    <w:tbl>
      <w:tblPr>
        <w:tblW w:w="5923"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211"/>
        <w:gridCol w:w="721"/>
        <w:gridCol w:w="109"/>
        <w:gridCol w:w="109"/>
        <w:gridCol w:w="109"/>
        <w:gridCol w:w="109"/>
        <w:gridCol w:w="221"/>
        <w:gridCol w:w="757"/>
        <w:gridCol w:w="161"/>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bonuses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Accrued bonuses decreased significantly as of June 30, 2026, due to the payment of 2025 annual bonuses in the first quarter of 2026.</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Current Liabilities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consisted of the following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jc w:val="left"/>
        <w:rPr/>
      </w:pPr>
      <w:r>
        <w:rPr/>
      </w:r>
    </w:p>
    <w:tbl>
      <w:tblPr>
        <w:tblW w:w="5668" w:type="dxa"/>
        <w:jc w:val="left"/>
        <w:tblInd w:w="0" w:type="dxa"/>
        <w:tblLayout w:type="fixed"/>
        <w:tblCellMar>
          <w:top w:w="28" w:type="dxa"/>
          <w:left w:w="28" w:type="dxa"/>
          <w:bottom w:w="28" w:type="dxa"/>
          <w:right w:w="28" w:type="dxa"/>
        </w:tblCellMar>
      </w:tblPr>
      <w:tblGrid>
        <w:gridCol w:w="1025"/>
        <w:gridCol w:w="902"/>
        <w:gridCol w:w="907"/>
        <w:gridCol w:w="109"/>
        <w:gridCol w:w="109"/>
        <w:gridCol w:w="109"/>
        <w:gridCol w:w="211"/>
        <w:gridCol w:w="721"/>
        <w:gridCol w:w="109"/>
        <w:gridCol w:w="109"/>
        <w:gridCol w:w="109"/>
        <w:gridCol w:w="109"/>
        <w:gridCol w:w="221"/>
        <w:gridCol w:w="757"/>
        <w:gridCol w:w="161"/>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Unearned premium liabilities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 reserves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pStyle w:val="TextBody"/>
        <w:bidi w:val="0"/>
        <w:spacing w:lineRule="auto" w:line="288" w:before="120" w:after="120"/>
        <w:ind w:left="0" w:right="0" w:firstLine="72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For additional information on insurance reserves, refer to "Legal Liability to Landlord Insurance" in Note 6, </w:t>
      </w:r>
      <w:r>
        <w:rPr>
          <w:rFonts w:ascii="Times New Roman;serif" w:hAnsi="Times New Roman;serif"/>
          <w:b w:val="false"/>
          <w:i/>
          <w:color w:val="000000"/>
          <w:sz w:val="20"/>
        </w:rPr>
        <w:t>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6. Commitments and Contingencies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Legal Liability to Landlord Insurance</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June 30, 2026 and December 31, 2025 was $8.1 million and $6.6 million, respectively, and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on our Condensed Consolidated Balance Sheets.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as of June 30, 2026 and December 31, 2025 are $4.6 million and $7.8 million, respectively, of deposits held with a third party related to requirements to maintain collateral for this insurance service.</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entered into an agreement with vendors for certain cloud computing services. We are committed to spend a minimum of at least $219.3 million through 2031, of which $36.2 million is short-term. We may pay more than the minimum purchase commitment to our cloud-computing vendors based on usage.</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30, 2025, we entered into a credit agreement by and among AppFolio, Inc., certain of our subsidiaries as guarantors, the lender(s) party thereto, and PNC Bank, National Association, in its capacity as Administrative Agent, Swingline Loan Lender and Issuing Lender (the “Credit Facility”).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Facility provides for a $150.0 million senior secured revolving credit facility, including sublimits of $25.0 million for letters of credit and $25.0 million for swingline loans, and is scheduled to mature on September 30, 2030. We may, subject to customary conditions and consent of the applicable lenders, increase the revolving commitment or incur term loans thereunder (capped at amounts specified in the Credit Facility) or extend the maturity date of the Credit Facility.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Facility bear interest at variable rates based, at our option, on Term Secured Overnight Financing Rate Data ("SOFR"), Daily Simple SOFR, or a Base Rate, plus an applicable margin (ranging from 125.0 to 200.0 basis points in the case of Term SOFR and Daily Simple SOFR and 25.0 to 100.0 basis points in the case of the Base Rate) determined by our Consolidated Net Leverage Ratio, all as defined in the Credit Facility. We also pay a quarterly commitment fee (ranging from 15.0 to 30.0 basis points depending on our Consolidated Net Leverage Ratio) on unused amounts, as well as customary letter of credit and agency fees.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Credit Facility are guaranteed by certain of our subsidiaries and secured by a first-priority security interest in substantially all of our and our guarantors' personal property, subject to customary exclusions and exceptions. The Credit Facility includes customary representations, warranties, and affirmative and negative covenants, including a financial covenant requiring maintenance of a Consolidated Net Leverage Ratio. The negative covenants include, among other things, restrictions on our and our subsidiaries' ability to incur indebtedness and liens, make investments, pay dividends or distributions or repurchase equity interests, merge, consolidate or otherwise dispose of assets,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transactions with affiliates, and prepay, redeem, purchase or otherwise retire junior indebtedness, all subject to certain exceptions.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outstanding borrowings under the Credit Facility, and we were in compliance with the covenants under the Credit Facility.</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pending investigative inquiries, legal proceedings and other disputes, if determined adversely to us, would, individually or taken together, have a material adverse effect on our business, operating results, financial condition or cash flows.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7. Share Repurchase Program</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2019, our Board of Directors (our "Board")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such repurchases, we substantially exhausted the remaining shares available for purchase under the 2019 Stock Repurchase Program, and it terminated.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During the second quarter of 2025, we repurchased 243,987 shares of our Class A common stock through open market repurchases under the 2025 Stock Repurchase Program at an average purchase price of $204.77 per share, inclusive of broker commissions, for an aggregate repurchase price of $50.0 million which was recorded as a reduction to stockholders' equity. We did not repurchase any shares of our Class A common stock during the third or fourth quarter of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702,502 shares of our Class A common stock through open market repurchases under the 2025 Stock Repurchase Program at an average purchase price of $177.95 per share, inclusive of broker commissions, for an aggregate repurchase price of $125.0 million, which was recorded as a reduction to stockholders' equity. During the three months ended June 30, 2026, we did not repurchase any shares of our Class A common stock under the 2025 Stock Repurchase Program. As of June 30, 2026, the amount remaining available for repurchases under the 2025 Stock Repurchase Program was $125.0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8. Stock-Based Compensation</w:t>
      </w:r>
    </w:p>
    <w:p>
      <w:pPr>
        <w:pStyle w:val="TextBody"/>
        <w:bidi w:val="0"/>
        <w:spacing w:lineRule="auto" w:line="288" w:before="2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activity in connection with our restricted stock units ("RSUs") for the six months ended June 30, 2026, is as follows (number of shares in thousands):</w:t>
      </w:r>
    </w:p>
    <w:tbl>
      <w:tblPr>
        <w:tblW w:w="8948"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193.47 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Unvested RSUs as of June 30, 2026 were composed of 0.8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metrics at 100% of the performance target. The unvested PSUs as of June 30, 2026, are subject to vesting based on the achievement of pre-established performance metrics for the year ending December 31, 2026 and will vest over a three-year period, assuming continued employment through each applicable vesting date. The actual number of shares to be granted at the end of the performance period will range from 0% to 150% of the target number of shares depending on achievement relative to the performance metrics over the applicable period; however, performance-based compensation expense is included in calculating achievement of the performance metrics, resulting in an effective maximum payout of approximately 135% of target.</w:t>
      </w:r>
    </w:p>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recognized stock-based compensation expense for the RSUs and PSUs of $20.1 million and $17.9 million for the three months ended June 30, 2026 and 2025, respectively and $37.8 million and $33.9 million for the six months ended June 30, 2026 and 2025, respectively. As of June 30, 2026, the total estimated remaining stock-based compensation expense for the aforementioned RSUs and PSUs was $143.3 million, which is expected to be recognized over a weighted 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9. Income Taxes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our provision for income taxes on a quarterly basis by applying an estimated annual effective tax rate to income (loss) from operations and by calculating the tax effect of discrete items recognized during the quarter.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recorded income tax expense of $12.9 million and $23.5 million, representing an effective tax rate of 23.7% and 21.9%, respectively. Our effective tax rate differs from the U.S. federal statutory rate of 21% primarily due to state income taxes and non-deductible officers' compensation partially offset by tax benefits from research and development tax credits. For the three and six months ended June 30, 2025, our effective tax rate differs from the U.S. federal statutory rate of 21% primarily due to excess tax benefits from stock-based compensation and research and development tax credits, partially offset by state income taxes and non-deductible officers' compensation.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 our ability to realize our deferred tax assets on a quarterly basis and we establish a valuation allowance if it is more-likely-than-not that some portion of deferred tax assets will not be realized. We weigh all available positive and negative evidence, including our earnings history and results of recent operations, scheduled reversals of deferred tax liabilities, projected future taxable income and tax planning strategies. During the three months ended December 31, 2024, we assessed all available evidence and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our unrecognized tax benefits during the three and six months ended June 30, 2026, and we do not expect to have any significant changes to unrecognized tax benefits through the remainder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10. Net Income Per Share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tbl>
      <w:tblPr>
        <w:tblW w:w="10205" w:type="dxa"/>
        <w:jc w:val="center"/>
        <w:tblInd w:w="0" w:type="dxa"/>
        <w:tblLayout w:type="fixed"/>
        <w:tblCellMar>
          <w:top w:w="28" w:type="dxa"/>
          <w:left w:w="28" w:type="dxa"/>
          <w:bottom w:w="28" w:type="dxa"/>
          <w:right w:w="28" w:type="dxa"/>
        </w:tblCellMar>
      </w:tblPr>
      <w:tblGrid>
        <w:gridCol w:w="1849"/>
        <w:gridCol w:w="1575"/>
        <w:gridCol w:w="159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Basic 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outstanding; basic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Diluted net income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Weighted average dilutive options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Weighted average dilutive restricted stock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that are not included in the calculation of diluted net income per share because doing so would be antidilutive are as follows (in thousands):</w:t>
      </w:r>
    </w:p>
    <w:tbl>
      <w:tblPr>
        <w:tblW w:w="6991" w:type="dxa"/>
        <w:jc w:val="left"/>
        <w:tblInd w:w="0" w:type="dxa"/>
        <w:tblLayout w:type="fixed"/>
        <w:tblCellMar>
          <w:top w:w="28" w:type="dxa"/>
          <w:left w:w="28" w:type="dxa"/>
          <w:bottom w:w="28" w:type="dxa"/>
          <w:right w:w="28" w:type="dxa"/>
        </w:tblCellMar>
      </w:tblPr>
      <w:tblGrid>
        <w:gridCol w:w="1112"/>
        <w:gridCol w:w="978"/>
        <w:gridCol w:w="984"/>
        <w:gridCol w:w="233"/>
        <w:gridCol w:w="233"/>
        <w:gridCol w:w="178"/>
        <w:gridCol w:w="178"/>
        <w:gridCol w:w="178"/>
        <w:gridCol w:w="178"/>
        <w:gridCol w:w="233"/>
        <w:gridCol w:w="233"/>
        <w:gridCol w:w="178"/>
        <w:gridCol w:w="109"/>
        <w:gridCol w:w="109"/>
        <w:gridCol w:w="109"/>
        <w:gridCol w:w="233"/>
        <w:gridCol w:w="233"/>
        <w:gridCol w:w="156"/>
        <w:gridCol w:w="154"/>
        <w:gridCol w:w="154"/>
        <w:gridCol w:w="154"/>
        <w:gridCol w:w="233"/>
        <w:gridCol w:w="233"/>
        <w:gridCol w:w="218"/>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potentially dilutive securities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results of operations and liquidity should be read together with our Condensed Consolidated Financial Statements and the related notes included elsewhere in this Quarterly Report and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pStyle w:val="TextBody"/>
        <w:bidi w:val="0"/>
        <w:spacing w:lineRule="auto" w:line="276"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Highlights for the Second Quarter of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Revenue grew 19% year-over-year to $281 million.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units under management grew 8% year-over-year to 9.6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GAAP operating income grew 31% to $53 million, or 18.8% of revenue, compared to $41 million, or 17.2% of revenue in Q2 2025.</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 xml:space="preserve">Non-GAAP operating income grew 24% to $76 million, or 27.1% of revenue, compared to $62 million, or 26.2% of revenue in Q2 2025. </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Net cash provided by operating activities was $88 million, or 31.2% of revenue, compared to $53 million, or 22.3% of revenue in Q2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Key Business Metric</w:t>
      </w:r>
    </w:p>
    <w:p>
      <w:pPr>
        <w:pStyle w:val="TextBody"/>
        <w:bidi w:val="0"/>
        <w:spacing w:lineRule="auto" w:line="288" w:before="120" w:after="120"/>
        <w:ind w:left="0" w:right="0" w:firstLine="720"/>
        <w:jc w:val="both"/>
        <w:rPr/>
      </w:pPr>
      <w:r>
        <w:rPr>
          <w:rFonts w:ascii="Times New Roman;serif" w:hAnsi="Times New Roman;serif"/>
          <w:b/>
          <w:i/>
          <w:color w:val="000000"/>
          <w:sz w:val="20"/>
        </w:rPr>
        <w:t>Property management units under management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9.6 million and 8.9 million property management units under management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6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Subscription Services and certain of our Value Added Services are offered on a subscription basis. The subscription fees for our services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 includes fees from one-time services related to the implementation of our software solutions and other recurring or one-time fees related to our customers who are not otherwise using our Subscription Services. This includes legacy customers of businesses we have acquired where the customers haven't migrated to our Subscription Services.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we had 22,751 and 21,403 property management customers,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Costs and Operating Expenses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i/>
          <w:color w:val="000000"/>
          <w:sz w:val="20"/>
        </w:rPr>
        <w:t xml:space="preserve">(Exclusive of Depreciation and Amortization). </w:t>
      </w:r>
      <w:r>
        <w:rPr>
          <w:rFonts w:ascii="Times New Roman;serif" w:hAnsi="Times New Roman;serif"/>
          <w:b w:val="false"/>
          <w:color w:val="000000"/>
          <w:sz w:val="20"/>
        </w:rPr>
        <w:t>Many of our Value Added Services are facilitated by third-party service providers. 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 consists of personnel-related costs for our employees focused on sales and marketing (including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Research and Product Development. </w:t>
      </w:r>
      <w:r>
        <w:rPr>
          <w:rFonts w:ascii="Times New Roman;serif" w:hAnsi="Times New Roman;serif"/>
          <w:b w:val="false"/>
          <w:color w:val="000000"/>
          <w:sz w:val="20"/>
        </w:rPr>
        <w:t>Research and product development expense consists of personnel-related costs for our employees focused on 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 consists of personnel-related costs for employees in our executive, finance, 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Interest Income, Net. </w:t>
      </w:r>
      <w:r>
        <w:rPr>
          <w:rFonts w:ascii="Times New Roman;serif" w:hAnsi="Times New Roman;serif"/>
          <w:b w:val="false"/>
          <w:color w:val="000000"/>
          <w:sz w:val="20"/>
        </w:rPr>
        <w:t>Interest income, net includes interest earned on investment securities, amortization and accretion of the premium and discounts paid from the purchase of investment securities, and interest earned on cash deposited in our bank accounts.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tbl>
      <w:tblPr>
        <w:tblW w:w="11777" w:type="dxa"/>
        <w:jc w:val="center"/>
        <w:tblInd w:w="0" w:type="dxa"/>
        <w:tblLayout w:type="fixed"/>
        <w:tblCellMar>
          <w:top w:w="28" w:type="dxa"/>
          <w:left w:w="28" w:type="dxa"/>
          <w:bottom w:w="28" w:type="dxa"/>
          <w:right w:w="28" w:type="dxa"/>
        </w:tblCellMar>
      </w:tblPr>
      <w:tblGrid>
        <w:gridCol w:w="419"/>
        <w:gridCol w:w="368"/>
        <w:gridCol w:w="36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316"/>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the three and six months ended June 30, 2026, compared to the same periods in the prior year, was primarily attributable to an increase in the usage of our payments, tenant screening, and risk mitigation services. During the three and six months ended June 30, 2026, we also experienced growth of 8% in the number of property management units under management compared to the same periods in the prior year, which drove growth in users of our Subscription Services and Value Added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payment services experienced increased usage during the comparative periods as residents and property managers transacted more business online.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total revenue for the year ending December 31, 2026 to increase compared to the year ended December 31, 2025 as we continue to add new customers and property management units under management, along with increased adoption and usage of our Value Added Services.</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tbl>
      <w:tblPr>
        <w:tblW w:w="12470" w:type="dxa"/>
        <w:jc w:val="center"/>
        <w:tblInd w:w="0" w:type="dxa"/>
        <w:tblLayout w:type="fixed"/>
        <w:tblCellMar>
          <w:top w:w="28" w:type="dxa"/>
          <w:left w:w="28" w:type="dxa"/>
          <w:bottom w:w="28" w:type="dxa"/>
          <w:right w:w="28" w:type="dxa"/>
        </w:tblCellMar>
      </w:tblPr>
      <w:tblGrid>
        <w:gridCol w:w="569"/>
        <w:gridCol w:w="368"/>
        <w:gridCol w:w="369"/>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7"/>
        <w:gridCol w:w="189"/>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7"/>
        <w:gridCol w:w="189"/>
        <w:gridCol w:w="316"/>
      </w:tblGrid>
      <w:tr>
        <w:trPr/>
        <w:tc>
          <w:tcPr>
            <w:tcW w:w="5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increased for the three and six months ended June 30, 2026, compared to the same periods in the prior year. The increase was primarily driven by higher third-party service provider costs of $15.6 million and $30.2 million, respectively, due to increased adoption and usage of our Value Added Services for the respective three and six-month periods.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cost of revenue (exclusive of depreciation and amortization) for the year ending December 31, 2026, to stay relatively flat as a percentage of revenue compared to the year ended December 31, 2025.</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12020" w:type="dxa"/>
        <w:jc w:val="center"/>
        <w:tblInd w:w="0" w:type="dxa"/>
        <w:tblLayout w:type="fixed"/>
        <w:tblCellMar>
          <w:top w:w="28" w:type="dxa"/>
          <w:left w:w="28" w:type="dxa"/>
          <w:bottom w:w="28" w:type="dxa"/>
          <w:right w:w="28" w:type="dxa"/>
        </w:tblCellMar>
      </w:tblPr>
      <w:tblGrid>
        <w:gridCol w:w="688"/>
        <w:gridCol w:w="315"/>
        <w:gridCol w:w="303"/>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for the three and six months ended June 30, 2026, compared to the same periods in the prior year. The increase was primarily due to a $5.2 million and $9.7 million increase in personnel-related costs, including stock-based and performance-based compensation, to support growth in the business, for the respective three and six-month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sales and marketing expense for the year ending December 31, 2026 to stay relatively flat as a percentage of revenue compared to the year ended December 31,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Product Development</w:t>
      </w:r>
    </w:p>
    <w:tbl>
      <w:tblPr>
        <w:tblW w:w="12020" w:type="dxa"/>
        <w:jc w:val="center"/>
        <w:tblInd w:w="0" w:type="dxa"/>
        <w:tblLayout w:type="fixed"/>
        <w:tblCellMar>
          <w:top w:w="28" w:type="dxa"/>
          <w:left w:w="28" w:type="dxa"/>
          <w:bottom w:w="28" w:type="dxa"/>
          <w:right w:w="28" w:type="dxa"/>
        </w:tblCellMar>
      </w:tblPr>
      <w:tblGrid>
        <w:gridCol w:w="550"/>
        <w:gridCol w:w="377"/>
        <w:gridCol w:w="379"/>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28"/>
        <w:gridCol w:w="128"/>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55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product development expense increased for the three and six months ended June 30, 2026, compared to the same periods in the prior year. The increase was primarily due to a $3.5 million and $8.4 million increase in personnel-related costs, including stock-based and performance-based compensation, net of capitalized software development costs driven by headcount growth, for the respective three and six-month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research and product development expenses for the year ending December 31, 2026 to stay relatively flat as a percentage of revenue compared to the year ended December 31, 2025.</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1915" w:type="dxa"/>
        <w:jc w:val="left"/>
        <w:tblInd w:w="0" w:type="dxa"/>
        <w:tblLayout w:type="fixed"/>
        <w:tblCellMar>
          <w:top w:w="28" w:type="dxa"/>
          <w:left w:w="28" w:type="dxa"/>
          <w:bottom w:w="28" w:type="dxa"/>
          <w:right w:w="28" w:type="dxa"/>
        </w:tblCellMar>
      </w:tblPr>
      <w:tblGrid>
        <w:gridCol w:w="483"/>
        <w:gridCol w:w="411"/>
        <w:gridCol w:w="412"/>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for the three and six months ended June 30, 2026, compared to the same periods in the prior year. The increase for the three and six months ended June 30, 2026, was primarily due to a $2.4 million and $3.7 million increase in software and professional fees, for the respective three and six-month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for the year ending December 31, 2026 to stay relatively flat as a percentage of revenue compared to the year ended December 31, 2025.</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1480" w:type="dxa"/>
        <w:jc w:val="center"/>
        <w:tblInd w:w="0" w:type="dxa"/>
        <w:tblLayout w:type="fixed"/>
        <w:tblCellMar>
          <w:top w:w="28" w:type="dxa"/>
          <w:left w:w="28" w:type="dxa"/>
          <w:bottom w:w="28" w:type="dxa"/>
          <w:right w:w="28" w:type="dxa"/>
        </w:tblCellMar>
      </w:tblPr>
      <w:tblGrid>
        <w:gridCol w:w="424"/>
        <w:gridCol w:w="373"/>
        <w:gridCol w:w="374"/>
        <w:gridCol w:w="109"/>
        <w:gridCol w:w="109"/>
        <w:gridCol w:w="109"/>
        <w:gridCol w:w="211"/>
        <w:gridCol w:w="616"/>
        <w:gridCol w:w="271"/>
        <w:gridCol w:w="109"/>
        <w:gridCol w:w="109"/>
        <w:gridCol w:w="109"/>
        <w:gridCol w:w="211"/>
        <w:gridCol w:w="616"/>
        <w:gridCol w:w="271"/>
        <w:gridCol w:w="109"/>
        <w:gridCol w:w="109"/>
        <w:gridCol w:w="109"/>
        <w:gridCol w:w="211"/>
        <w:gridCol w:w="481"/>
        <w:gridCol w:w="109"/>
        <w:gridCol w:w="109"/>
        <w:gridCol w:w="109"/>
        <w:gridCol w:w="109"/>
        <w:gridCol w:w="188"/>
        <w:gridCol w:w="188"/>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3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three and six months ended June 30, 2026 decreased, compared to the same periods in the prior year as various assets have reached the end of their useful life.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depreciation and amortization expenses for the year ending December 31, 2026 to stay relatively flat as a percentage of revenue compared to the year ended December 31, 2025.</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Net</w:t>
      </w:r>
    </w:p>
    <w:tbl>
      <w:tblPr>
        <w:tblW w:w="10568" w:type="dxa"/>
        <w:jc w:val="left"/>
        <w:tblInd w:w="0" w:type="dxa"/>
        <w:tblLayout w:type="fixed"/>
        <w:tblCellMar>
          <w:top w:w="28" w:type="dxa"/>
          <w:left w:w="28" w:type="dxa"/>
          <w:bottom w:w="28" w:type="dxa"/>
          <w:right w:w="28" w:type="dxa"/>
        </w:tblCellMar>
      </w:tblPr>
      <w:tblGrid>
        <w:gridCol w:w="517"/>
        <w:gridCol w:w="244"/>
        <w:gridCol w:w="245"/>
        <w:gridCol w:w="211"/>
        <w:gridCol w:w="616"/>
        <w:gridCol w:w="271"/>
        <w:gridCol w:w="109"/>
        <w:gridCol w:w="109"/>
        <w:gridCol w:w="109"/>
        <w:gridCol w:w="211"/>
        <w:gridCol w:w="616"/>
        <w:gridCol w:w="271"/>
        <w:gridCol w:w="109"/>
        <w:gridCol w:w="109"/>
        <w:gridCol w:w="109"/>
        <w:gridCol w:w="211"/>
        <w:gridCol w:w="376"/>
        <w:gridCol w:w="109"/>
        <w:gridCol w:w="109"/>
        <w:gridCol w:w="109"/>
        <w:gridCol w:w="109"/>
        <w:gridCol w:w="135"/>
        <w:gridCol w:w="136"/>
        <w:gridCol w:w="271"/>
        <w:gridCol w:w="109"/>
        <w:gridCol w:w="109"/>
        <w:gridCol w:w="109"/>
        <w:gridCol w:w="211"/>
        <w:gridCol w:w="616"/>
        <w:gridCol w:w="271"/>
        <w:gridCol w:w="109"/>
        <w:gridCol w:w="109"/>
        <w:gridCol w:w="109"/>
        <w:gridCol w:w="211"/>
        <w:gridCol w:w="616"/>
        <w:gridCol w:w="271"/>
        <w:gridCol w:w="109"/>
        <w:gridCol w:w="109"/>
        <w:gridCol w:w="109"/>
        <w:gridCol w:w="211"/>
        <w:gridCol w:w="631"/>
        <w:gridCol w:w="109"/>
        <w:gridCol w:w="109"/>
        <w:gridCol w:w="109"/>
        <w:gridCol w:w="109"/>
        <w:gridCol w:w="188"/>
        <w:gridCol w:w="188"/>
        <w:gridCol w:w="316"/>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and six months ended June 30, 2026 decreased, compared to the same periods in the prior year, primarily due to the sale of available-for-sale investment securities and lower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11719" w:type="dxa"/>
        <w:jc w:val="center"/>
        <w:tblInd w:w="0" w:type="dxa"/>
        <w:tblLayout w:type="fixed"/>
        <w:tblCellMar>
          <w:top w:w="28" w:type="dxa"/>
          <w:left w:w="28" w:type="dxa"/>
          <w:bottom w:w="28" w:type="dxa"/>
          <w:right w:w="28" w:type="dxa"/>
        </w:tblCellMar>
      </w:tblPr>
      <w:tblGrid>
        <w:gridCol w:w="326"/>
        <w:gridCol w:w="287"/>
        <w:gridCol w:w="288"/>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54"/>
        <w:gridCol w:w="154"/>
        <w:gridCol w:w="15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1"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recorded income tax expense of $12.9 million and $23.5 million, representing an effective tax rate of 23.7% and 21.9%, respectively. Our effective tax rate differs from the U.S. federal statutory rate of 21% primarily due to state income taxes and non-deductible officers' compensation partially offset by tax benefits from research and development tax credits. For the three and six months ended June 30, 2025, our effective tax rate differs from the U.S. federal statutory rate of 21% primarily due to excess tax benefits from stock-based compensation and research and development tax credits, partially offset by state income taxes and non-deductible officers' compensation.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our effective tax rate for the three and six months ended June 30, 2026, as compared to the same periods in 2025, is primarily driven by higher pre-tax income and a decrease in excess tax benefits from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continue to be cash, cash equivalents, and investment securities, as well as cash flows generated from our operations. As of June 30, 2026, we had $221.7 million in cash, cash equivalents, and investment securities. We have financed our operations primarily through cash generated from operations.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addition, to optimize our capital structure, on September 30, 2025, we entered into the Credit Facility which provides for a $150.0 million senior secured revolving credit facility, including sublimits of $25.0 million for letters of credit and $25.0 million for swingline loans, and is scheduled to mature on September 30, 2030. We did not draw on the Credit Facility during the six months ended June 30, 2026, and as of June 30, 2026, we had no outstanding borrowings under the Credit Facility and were in compliance with the covenants under the Credit Facility. For more information regarding the Credit Facility, refer to "Credit Facility" in Note 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our Condensed Consolidated Financial Statements.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investment securities, and cash generated from operating activities will be sufficient to meet our working capital and capital expenditure requirements for at least the next twelve months. The available borrowing capacity under the Credit Facility provides us additional liquidity and financial flexibility.</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depend on many factors, including continued market acceptance of our software solutions; changes in the number of our customers and adoption and utilization of our Value Added Services by new and existing customers; the timing and extent of the introduction of new core functionality, products and Value Added Services; and the timing and extent of our investments across our organization, including acquisitions of businesses and technologies.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702,502 shares of our Class A common stock under the 2025 Stock Repurchase Program at an average purchase price of $177.95 per share, inclusive of broker commissions, for an aggregate repurchase price of $125.0 million, which was recorded as a reduction to stockholders' equity. We did not repurchase any shares of Class A common stock under the 2025 Stock Repurchase Program during the second quarter of 2026. As of June 30, 2026, the amount remaining available for repurchases under the 2025 Stock Repurchase Program was $125.0 million. For more information regarding our share repurchases, refer to Note 7, Share Repurchase Program, of our Condensed Consolidated Financial Statements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7595"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11"/>
        <w:gridCol w:w="826"/>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inflows is cash collected from our customers in connection with their use of our Subscription Services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net increase in cash provided by operating activities for the six months ended June 30, 2026, compared to the same period in the prior year, was primarily due to higher cash collections from customers relative to the increase in operating expenditures. </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is generally composed of the cash paid in purchases of investment securities, maturities and sales of investment securities, purchases of property and equipment, purchases of long-term investments, business acquisition, net of cash acquired, and additions to capitalized software development.</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net increase in cash provided by investing activities for the six months ended June 30, 2026, compared to the same period in the prior year, was primarily due to lower purchases of long-term investments in 2026. For additional information, see Note 4. </w:t>
      </w:r>
      <w:r>
        <w:rPr>
          <w:rFonts w:ascii="Times New Roman;serif" w:hAnsi="Times New Roman;serif"/>
          <w:b w:val="false"/>
          <w:i/>
          <w:color w:val="000000"/>
          <w:sz w:val="20"/>
        </w:rPr>
        <w:t>Investment Securities and Fair Value Measurements</w:t>
      </w:r>
      <w:r>
        <w:rPr>
          <w:rFonts w:ascii="Times New Roman;serif" w:hAnsi="Times New Roman;serif"/>
          <w:b w:val="false"/>
          <w:color w:val="000000"/>
          <w:sz w:val="20"/>
        </w:rPr>
        <w:t>, of our Condensed Consolidated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is generally composed of net share settlements for employee tax withholdings associated with the vesting of equity awards and repurchases of our Class A common stock offset by proceeds from the exercise of stock options and issuance of common stock under the 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decrease in cash used in financing activities for the six months ended June 30, 2026, compared to the same period in the prior year, was primarily due to lower repurchases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which are prepared and presented in accordance with GAAP, this Quarterly Report contains information regarding our Non-GAAP Operating Income and Non-GAAP Operating Margin, each of which constitutes a non-GAAP financial measure. We use these non-GAAP financial measures in addition to, and not as a substitute for, or superior to, financial measures calculated in accordance with GAAP.</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 xml:space="preserve">Non-GAAP Operating Income </w:t>
      </w:r>
      <w:r>
        <w:rPr>
          <w:rFonts w:ascii="Times New Roman;serif" w:hAnsi="Times New Roman;serif"/>
          <w:b w:val="false"/>
          <w:color w:val="000000"/>
          <w:sz w:val="20"/>
        </w:rPr>
        <w:t>excludes certain non-cash or non-recurring items, including stock-based compensation expense, amortization of stock-based compensation capitalized in software development costs, and amortization of purchased intangibles, as described below. Non-GAAP Operating Margin is calculated as Non-GAAP Operating Income as a percentage of revenue.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each of these non-GAAP financial measures internally to assess and compare operating results across reporting periods, for internal budgeting and forecasting purposes, and to evaluate our financial performance. We believe these non-GAAP financial measures also provide useful supplemental information to investors and facilitate the analysis of our operating results and comparison of operating results across reporting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we believe these non-GAAP financial measures are useful to investors and others in assessing our operating performance due to the following factors: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Stock-based compensation expense and amortization of stock-based compensation capitalized in software development costs.</w:t>
      </w:r>
      <w:r>
        <w:rPr>
          <w:color w:val="000000"/>
        </w:rPr>
        <w:t xml:space="preserve"> </w:t>
      </w:r>
      <w:r>
        <w:rPr>
          <w:rFonts w:ascii="Times New Roman;serif" w:hAnsi="Times New Roman;serif"/>
          <w:b w:val="false"/>
          <w:color w:val="000000"/>
          <w:sz w:val="20"/>
        </w:rPr>
        <w:t xml:space="preserve">We utilize stock-based compensation to attract and retain employees. It is principally aimed at aligning their interests with those of our stockholders while ensuring long-term retention, rather than to address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performance for any particular period. As a result, stock-based compensation expenses vary for reasons that are generally unrelated to financial and operational performance in any particular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We view amortization of purchased intangible assets as items arising from pre-acquisition activities determined at the time of an acquisition. While these intangible assets are evaluated for impairment regularly, amortization of the cost of purchased intangibles is an expense that is not typically affected by operations during any particular period.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not provide information that is directly comparable to that provided by other companies in our industry, as other companies may calculate non-GAAP financial results differently. In addition, there are limitations in using non-GAAP financial measures because non-GAAP financial measures are not prepared in accordance with GAAP and can exclude expenses that may have a material impact on our reported financial results. As such, non-GAAP financial measures should not be considered in isolation from, or as a substitute for, financial information prepared in accordance with GAAP. A reconciliation of income from operations, the most comparable GAAP measure, to Non-GAAP Operating Income and operating margin, the most comparable GAAP measure, to Non-GAAP Operating Margin, is provided in the table below. We encourage investors to review the reconciliation of these historical non-GAAP financial measures to their most directly comparable GAAP financial measures.</w:t>
      </w:r>
    </w:p>
    <w:p>
      <w:pPr>
        <w:pStyle w:val="TextBody"/>
        <w:bidi w:val="0"/>
        <w:spacing w:before="120" w:after="120"/>
        <w:ind w:left="0" w:right="0" w:firstLine="720"/>
        <w:jc w:val="center"/>
        <w:rPr/>
      </w:pPr>
      <w:r>
        <w:rPr/>
      </w:r>
    </w:p>
    <w:p>
      <w:pPr>
        <w:pStyle w:val="TextBody"/>
        <w:bidi w:val="0"/>
        <w:spacing w:lineRule="auto" w:line="288" w:before="120" w:after="120"/>
        <w:ind w:left="0" w:right="0" w:firstLine="720"/>
        <w:jc w:val="center"/>
        <w:rPr>
          <w:rFonts w:ascii="Times New Roman;serif" w:hAnsi="Times New Roman;serif"/>
          <w:b/>
          <w:color w:val="000000"/>
          <w:sz w:val="20"/>
        </w:rPr>
      </w:pPr>
      <w:r>
        <w:rPr>
          <w:rFonts w:ascii="Times New Roman;serif" w:hAnsi="Times New Roman;serif"/>
          <w:b/>
          <w:color w:val="000000"/>
          <w:sz w:val="20"/>
        </w:rPr>
        <w:t>Reconciliation from GAAP to Non-GAAP Results</w:t>
      </w:r>
    </w:p>
    <w:p>
      <w:pPr>
        <w:pStyle w:val="TextBody"/>
        <w:bidi w:val="0"/>
        <w:spacing w:lineRule="auto" w:line="288" w:before="12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bl>
      <w:tblPr>
        <w:tblW w:w="10205" w:type="dxa"/>
        <w:jc w:val="left"/>
        <w:tblInd w:w="0" w:type="dxa"/>
        <w:tblLayout w:type="fixed"/>
        <w:tblCellMar>
          <w:top w:w="28" w:type="dxa"/>
          <w:left w:w="28" w:type="dxa"/>
          <w:bottom w:w="28" w:type="dxa"/>
          <w:right w:w="28" w:type="dxa"/>
        </w:tblCellMar>
      </w:tblPr>
      <w:tblGrid>
        <w:gridCol w:w="167"/>
        <w:gridCol w:w="146"/>
        <w:gridCol w:w="146"/>
        <w:gridCol w:w="277"/>
        <w:gridCol w:w="253"/>
        <w:gridCol w:w="203"/>
        <w:gridCol w:w="1156"/>
        <w:gridCol w:w="1156"/>
        <w:gridCol w:w="1097"/>
        <w:gridCol w:w="196"/>
        <w:gridCol w:w="64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307"/>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74,295 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 capitalized in software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114,562 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margin: </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as a percentage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 capitalized in software development costs as a percentage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as a percentage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$4.3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Due to the relatively short-term nature of our investment portfolio, a hypothetical 100 basis point change in interest rates would not have a material effect on the fair value of our portfolio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For information regarding legal proceedings, refer to Note 6, </w:t>
      </w:r>
      <w:r>
        <w:rPr>
          <w:rFonts w:ascii="Times New Roman;serif" w:hAnsi="Times New Roman;serif"/>
          <w:b w:val="false"/>
          <w:i/>
          <w:color w:val="000000"/>
          <w:sz w:val="20"/>
        </w:rPr>
        <w:t>Commitments and Contingencies</w:t>
      </w:r>
      <w:r>
        <w:rPr>
          <w:color w:val="000000"/>
        </w:rPr>
        <w:t> </w:t>
      </w:r>
      <w:r>
        <w:rPr>
          <w:rFonts w:ascii="Times New Roman;serif" w:hAnsi="Times New Roman;serif"/>
          <w:b w:val="false"/>
          <w:color w:val="000000"/>
          <w:sz w:val="20"/>
        </w:rPr>
        <w:t>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5, 2026. If any of the identified risks are realized, our business, financial condition, operating results, cash flows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operating results, cash flows and prospects. As of the date of this Quarterly Report, there have been no material changes to the risk factors previously disclosed under the section entitled "Risk Factors" in Part I, Item 1A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bookmarkStart w:id="0" w:name="ic5d15fd246e9441aa2623183ee079dea_3288"/>
      <w:bookmarkEnd w:id="0"/>
      <w:r>
        <w:rPr>
          <w:rFonts w:ascii="Times New Roman;serif" w:hAnsi="Times New Roman;serif"/>
          <w:b/>
          <w:color w:val="000000"/>
          <w:sz w:val="20"/>
        </w:rPr>
        <w:t>Item 5. Other Information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During the three months ended June 30, 2026, no director or officer adopted or terminated a “Rule 10b5-1 trading arrangement” or “non-Rule 10b5-1 trading arrangement,” as each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837"/>
        <w:gridCol w:w="2465"/>
        <w:gridCol w:w="3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6exhibit311.htm">
              <w:r>
                <w:rPr>
                  <w:rStyle w:val="InternetLink"/>
                  <w:rFonts w:ascii="Times New Roman;serif" w:hAnsi="Times New Roman;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6exhibit312.htm">
              <w:r>
                <w:rPr>
                  <w:rStyle w:val="InternetLink"/>
                  <w:rFonts w:ascii="Times New Roman;serif" w:hAnsi="Times New Roman;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6exhibit321.htm">
              <w:r>
                <w:rPr>
                  <w:rStyle w:val="InternetLink"/>
                  <w:rFonts w:ascii="Times New Roman;serif" w:hAnsi="Times New Roman;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83"/>
        <w:jc w:val="left"/>
        <w:rPr/>
      </w:pPr>
      <w:hyperlink w:anchor="iff5cfeb28af3475f8ad76852cc0511b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20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12"/>
        <w:gridCol w:w="212"/>
        <w:gridCol w:w="212"/>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Shane Trigg, certify that:</w:t>
      </w:r>
    </w:p>
    <w:tbl>
      <w:tblPr>
        <w:tblW w:w="6086" w:type="dxa"/>
        <w:jc w:val="center"/>
        <w:tblInd w:w="0" w:type="dxa"/>
        <w:tblLayout w:type="fixed"/>
        <w:tblCellMar>
          <w:top w:w="28" w:type="dxa"/>
          <w:left w:w="28" w:type="dxa"/>
          <w:bottom w:w="28" w:type="dxa"/>
          <w:right w:w="28" w:type="dxa"/>
        </w:tblCellMar>
      </w:tblPr>
      <w:tblGrid>
        <w:gridCol w:w="124"/>
        <w:gridCol w:w="109"/>
        <w:gridCol w:w="109"/>
        <w:gridCol w:w="1677"/>
        <w:gridCol w:w="1677"/>
        <w:gridCol w:w="2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4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 have reviewed this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211"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Tim Eaton, certify that:</w:t>
      </w:r>
    </w:p>
    <w:tbl>
      <w:tblPr>
        <w:tblW w:w="6387" w:type="dxa"/>
        <w:jc w:val="left"/>
        <w:tblInd w:w="0" w:type="dxa"/>
        <w:tblLayout w:type="fixed"/>
        <w:tblCellMar>
          <w:top w:w="28" w:type="dxa"/>
          <w:left w:w="28" w:type="dxa"/>
          <w:bottom w:w="28" w:type="dxa"/>
          <w:right w:w="28" w:type="dxa"/>
        </w:tblCellMar>
      </w:tblPr>
      <w:tblGrid>
        <w:gridCol w:w="124"/>
        <w:gridCol w:w="109"/>
        <w:gridCol w:w="109"/>
        <w:gridCol w:w="1765"/>
        <w:gridCol w:w="1765"/>
        <w:gridCol w:w="25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 have reviewed this the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10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certifications are hereby made in connection with the Quarterly Report on Form 10-Q of AppFolio, Inc. (the “Company”) for the period ended June 30, 2026,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pStyle w:val="TextBody"/>
        <w:bidi w:val="0"/>
        <w:spacing w:before="0" w:after="0"/>
        <w:ind w:left="0" w:right="0" w:firstLine="720"/>
        <w:jc w:val="both"/>
        <w:rPr/>
      </w:pPr>
      <w:r>
        <w:rPr/>
      </w:r>
    </w:p>
    <w:tbl>
      <w:tblPr>
        <w:tblW w:w="542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Tim Eaton,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22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13515</Words>
  <Characters>75503</Characters>
  <CharactersWithSpaces>87971</CharactersWithSpaces>
  <Paragraphs>2235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