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04" w:lineRule="exact"/>
        <w:rPr>
          <w:sz w:val="24"/>
          <w:szCs w:val="24"/>
          <w:color w:val="auto"/>
        </w:rPr>
      </w:pPr>
    </w:p>
    <w:p>
      <w:pPr>
        <w:ind w:right="2220" w:firstLine="8"/>
        <w:spacing w:after="0" w:line="32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2025.</w:t>
      </w:r>
    </w:p>
    <w:p>
      <w:pPr>
        <w:spacing w:after="0" w:line="1" w:lineRule="exact"/>
        <w:rPr>
          <w:rFonts w:ascii="MS PGothic" w:cs="MS PGothic" w:eastAsia="MS PGothic" w:hAnsi="MS PGothic"/>
          <w:sz w:val="18"/>
          <w:szCs w:val="18"/>
          <w:color w:val="auto"/>
        </w:rPr>
      </w:pPr>
    </w:p>
    <w:p>
      <w:pPr>
        <w:ind w:right="2200"/>
        <w:spacing w:after="0" w:line="293"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001-37468</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AppFolio,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286" w:lineRule="exact"/>
        <w:rPr>
          <w:sz w:val="24"/>
          <w:szCs w:val="24"/>
          <w:color w:val="auto"/>
        </w:rPr>
      </w:pPr>
    </w:p>
    <w:tbl>
      <w:tblPr>
        <w:tblLayout w:type="fixed"/>
        <w:tblInd w:w="1360" w:type="dxa"/>
        <w:tblCellMar>
          <w:top w:w="0" w:type="dxa"/>
          <w:left w:w="0" w:type="dxa"/>
          <w:bottom w:w="0" w:type="dxa"/>
          <w:right w:w="0" w:type="dxa"/>
        </w:tblCellMar>
      </w:tblPr>
      <w:tr>
        <w:trPr>
          <w:trHeight w:val="230"/>
        </w:trPr>
        <w:tc>
          <w:tcPr>
            <w:tcW w:w="430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26-0359894</w:t>
            </w:r>
          </w:p>
        </w:tc>
      </w:tr>
      <w:tr>
        <w:trPr>
          <w:trHeight w:val="238"/>
        </w:trPr>
        <w:tc>
          <w:tcPr>
            <w:tcW w:w="430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i w:val="1"/>
                <w:iCs w:val="1"/>
                <w:color w:val="auto"/>
                <w:w w:val="99"/>
              </w:rPr>
              <w:t>(State of incorporation or organization)</w:t>
            </w:r>
          </w:p>
        </w:tc>
        <w:tc>
          <w:tcPr>
            <w:tcW w:w="404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i w:val="1"/>
                <w:iCs w:val="1"/>
                <w:color w:val="auto"/>
              </w:rPr>
              <w:t>(I.R.S. Employer Identification No.)</w:t>
            </w:r>
          </w:p>
        </w:tc>
      </w:tr>
      <w:tr>
        <w:trPr>
          <w:trHeight w:val="477"/>
        </w:trPr>
        <w:tc>
          <w:tcPr>
            <w:tcW w:w="430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color w:val="auto"/>
              </w:rPr>
              <w:t>70 Castilian Drive</w:t>
            </w:r>
          </w:p>
        </w:tc>
        <w:tc>
          <w:tcPr>
            <w:tcW w:w="404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93117</w:t>
            </w:r>
          </w:p>
        </w:tc>
      </w:tr>
      <w:tr>
        <w:trPr>
          <w:trHeight w:val="230"/>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Santa Barbara, California</w:t>
            </w:r>
          </w:p>
        </w:tc>
        <w:tc>
          <w:tcPr>
            <w:tcW w:w="4040" w:type="dxa"/>
            <w:vAlign w:val="bottom"/>
          </w:tcPr>
          <w:p>
            <w:pPr>
              <w:spacing w:after="0"/>
              <w:rPr>
                <w:sz w:val="19"/>
                <w:szCs w:val="19"/>
                <w:color w:val="auto"/>
              </w:rPr>
            </w:pPr>
          </w:p>
        </w:tc>
      </w:tr>
      <w:tr>
        <w:trPr>
          <w:trHeight w:val="238"/>
        </w:trPr>
        <w:tc>
          <w:tcPr>
            <w:tcW w:w="4300" w:type="dxa"/>
            <w:vAlign w:val="bottom"/>
          </w:tcPr>
          <w:p>
            <w:pPr>
              <w:jc w:val="center"/>
              <w:ind w:right="1250"/>
              <w:spacing w:after="0"/>
              <w:rPr>
                <w:sz w:val="20"/>
                <w:szCs w:val="20"/>
                <w:color w:val="auto"/>
              </w:rPr>
            </w:pPr>
            <w:r>
              <w:rPr>
                <w:rFonts w:ascii="Times New Roman" w:cs="Times New Roman" w:eastAsia="Times New Roman" w:hAnsi="Times New Roman"/>
                <w:sz w:val="18"/>
                <w:szCs w:val="18"/>
                <w:b w:val="1"/>
                <w:bCs w:val="1"/>
                <w:i w:val="1"/>
                <w:iCs w:val="1"/>
                <w:color w:val="auto"/>
                <w:w w:val="99"/>
              </w:rPr>
              <w:t>(Address of principal executive offices)</w:t>
            </w:r>
          </w:p>
        </w:tc>
        <w:tc>
          <w:tcPr>
            <w:tcW w:w="404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i w:val="1"/>
                <w:iCs w:val="1"/>
                <w:color w:val="auto"/>
              </w:rPr>
              <w:t>(Zip Code)</w:t>
            </w:r>
          </w:p>
        </w:tc>
      </w:tr>
    </w:tbl>
    <w:p>
      <w:pPr>
        <w:spacing w:after="0" w:line="1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(805) 364-6093</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(Registrant’s telephone number, including area code)</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(Former name, former address and former fiscal year, if changed since last report)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88"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8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1400" w:type="dxa"/>
            <w:vAlign w:val="bottom"/>
            <w:tcBorders>
              <w:top w:val="single" w:sz="8" w:color="auto"/>
            </w:tcBorders>
          </w:tcPr>
          <w:p>
            <w:pPr>
              <w:spacing w:after="0"/>
              <w:rPr>
                <w:sz w:val="16"/>
                <w:szCs w:val="16"/>
                <w:color w:val="auto"/>
              </w:rPr>
            </w:pPr>
          </w:p>
        </w:tc>
        <w:tc>
          <w:tcPr>
            <w:tcW w:w="4440" w:type="dxa"/>
            <w:vAlign w:val="bottom"/>
            <w:tcBorders>
              <w:top w:val="single" w:sz="8" w:color="auto"/>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Class A common stock, $0.0001 par value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APPF</w:t>
            </w:r>
          </w:p>
        </w:tc>
        <w:tc>
          <w:tcPr>
            <w:tcW w:w="1400" w:type="dxa"/>
            <w:vAlign w:val="bottom"/>
            <w:tcBorders>
              <w:bottom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6"/>
                <w:szCs w:val="16"/>
                <w:color w:val="auto"/>
              </w:rPr>
              <w:t>NASDAQ Global Market</w:t>
            </w:r>
          </w:p>
        </w:tc>
      </w:tr>
    </w:tbl>
    <w:p>
      <w:pPr>
        <w:spacing w:after="0" w:line="81"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4"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54" w:lineRule="exact"/>
        <w:rPr>
          <w:sz w:val="24"/>
          <w:szCs w:val="24"/>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0"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2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vMerge w:val="restart"/>
          </w:tcPr>
          <w:p>
            <w:pPr>
              <w:ind w:left="27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0"/>
        </w:trPr>
        <w:tc>
          <w:tcPr>
            <w:tcW w:w="20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309" w:lineRule="exact"/>
        <w:rPr>
          <w:sz w:val="24"/>
          <w:szCs w:val="24"/>
          <w:color w:val="auto"/>
        </w:rPr>
      </w:pPr>
    </w:p>
    <w:p>
      <w:pPr>
        <w:ind w:right="320"/>
        <w:spacing w:after="0" w:line="280" w:lineRule="auto"/>
        <w:rPr>
          <w:sz w:val="20"/>
          <w:szCs w:val="20"/>
          <w:color w:val="auto"/>
        </w:rPr>
      </w:pPr>
      <w:r>
        <w:rPr>
          <w:rFonts w:ascii="Times New Roman" w:cs="Times New Roman" w:eastAsia="Times New Roman" w:hAnsi="Times New Roman"/>
          <w:sz w:val="16"/>
          <w:szCs w:val="16"/>
          <w:color w:val="auto"/>
        </w:rPr>
        <w:t>As of October 23, 2025, the number of shares of the registrant’s Class A common stock outstanding was 23,073,192 and the number of shares of the registrant’s Class B common stock outstanding was 12,848,178.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20" w:type="dxa"/>
            <w:vAlign w:val="bottom"/>
            <w:gridSpan w:val="9"/>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5"/>
              </w:rPr>
              <w:t>Forward-Looking Statements</w:t>
            </w:r>
          </w:p>
        </w:tc>
        <w:tc>
          <w:tcPr>
            <w:tcW w:w="7940" w:type="dxa"/>
            <w:vAlign w:val="bottom"/>
            <w:gridSpan w:val="14"/>
          </w:tcPr>
          <w:p>
            <w:pPr>
              <w:spacing w:after="0"/>
              <w:rPr>
                <w:sz w:val="15"/>
                <w:szCs w:val="15"/>
                <w:color w:val="auto"/>
              </w:rPr>
            </w:pPr>
          </w:p>
        </w:tc>
        <w:tc>
          <w:tcPr>
            <w:tcW w:w="640" w:type="dxa"/>
            <w:vAlign w:val="bottom"/>
            <w:tcBorders>
              <w:top w:val="single" w:sz="8" w:color="auto"/>
            </w:tcBorders>
            <w:gridSpan w:val="2"/>
          </w:tcPr>
          <w:p>
            <w:pPr>
              <w:jc w:val="center"/>
              <w:ind w:left="470"/>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940" w:type="dxa"/>
            <w:vAlign w:val="bottom"/>
            <w:gridSpan w:val="14"/>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2025 and December 31, 2024</w:t>
            </w:r>
          </w:p>
        </w:tc>
        <w:tc>
          <w:tcPr>
            <w:tcW w:w="2560" w:type="dxa"/>
            <w:vAlign w:val="bottom"/>
            <w:gridSpan w:val="5"/>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Operations for the Three and Nine Months Ended September 30, 2025 and 2024</w:t>
            </w:r>
          </w:p>
        </w:tc>
        <w:tc>
          <w:tcPr>
            <w:tcW w:w="560" w:type="dxa"/>
            <w:vAlign w:val="bottom"/>
            <w:gridSpan w:val="2"/>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September</w:t>
            </w:r>
          </w:p>
        </w:tc>
        <w:tc>
          <w:tcPr>
            <w:tcW w:w="640" w:type="dxa"/>
            <w:vAlign w:val="bottom"/>
            <w:gridSpan w:val="2"/>
            <w:vMerge w:val="restart"/>
          </w:tcPr>
          <w:p>
            <w:pPr>
              <w:jc w:val="center"/>
              <w:ind w:left="470"/>
              <w:spacing w:after="0"/>
              <w:rPr>
                <w:sz w:val="20"/>
                <w:szCs w:val="20"/>
                <w:color w:val="auto"/>
              </w:rPr>
            </w:pPr>
            <w:r>
              <w:rPr>
                <w:rFonts w:ascii="Times New Roman" w:cs="Times New Roman" w:eastAsia="Times New Roman" w:hAnsi="Times New Roman"/>
                <w:sz w:val="18"/>
                <w:szCs w:val="18"/>
                <w:color w:val="0000FF"/>
                <w:w w:val="88"/>
              </w:rPr>
              <w:t>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30, 2025 and 2024</w:t>
            </w:r>
          </w:p>
        </w:tc>
        <w:tc>
          <w:tcPr>
            <w:tcW w:w="7300" w:type="dxa"/>
            <w:vAlign w:val="bottom"/>
            <w:tcBorders>
              <w:top w:val="single" w:sz="8" w:color="0000FF"/>
            </w:tcBorders>
            <w:gridSpan w:val="11"/>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440" w:type="dxa"/>
            <w:vAlign w:val="bottom"/>
            <w:tcBorders>
              <w:left w:val="single" w:sz="8" w:color="0000FF"/>
            </w:tcBorders>
            <w:gridSpan w:val="3"/>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Nine Months Ended September 30, 2025 and 2024</w:t>
            </w:r>
          </w:p>
        </w:tc>
        <w:tc>
          <w:tcPr>
            <w:tcW w:w="560" w:type="dxa"/>
            <w:vAlign w:val="bottom"/>
            <w:gridSpan w:val="2"/>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w:t>
            </w:r>
          </w:p>
        </w:tc>
        <w:tc>
          <w:tcPr>
            <w:tcW w:w="560" w:type="dxa"/>
            <w:vAlign w:val="bottom"/>
            <w:gridSpan w:val="2"/>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Unaudited Financial Statements</w:t>
            </w:r>
          </w:p>
        </w:tc>
        <w:tc>
          <w:tcPr>
            <w:tcW w:w="1220" w:type="dxa"/>
            <w:vAlign w:val="bottom"/>
            <w:gridSpan w:val="3"/>
          </w:tcPr>
          <w:p>
            <w:pPr>
              <w:spacing w:after="0"/>
              <w:rPr>
                <w:sz w:val="18"/>
                <w:szCs w:val="18"/>
                <w:color w:val="auto"/>
              </w:rPr>
            </w:pPr>
          </w:p>
        </w:tc>
        <w:tc>
          <w:tcPr>
            <w:tcW w:w="6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0000FF"/>
                <w:w w:val="88"/>
              </w:rPr>
              <w:t>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18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234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702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46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26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480" w:type="dxa"/>
            <w:vAlign w:val="bottom"/>
            <w:gridSpan w:val="11"/>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200" w:type="dxa"/>
            <w:vAlign w:val="bottom"/>
            <w:gridSpan w:val="1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9"/>
        </w:trPr>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This Quarterly Report on Form 10-Q for the fiscal quarter ended September 30, 2025 (this "Quarterly Report"), contains forward-looking statements within the meaning of the federal securities laws, including the Private Securities Litigation Reform Act of 1995 (the “PSLRA”), which statements involve substantial risks and uncertainties. The forward-looking statements made in this Quarterly Report are intended to qualify for the protection of the safe harbor provided by the PSLRA and are based primarily on our current expectations and projections about future events and trends that we believe may affect our business, financial condition, operating results, cash flows and/or prospects. Forward-looking statements include all statements that are not statements of historical fact. 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future products and services, growth in the size of our business and number of customers, strategic plans and objectives, the benefits or performance of our strategic investments,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 entitled "Management's Discussion and Analysis of Financial Condition and Results of Operations" and "Risk Factors" in this Quarterly Report and "Risk Factors" in our Annual Report on Form 10-K for the fiscal year ended December 31, 2024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1"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42,504</w:t>
            </w:r>
          </w:p>
        </w:tc>
      </w:tr>
      <w:tr>
        <w:trPr>
          <w:trHeight w:val="213"/>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securities—current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235,745</w:t>
            </w:r>
          </w:p>
        </w:tc>
      </w:tr>
      <w:tr>
        <w:trPr>
          <w:trHeight w:val="21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24,346</w:t>
            </w:r>
          </w:p>
        </w:tc>
      </w:tr>
      <w:tr>
        <w:trPr>
          <w:trHeight w:val="213"/>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68,269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32,807</w:t>
            </w:r>
          </w:p>
        </w:tc>
      </w:tr>
      <w:tr>
        <w:trPr>
          <w:trHeight w:val="212"/>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335,402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24,483</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 net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15,429</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96,410</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49,057</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76,910</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w:t>
            </w:r>
          </w:p>
        </w:tc>
      </w:tr>
      <w:tr>
        <w:trPr>
          <w:trHeight w:val="207"/>
        </w:trPr>
        <w:tc>
          <w:tcPr>
            <w:tcW w:w="82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640,465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626,678</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r>
      <w:tr>
        <w:trPr>
          <w:trHeight w:val="213"/>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employee expenses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30,157</w:t>
            </w:r>
          </w:p>
        </w:tc>
      </w:tr>
      <w:tr>
        <w:trPr>
          <w:trHeight w:val="21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14,658</w:t>
            </w:r>
          </w:p>
        </w:tc>
      </w:tr>
      <w:tr>
        <w:trPr>
          <w:trHeight w:val="213"/>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16,087</w:t>
            </w:r>
          </w:p>
        </w:tc>
      </w:tr>
      <w:tr>
        <w:trPr>
          <w:trHeight w:val="212"/>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63,280</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37,476</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6,632</w:t>
            </w:r>
          </w:p>
        </w:tc>
      </w:tr>
      <w:tr>
        <w:trPr>
          <w:trHeight w:val="207"/>
        </w:trPr>
        <w:tc>
          <w:tcPr>
            <w:tcW w:w="82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141,597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107,388</w:t>
            </w: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common stock</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254,821</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391,057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290,048</w:t>
            </w:r>
          </w:p>
        </w:tc>
      </w:tr>
      <w:tr>
        <w:trPr>
          <w:trHeight w:val="212"/>
        </w:trPr>
        <w:tc>
          <w:tcPr>
            <w:tcW w:w="8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498,868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519,290</w:t>
            </w:r>
          </w:p>
        </w:tc>
      </w:tr>
      <w:tr>
        <w:trPr>
          <w:trHeight w:val="207"/>
        </w:trPr>
        <w:tc>
          <w:tcPr>
            <w:tcW w:w="82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640,465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626,678</w:t>
            </w:r>
          </w:p>
        </w:tc>
      </w:tr>
      <w:tr>
        <w:trPr>
          <w:trHeight w:val="23"/>
        </w:trPr>
        <w:tc>
          <w:tcPr>
            <w:tcW w:w="8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5"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2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6"/>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249,353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590,538</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205,878</w:t>
            </w:r>
          </w:p>
        </w:tc>
        <w:tc>
          <w:tcPr>
            <w:tcW w:w="0" w:type="dxa"/>
            <w:vAlign w:val="bottom"/>
          </w:tcPr>
          <w:p>
            <w:pPr>
              <w:spacing w:after="0"/>
              <w:rPr>
                <w:sz w:val="1"/>
                <w:szCs w:val="1"/>
                <w:color w:val="auto"/>
              </w:rPr>
            </w:pPr>
          </w:p>
        </w:tc>
      </w:tr>
      <w:tr>
        <w:trPr>
          <w:trHeight w:val="229"/>
        </w:trPr>
        <w:tc>
          <w:tcPr>
            <w:tcW w:w="56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Research and product development</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118,079</w:t>
            </w: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14,209</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214,307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163,165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593,289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477,852</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112,686</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 income,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101,009</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Includes stock-based compensation expense as follows: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6"/>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5"/>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included in costs and operating expenses: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 w:type="dxa"/>
            <w:vAlign w:val="bottom"/>
          </w:tcPr>
          <w:p>
            <w:pPr>
              <w:spacing w:after="0"/>
              <w:rPr>
                <w:sz w:val="19"/>
                <w:szCs w:val="19"/>
                <w:color w:val="auto"/>
              </w:rPr>
            </w:pPr>
          </w:p>
        </w:tc>
        <w:tc>
          <w:tcPr>
            <w:tcW w:w="4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40" w:type="dxa"/>
            <w:vAlign w:val="bottom"/>
          </w:tcPr>
          <w:p>
            <w:pPr>
              <w:spacing w:after="0"/>
              <w:rPr>
                <w:sz w:val="19"/>
                <w:szCs w:val="19"/>
                <w:color w:val="auto"/>
              </w:rPr>
            </w:pPr>
          </w:p>
        </w:tc>
        <w:tc>
          <w:tcPr>
            <w:tcW w:w="5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3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20,793</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44,303</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101,334</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unrealized losses on investment securities,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101,710</w:t>
            </w:r>
          </w:p>
        </w:tc>
      </w:tr>
      <w:tr>
        <w:trPr>
          <w:trHeight w:val="21"/>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238"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290,048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519,290</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16,483</w:t>
            </w: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(9,078)</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on common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(95,763)</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31,383</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262,237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321,431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462,119</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18,448</w:t>
            </w: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(10,020)</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(50,961)</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35,980</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357,411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455,646</w:t>
            </w: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Exercise of stock options and issuance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of common stock under the Employee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Purchase Plan</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20,958</w:t>
            </w: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(12,332)</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33,646</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280,361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(172,480)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391,057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498,868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297,312</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13,646</w:t>
            </w: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(14,086)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38,663</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22,281</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240,419</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124,643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339,195</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15,032</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29,665</w:t>
            </w:r>
          </w:p>
        </w:tc>
        <w:tc>
          <w:tcPr>
            <w:tcW w:w="0" w:type="dxa"/>
            <w:vAlign w:val="bottom"/>
          </w:tcPr>
          <w:p>
            <w:pPr>
              <w:spacing w:after="0"/>
              <w:rPr>
                <w:sz w:val="1"/>
                <w:szCs w:val="1"/>
                <w:color w:val="auto"/>
              </w:rPr>
            </w:pPr>
          </w:p>
        </w:tc>
      </w:tr>
      <w:tr>
        <w:trPr>
          <w:trHeight w:val="212"/>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243,040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154,308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371,412</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16,315</w:t>
            </w:r>
          </w:p>
        </w:tc>
        <w:tc>
          <w:tcPr>
            <w:tcW w:w="0" w:type="dxa"/>
            <w:vAlign w:val="bottom"/>
          </w:tcPr>
          <w:p>
            <w:pPr>
              <w:spacing w:after="0"/>
              <w:rPr>
                <w:sz w:val="1"/>
                <w:szCs w:val="1"/>
                <w:color w:val="auto"/>
              </w:rPr>
            </w:pPr>
          </w:p>
        </w:tc>
      </w:tr>
      <w:tr>
        <w:trPr>
          <w:trHeight w:val="162"/>
        </w:trPr>
        <w:tc>
          <w:tcPr>
            <w:tcW w:w="2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 units, net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(8,579)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Class B common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 Class A common stock</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33,006</w:t>
            </w: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250,790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187,314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412,827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101,009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101,334</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w:t>
            </w:r>
          </w:p>
        </w:tc>
      </w:tr>
      <w:tr>
        <w:trPr>
          <w:trHeight w:val="21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r>
      <w:tr>
        <w:trPr>
          <w:trHeight w:val="213"/>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7,471</w:t>
            </w:r>
          </w:p>
        </w:tc>
      </w:tr>
      <w:tr>
        <w:trPr>
          <w:trHeight w:val="21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including as amortized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44,304</w:t>
            </w:r>
          </w:p>
        </w:tc>
      </w:tr>
      <w:tr>
        <w:trPr>
          <w:trHeight w:val="219"/>
        </w:trPr>
        <w:tc>
          <w:tcPr>
            <w:tcW w:w="8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w:t>
            </w:r>
          </w:p>
        </w:tc>
      </w:tr>
      <w:tr>
        <w:trPr>
          <w:trHeight w:val="213"/>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w:t>
            </w:r>
          </w:p>
        </w:tc>
      </w:tr>
      <w:tr>
        <w:trPr>
          <w:trHeight w:val="213"/>
        </w:trPr>
        <w:tc>
          <w:tcPr>
            <w:tcW w:w="8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w:t>
            </w:r>
          </w:p>
        </w:tc>
      </w:tr>
      <w:tr>
        <w:trPr>
          <w:trHeight w:val="219"/>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84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r>
      <w:tr>
        <w:trPr>
          <w:trHeight w:val="219"/>
        </w:trPr>
        <w:tc>
          <w:tcPr>
            <w:tcW w:w="8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w:t>
            </w:r>
          </w:p>
        </w:tc>
      </w:tr>
      <w:tr>
        <w:trPr>
          <w:trHeight w:val="207"/>
        </w:trPr>
        <w:tc>
          <w:tcPr>
            <w:tcW w:w="846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177,115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151,593</w:t>
            </w:r>
          </w:p>
        </w:tc>
      </w:tr>
      <w:tr>
        <w:trPr>
          <w:trHeight w:val="19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investing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(265,319)</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sales of available-for-sale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maturities of available-for-sale investments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163,755</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 of software development costs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long-term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paid in business acquisition, net of cash acquired</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4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(107,497)</w:t>
            </w:r>
          </w:p>
        </w:tc>
      </w:tr>
      <w:tr>
        <w:trPr>
          <w:trHeight w:val="194"/>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financing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 for net share settlement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(35,101)</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 under the Employee Stock Purchase Plan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(145,723)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4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(31,188)</w:t>
            </w:r>
          </w:p>
        </w:tc>
      </w:tr>
      <w:tr>
        <w:trPr>
          <w:trHeight w:val="207"/>
        </w:trPr>
        <w:tc>
          <w:tcPr>
            <w:tcW w:w="84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12,908</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49,759</w:t>
            </w: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62,667</w:t>
            </w:r>
          </w:p>
        </w:tc>
      </w:tr>
      <w:tr>
        <w:trPr>
          <w:trHeight w:val="21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62,417</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consolidated statements of cash flows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UNAUDITED FINANCIAL STATEMENTS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AppFolio, Inc. ("we," "us" or "our") is a technology leader powering the future of the real estate industry. We provide a cloud-based platform on which our customers operate their businesses. Our services enable our customers to connect communities, increase operational efficiency, deliver exceptional customer experiences, and improve financial and operational performance.</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Significant Accounting Policies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6, 2025.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nine months ended September 30, 2025 are not necessarily indicative of the results expected for the full year ending December 31, 2025.</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reclassified certain amounts in our Condensed Consolidated Statements of Cash Flows within the cash flows from operating activities section in the prior year to conform to the current year's presentation. We also reclassified long-term investments from other long-term assets in our Condensed Consolidated Balance Sheets in the prior year to conform to the current year's presentation,</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assets and liabilities assumed in business combinations, the fair value of financial instruments, the fair value of privately-held strategic investments, useful lives of property and equipment and intangible assets, capitalized software development costs, incremental borrowing rate applied in lease accounting, impairment of goodwill and long-lived assets, the period of benefit associated with deferred costs, stock-based compensation, income taxes, and contingencies. Actual results could differ from those estimates and any such differences may have a material impact on our Consolidated Financial Statements.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strategic investments consist of non-marketable equity investments in privately-held companies in which we do not have a controlling interest or significant influence. We record these strategic investments as </w:t>
      </w:r>
      <w:r>
        <w:rPr>
          <w:rFonts w:ascii="Times New Roman" w:cs="Times New Roman" w:eastAsia="Times New Roman" w:hAnsi="Times New Roman"/>
          <w:sz w:val="18"/>
          <w:szCs w:val="18"/>
          <w:i w:val="1"/>
          <w:iCs w:val="1"/>
          <w:color w:val="auto"/>
        </w:rPr>
        <w:t>long-term investments</w:t>
      </w:r>
      <w:r>
        <w:rPr>
          <w:rFonts w:ascii="Times New Roman" w:cs="Times New Roman" w:eastAsia="Times New Roman" w:hAnsi="Times New Roman"/>
          <w:sz w:val="18"/>
          <w:szCs w:val="18"/>
          <w:color w:val="auto"/>
        </w:rPr>
        <w:t xml:space="preserve"> in our Condensed Consolidated Balance Sheets. We have elected to apply the measurement alternative for equity investments in privately-held companies that do not have readily determinable fair values, measuring them at cost, less any impairment, plus or minus adjustments resulting from observable price changes in orderly transactions for the identical or a similar investment of the same issuer. An impairment loss is recorded when an event or circumstance indicates a decline in value has occurred.</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determining the estimated fair value of our strategic investments in privately held companies, we use the most recent and available data. Valuations of privately held securities are inherently complex due to the lack of readily available market data and require the use of judgment. The determination of whether an orderly transaction is for an identical or similar investment requires use of significant judgment. In our evaluation, we consider factors such as differences in the rights and preferences of the investments and the extent to which those differences would affect the fair values of those investments. Our impairment analysis encompasses an assessment of both qualitative and quantitative factors including the investee's financial metrics, market acceptance of the investee's product or technology, general market conditions and liquidity considerations.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("CODM"), the Chief Executive Officer, allocates resources and assesses financial performance based upon discrete financial information at the consolidated level. There are no segment managers who are held accountable by our CODM, or anyone else, for operations, operating results and planning for levels or components below the consolidated unit level. Accordingly, we have determined that we operate as a single operating and reportable segment.</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CODM uses consolidated net income (loss) as the sole measure of segment profit or loss. Significant segment expenses include cost of revenue (excluding depreciation and amortization), sales and marketing, research and product development, general and administrative expenses, and depreciation and amortization. For expenses incurred during the nine months ended September 30, 2025 and 2024, refer to our Condensed Consolidated Statements of Operations. Stock-based compensation expense is also recognized as a significant segment expense. Details regarding this expense for the nine months ended September 30, 2025 and 2024 was included in the parenthetical note to the respective Condensed Consolidated Statements of Operations.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Costs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costs, which primarily consist of sales commissions, are considered incremental and recoverable costs of obtaining a contract with a customer. These costs are deferred and then amortized on a straight-line basis over a period of benefit that we have determined to be three years. We typically do not pay commissions for contract renewals. We determined the period of benefit by taking into consideration our customer contract term, the useful life of our internal-use software, average customer life, and other factors. Amortization expense for deferred costs is included within sales and marketing expense in the accompanying Condensed Consolidated Statements of Operations.</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Deferred costs were $19.6 million and $16.8 million as of September 30, 2025 and December 31, 2024, respectively, of which $9.9 million and $9.9 million, respectively, are included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and $9.7 million and $6.9 million, respectively, are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long-term assets </w:t>
      </w:r>
      <w:r>
        <w:rPr>
          <w:rFonts w:ascii="Times New Roman" w:cs="Times New Roman" w:eastAsia="Times New Roman" w:hAnsi="Times New Roman"/>
          <w:sz w:val="18"/>
          <w:szCs w:val="18"/>
          <w:color w:val="auto"/>
        </w:rPr>
        <w:t>in the accompanying Condensed Consolidated Balance Sheets. Amortization expense for deferred costs was $2.8 million, and $2.5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three months ended September 30, 2025 and 2024, respectively, and $8.2 million, and $7.5 million for the nine months ended September 30, 2025 and 2024, respectively. For the nine months ended September 30, 2025 and 2024, no impairments were identified in relation to the costs capitalized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income per common share was the same for shares of our Class A and Class B common stock because they are entitled to the same liquidation and dividend rights and are therefore combined in the table below. The following table sets forth the computation of basic and diluted net income per common share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40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Basic net income per share: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52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undistributed earnings to participating securities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Borders>
              <w:top w:val="single" w:sz="8" w:color="CCEEFF"/>
            </w:tcBorders>
            <w:gridSpan w:val="3"/>
            <w:vMerge w:val="continue"/>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Weighted average unvested restricted shares subject to repurchase</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35,889</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 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640" w:type="dxa"/>
            <w:vAlign w:val="bottom"/>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3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 Weighted average dilutive options outstanding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Weighted average dilutive restricted stock units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are not included in the calculation of diluted net income per share because doing so would be antidilutive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8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966"/>
        </w:trPr>
        <w:tc>
          <w:tcPr>
            <w:tcW w:w="648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56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that an entity, on an annual basis, disclose additional income tax information, primarily related to the rate at which reconciliation and income taxes are paid. The amendment in ASU 2023-09 is intended to enhance the transparency and decision usefulness of income tax disclosures. The guidance will be applied on a prospective basis with the option to apply the standard retrospectively and is effective for calendar year-end public business entities in the 2025 annual period and in 2026 for interim periods with early adoption permitted. We plan to adopt the standard in our fiscal year 2025 annual financial statements, and we expect the adoption of the standard will impact certain of our income tax disclosures.</w:t>
      </w:r>
    </w:p>
    <w:p>
      <w:pPr>
        <w:spacing w:after="0" w:line="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Times New Roman" w:cs="Times New Roman" w:eastAsia="Times New Roman" w:hAnsi="Times New Roman"/>
          <w:sz w:val="18"/>
          <w:szCs w:val="18"/>
          <w:i w:val="1"/>
          <w:iCs w:val="1"/>
          <w:color w:val="auto"/>
        </w:rPr>
        <w:t>Disaggregation of Income Statement Expense.</w:t>
      </w:r>
      <w:r>
        <w:rPr>
          <w:rFonts w:ascii="Times New Roman" w:cs="Times New Roman" w:eastAsia="Times New Roman" w:hAnsi="Times New Roman"/>
          <w:sz w:val="18"/>
          <w:szCs w:val="18"/>
          <w:color w:val="auto"/>
        </w:rPr>
        <w:t xml:space="preserve"> The new standard requires additional disclosures about specific types of expenses included in the expense captions presented on the face of income statements as well as disclosures about selling expenses. The guidance applies prospectively with the option to apply the standard retrospectively and is effective for calendar year-end public business entities in the 2027 annual period and in 2028 for interim periods with early adoption permitted. We are currently evaluating the impact of ASU 2024-03 on our Consolidated Financial Statements.</w:t>
      </w:r>
    </w:p>
    <w:p>
      <w:pPr>
        <w:spacing w:after="0" w:line="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which amends ASC 326-202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guidance will be applied on a prospective basis and is effective for calendar year-end public business entities in the 2026 annual period and its interim periods, with early adoption permitted. We plan to adopt the standard from January 1, 2026, and we expect the adoption of the standard will not have any material impact on our financial statements.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Targeted Improvements to the Accounting for Internal-Use Software, to modernize the accounting guidance for the costs to develop software for internal use. The new guidance amends the existing standard that refers to various stages of a software development project to align better with current software development methods, such as agile programming. The new guidance will be effective for calendar year-end public business entities in the 2028 annual period. The guidance can be applied on a fully prospective basis, a modified basis for in-process projects, or a full retrospective basis. We are currently evaluating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ind w:left="660" w:right="7000" w:hanging="607"/>
        <w:spacing w:after="0" w:line="378" w:lineRule="auto"/>
        <w:tabs>
          <w:tab w:leader="none" w:pos="237"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Securities and Fair Value Measurements </w:t>
      </w:r>
      <w:r>
        <w:rPr>
          <w:rFonts w:ascii="Times New Roman" w:cs="Times New Roman" w:eastAsia="Times New Roman" w:hAnsi="Times New Roman"/>
          <w:sz w:val="18"/>
          <w:szCs w:val="18"/>
          <w:b w:val="1"/>
          <w:bCs w:val="1"/>
          <w:i w:val="1"/>
          <w:iCs w:val="1"/>
          <w:color w:val="auto"/>
        </w:rPr>
        <w:t>Investment Securities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securities classified as available-for-sale consisted of the following as of September 30, 2025 and December 31, 2024 (in thousands):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4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124,068</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124,056</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124,068</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124,056</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4"/>
        </w:trPr>
        <w:tc>
          <w:tcPr>
            <w:tcW w:w="4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8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4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235,509</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235,745</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235,509</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235,745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September 30, 2025 or December 31, 2024.</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of available-for-sale investment securities, by remaining contractual maturity, are as follows (in thousands):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298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235,745</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124,056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235,509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235,745</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2025 and 2024, we had sales and maturities of investment securities, as follows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Gains</w:t>
            </w: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Losses</w:t>
            </w:r>
          </w:p>
        </w:tc>
        <w:tc>
          <w:tcPr>
            <w:tcW w:w="120" w:type="dxa"/>
            <w:vAlign w:val="bottom"/>
          </w:tcPr>
          <w:p>
            <w:pPr>
              <w:spacing w:after="0"/>
              <w:rPr>
                <w:sz w:val="11"/>
                <w:szCs w:val="11"/>
                <w:color w:val="auto"/>
              </w:rPr>
            </w:pPr>
          </w:p>
        </w:tc>
        <w:tc>
          <w:tcPr>
            <w:tcW w:w="15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100" w:type="dxa"/>
            <w:vAlign w:val="bottom"/>
          </w:tcPr>
          <w:p>
            <w:pPr>
              <w:spacing w:after="0"/>
              <w:rPr>
                <w:sz w:val="11"/>
                <w:szCs w:val="11"/>
                <w:color w:val="auto"/>
              </w:rPr>
            </w:pPr>
          </w:p>
        </w:tc>
        <w:tc>
          <w:tcPr>
            <w:tcW w:w="1420" w:type="dxa"/>
            <w:vAlign w:val="bottom"/>
          </w:tcPr>
          <w:p>
            <w:pPr>
              <w:jc w:val="center"/>
              <w:ind w:right="19"/>
              <w:spacing w:after="0" w:line="129"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7"/>
                <w:szCs w:val="17"/>
                <w:color w:val="auto"/>
              </w:rPr>
            </w:pPr>
          </w:p>
        </w:tc>
        <w:tc>
          <w:tcPr>
            <w:tcW w:w="14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00" w:type="dxa"/>
            <w:vAlign w:val="bottom"/>
            <w:tcBorders>
              <w:top w:val="single" w:sz="8" w:color="auto"/>
              <w:bottom w:val="single" w:sz="8" w:color="auto"/>
            </w:tcBorders>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center"/>
              <w:ind w:left="836"/>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202,662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76,620</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center"/>
              <w:ind w:left="836"/>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202,662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4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Gains</w:t>
            </w: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Losses</w:t>
            </w:r>
          </w:p>
        </w:tc>
        <w:tc>
          <w:tcPr>
            <w:tcW w:w="120" w:type="dxa"/>
            <w:vAlign w:val="bottom"/>
          </w:tcPr>
          <w:p>
            <w:pPr>
              <w:spacing w:after="0"/>
              <w:rPr>
                <w:sz w:val="11"/>
                <w:szCs w:val="11"/>
                <w:color w:val="auto"/>
              </w:rPr>
            </w:pPr>
          </w:p>
        </w:tc>
        <w:tc>
          <w:tcPr>
            <w:tcW w:w="15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100" w:type="dxa"/>
            <w:vAlign w:val="bottom"/>
          </w:tcPr>
          <w:p>
            <w:pPr>
              <w:spacing w:after="0"/>
              <w:rPr>
                <w:sz w:val="11"/>
                <w:szCs w:val="11"/>
                <w:color w:val="auto"/>
              </w:rPr>
            </w:pPr>
          </w:p>
        </w:tc>
        <w:tc>
          <w:tcPr>
            <w:tcW w:w="1420" w:type="dxa"/>
            <w:vAlign w:val="bottom"/>
          </w:tcPr>
          <w:p>
            <w:pPr>
              <w:jc w:val="center"/>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Pr>
          <w:p>
            <w:pPr>
              <w:spacing w:after="0"/>
              <w:rPr>
                <w:sz w:val="16"/>
                <w:szCs w:val="16"/>
                <w:color w:val="auto"/>
              </w:rPr>
            </w:pPr>
          </w:p>
        </w:tc>
        <w:tc>
          <w:tcPr>
            <w:tcW w:w="14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8"/>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center"/>
              <w:ind w:left="87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163,755</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tables above do not include our strategic investments of non-marketable equity investments in privately-held companies, which are recorded in </w:t>
      </w:r>
      <w:r>
        <w:rPr>
          <w:rFonts w:ascii="Times New Roman" w:cs="Times New Roman" w:eastAsia="Times New Roman" w:hAnsi="Times New Roman"/>
          <w:sz w:val="18"/>
          <w:szCs w:val="18"/>
          <w:i w:val="1"/>
          <w:iCs w:val="1"/>
          <w:color w:val="auto"/>
        </w:rPr>
        <w:t>long-term investments</w:t>
      </w:r>
      <w:r>
        <w:rPr>
          <w:rFonts w:ascii="Times New Roman" w:cs="Times New Roman" w:eastAsia="Times New Roman" w:hAnsi="Times New Roman"/>
          <w:sz w:val="18"/>
          <w:szCs w:val="18"/>
          <w:color w:val="auto"/>
        </w:rPr>
        <w:t xml:space="preserve"> in our Condensed Consolidated Balance Sheets. These strategic investments consist of the following as of September 30, 2025 and December 31, 2024 (in thousands):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Nature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48"/>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2025, we purchased a minority, non-controlling equity interest in Second Nature Holdings, L.P. (“Second Nature”) for $75.0 million, paid with cash on hand. We determined that we do not have significant influence over Second Nature, and our investment in Second Nature has been classified as an investment in equity securities without readily determinable fair value.</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realized or unrealized gains or losses from remeasurement of investments in equity securities under the measurement alternative for the nine months ended September 30, 2025 and 2024.</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our financial assets and liabilities measured at fair value on a recurring basis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by level within the fair value hierarchy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1"/>
                <w:szCs w:val="11"/>
                <w:color w:val="auto"/>
              </w:rPr>
            </w:pPr>
          </w:p>
        </w:tc>
        <w:tc>
          <w:tcPr>
            <w:tcW w:w="1240" w:type="dxa"/>
            <w:vAlign w:val="bottom"/>
          </w:tcPr>
          <w:p>
            <w:pPr>
              <w:jc w:val="center"/>
              <w:ind w:right="177"/>
              <w:spacing w:after="0" w:line="131"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4"/>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124,056</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178,130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1"/>
                <w:szCs w:val="11"/>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1"/>
                <w:szCs w:val="11"/>
                <w:color w:val="auto"/>
              </w:rPr>
            </w:pPr>
          </w:p>
        </w:tc>
        <w:tc>
          <w:tcPr>
            <w:tcW w:w="1240" w:type="dxa"/>
            <w:vAlign w:val="bottom"/>
          </w:tcPr>
          <w:p>
            <w:pPr>
              <w:jc w:val="center"/>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6"/>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235,745</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receivable, accounts payable and accrued liabilities approximate their fair value because of the short maturity of these items.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Strategic Investments Measured and Recorded at Fair Value on a Non-Recurring Basis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Strategic investments primarily include equity investments in privately-held companies, which do not have a readily determinable fair value. Strategic investments are classified as Level 3 in the fair value hierarchy, as their nonrecurring fair value measurements may include observable and unobservable inputs. As of September 30, 2025 and December 31, 2024, the balance of strategic investments was $77.0 million and $2.0 million,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b w:val="1"/>
          <w:bCs w:val="1"/>
          <w:color w:val="auto"/>
        </w:rPr>
        <w:t>4. Other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0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Income tax receivable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r>
      <w:tr>
        <w:trPr>
          <w:trHeight w:val="229"/>
        </w:trPr>
        <w:tc>
          <w:tcPr>
            <w:tcW w:w="8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Deferred commissions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r>
      <w:tr>
        <w:trPr>
          <w:trHeight w:val="230"/>
        </w:trPr>
        <w:tc>
          <w:tcPr>
            <w:tcW w:w="8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Deposits for insurance services</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23"/>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32,807</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For additional information on income tax, refer to Note 8, </w:t>
      </w:r>
      <w:r>
        <w:rPr>
          <w:rFonts w:ascii="Times New Roman" w:cs="Times New Roman" w:eastAsia="Times New Roman" w:hAnsi="Times New Roman"/>
          <w:sz w:val="18"/>
          <w:szCs w:val="18"/>
          <w:i w:val="1"/>
          <w:iCs w:val="1"/>
          <w:color w:val="auto"/>
        </w:rPr>
        <w:t>Income Taxes.</w:t>
      </w:r>
    </w:p>
    <w:p>
      <w:pPr>
        <w:spacing w:after="0" w:line="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For additional information on deferred commissions, refer to Deferred Costs in Note 2, </w:t>
      </w:r>
      <w:r>
        <w:rPr>
          <w:rFonts w:ascii="Times New Roman" w:cs="Times New Roman" w:eastAsia="Times New Roman" w:hAnsi="Times New Roman"/>
          <w:sz w:val="18"/>
          <w:szCs w:val="18"/>
          <w:i w:val="1"/>
          <w:iCs w:val="1"/>
          <w:color w:val="auto"/>
        </w:rPr>
        <w:t>Summary of Significant Accounting Policies.</w:t>
      </w:r>
    </w:p>
    <w:p>
      <w:pPr>
        <w:spacing w:after="0" w:line="6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For additional information on deposits held with a third party related to requirements to maintain collateral for insurance services, refer to "Legal Liability to Landlord Insurance" in Note 5, </w:t>
      </w:r>
      <w:r>
        <w:rPr>
          <w:rFonts w:ascii="Times New Roman" w:cs="Times New Roman" w:eastAsia="Times New Roman" w:hAnsi="Times New Roman"/>
          <w:sz w:val="18"/>
          <w:szCs w:val="18"/>
          <w:i w:val="1"/>
          <w:iCs w:val="1"/>
          <w:color w:val="auto"/>
        </w:rPr>
        <w:t>Commitments and Contingencies.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Employee Expenses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employee expenses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payroll and 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accrued employee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Insurance reserves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Unearned premium liabilities are the refundable portion of commissions received in connection with the sale of renters insurance policies to residents through AppFolio Insurance Services, Inc., our wholly owned subsidiary. In the event a resident cancels their renters insurance policy prior to the end of such policy, we may be required to refund a pro rata portion of the commission paid on such policy.</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For additional information on insurance reserves, refer to "Legal Liability to Landlord Insurance" in Note 5, </w:t>
      </w:r>
      <w:r>
        <w:rPr>
          <w:rFonts w:ascii="Times New Roman" w:cs="Times New Roman" w:eastAsia="Times New Roman" w:hAnsi="Times New Roman"/>
          <w:sz w:val="18"/>
          <w:szCs w:val="18"/>
          <w:i w:val="1"/>
          <w:iCs w:val="1"/>
          <w:color w:val="auto"/>
        </w:rPr>
        <w:t>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 Liability to Landlord Insurance</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September 30, 2025 and December 31, 2024 was $5.7 million and $3.9 million, respectively, and is included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on our Condensed Consolidated Balance Sheets.</w:t>
      </w:r>
    </w:p>
    <w:p>
      <w:pPr>
        <w:spacing w:after="0" w:line="7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as of September 30, 2025 and December 31, 2024 are $4.6 million and $6.7 million, respectively, of deposits held with a third party related to requirements to maintain collateral for this insurance service.</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2025, we entered into a credit agreement by and among AppFolio, Inc., certain of our subsidiaries as guarantors, the lender(s) party thereto, and PNC Bank, National Association, in its capacity as Administrative Agent, Swingline Loan Lender and Issuing Lender (the “Credit Facility”).</w:t>
      </w:r>
    </w:p>
    <w:p>
      <w:pPr>
        <w:spacing w:after="0" w:line="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Credit Facility provides for a $150.0 million senior secured revolving credit facility, including sublimits of $25.0 million for letters of credit and $25.0 million for swingline loans, and is scheduled to mature on September 30, 2030. We may, subject to customary conditions and consent of the applicable lenders, increase the revolving commitment or incur term loans thereunder (capped at amounts specified in the Credit Facility) or extend the maturity date of the Credit Facility.</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Facility bear interest at variable rates based, at our option, on Term Secured Overnight Financing Rate Data ("SOFR"), Daily Simple SOFR, or a Base Rate, plus an applicable margin (ranging from 125.0 to 200.00 basis points in the case of Term SOFR and Daily Simple SOFR and 25.0 to 100.00 basis points in the case of the Base Rate) determined by our Consolidated Net Leverage Ratio, all as defined in the Credit Facility. We also pay a quarterly commitment fee (ranging from 15.0 to 30.0 basis points depending on our Consolidated Net Leverage Ratio) on unused amounts, as well as customary letter of credit and agency fees.</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obligations under the Credit Facility are guaranteed by certain of our subsidiaries and secured by a first-priority security interest in substantially all of our and our guarantors' personal property, subject to customary exclusions and exceptions. The Credit Facility includes customary representations, warranties, and affirmative and negative covenants, including a financial covenant requiring maintenance of a Consolidated Net Leverage Ratio. The negative covenants include, among other things, restrictions on our and our subsidiaries' ability to incur indebtedness and liens, make investments, pay dividends or distributions or repurchase equity interests, merge, consolidate or otherwise dispose of assets, enter into transactions with affiliates, and prepay, redeem, purchase or otherwise retire junior indebtedness, all subject to certain exceptions.</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there were no outstanding borrowings under the Credit Facility, and we were in compliance with the covenants under the Credit Facility.</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various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investigative inquires, legal proceedings and other disputes, if determined adversely to us, would, individually or taken together, have a material adverse effect on our business, operating results, financial condition or cash flows.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6. Share Repurchase Program</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20, 2019, our Board of Directors (our "Board") authorized a $100.0 million share repurchase program (the "2019 Stock Repurchase Program") relating to our outstanding shares of Class A common stock. Under the 2019 Stock Repurchase Program, we were authorized to repurchase shares of our Class A common stock from time to time in open market purchases or privately negotiated transactions. The 2019 Stock Repurchase Program did not obligate us to repurchase any minimum dollar amount or number of shares, did not have an expiration date, and it could have been modified, suspended or terminated at any time and for any reason.</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repurchased 445,311 shares of our Class A common stock through open market repurchases under the 2019 Stock Repurchase Program at an average purchase price of $215.05 per share, inclusive of broker commissions, for an aggregate repurchase price of $95.8 million which was recorded as a reduction to stockholders' equity. As a result of the repurchases, we substantially exhausted the remaining shares available for purchase under the 2019 Stock Repurchase Program, and it has terminated.</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23, 2025, our Board authorized a $300.0 million share repurchase program (the "2025 Stock Repurchase Program") relating to our outstanding shares of Class A common stock. Under the 2025 Stock Repurchase Program, we are authorized to repurchase shares of our Class A common stock from time to time in open market purchases or privately negotiated transactions. The 2025 Stock Repurchase Program does not obligate us to repurchase any minimum dollar amount or number of shares, has no expiration date, and can be modified, suspended or terminated at any time and for any reason. The timing and actual number of shares repurchased will depend on a variety of factors, including price, corporate and legal requirements, market conditions and other factors. During the second quarter of 2025, we repurchased 243,987 shares of our Class A common stock through open market repurchases under the 2025 Stock Repurchase Program at an average purchase price of $204.77 per share, inclusive of broker commissions, for an aggregate repurchase price of $50.0 million which was recorded as a reduction to stockholders' equity.</w:t>
      </w:r>
    </w:p>
    <w:p>
      <w:pPr>
        <w:spacing w:after="0" w:line="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we did not repurchase any shares of our Class A common stock under the 2025 Stock Repurchase Program. As of September 30, 2025, the amount remaining available for repurchases under the 2025 Stock Repurchase Program was $250.0 million.</w:t>
      </w:r>
    </w:p>
    <w:p>
      <w:pPr>
        <w:spacing w:after="0" w:line="280"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85" w:lineRule="exact"/>
        <w:rPr>
          <w:sz w:val="20"/>
          <w:szCs w:val="20"/>
          <w:color w:val="auto"/>
        </w:rPr>
      </w:pPr>
    </w:p>
    <w:p>
      <w:pPr>
        <w:jc w:val="right"/>
        <w:ind w:right="89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activity in connection with our restricted stock units ("RSUs") for the nine months ended September 30, 2025, is as follows (number of shares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7700" w:type="dxa"/>
            <w:vAlign w:val="bottom"/>
          </w:tcPr>
          <w:p>
            <w:pPr>
              <w:spacing w:after="0"/>
              <w:rPr>
                <w:sz w:val="12"/>
                <w:szCs w:val="12"/>
                <w:color w:val="auto"/>
              </w:rPr>
            </w:pPr>
          </w:p>
        </w:tc>
        <w:tc>
          <w:tcPr>
            <w:tcW w:w="1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Unvested RSUs as of September 30, 2025 were composed of 0.7 million RSUs with only service conditions and 0.1 million performance share units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metrics at 100% of the performance target. The unvested PSUs as of September 30, 2025, are subject to vesting based on the achievement of pre-established performance metrics for the year ending December 31, 2025 and will vest over a three year period, assuming continued employment through each applicable vesting date. The actual number of shares to be granted at the end of the performance period will range from 0% to 171% of the target number of shares depending on achievement relative to the performance metrics over the applicable period.</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stock-based compensation expense for the RSUs and PSUs of $20.5 million and $15.9 million for the three months ended September 30, 2025 and 2024, respectively, and $54.4 million and $43.4 million for the nine months ended September 30, 2025 and 2024, respectively. As of September 30, 2025, the total estimated remaining stock-based compensation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expense for the aforementioned RSUs and PSUs was $120.9 million, which is expected to be recognized over a weighted average period of 2.2 years.</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calculate our provision for income taxes on a quarterly basis by applying an estimated annual effective tax rate to income (loss) from operations and by calculating the tax effect of discrete items recognized during the quarter.</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2025, we recorded income tax expense of $3.1 million and $14.5 million, representing an effective tax rate of 8.4% and 12.5%, respectively. Our effective tax rate differs from the U.S. federal statutory rate of 21% primarily due to excess tax benefits from stock-based compensation and research and development tax credits, partially offset by state income taxes and non-deductible officers' compensation. For the three and nine months ended September 30, 2024, our effective tax rate differs from the U.S. federal statutory rate of 21% primarily due to changes in valuation allowance against deferred tax assets and excess tax benefits from stock-based compensation.</w:t>
      </w:r>
    </w:p>
    <w:p>
      <w:pPr>
        <w:spacing w:after="0" w:line="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assess our ability to realize our deferred tax assets on a quarterly basis and we establish a valuation allowance if it is more-likely-than-not that some portion of deferred tax assets will not be realized. We weigh all available positive and negative evidence, including our earnings history and results of recent operations, scheduled reversals of deferred tax liabilities, projected future taxable income and tax planning strategies. During the three months ended December 31, 2024, we assessed all available evidence and determined that there was sufficient positive evidence to overcome the negative evidence, including our past and current financial results, growth demonstrated in our top-line performance, as well as projected profitability. Accordingly, we determined it is more likely than not that the deferred tax assets will be realized and we released our valuation allowance at December 31, 2024.</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unrecognized tax benefits during the three and nine months ended September 30, 2025, and we do not expect to have any significant changes to unrecognized tax benefits through the remainder of the year.</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Included in this legislation are provisions that allow for the immediate expensing of domestic United States research and development expenses, immediate expensing of certain capital expenditures, and other changes to the U.S. taxation of profits derived from foreign operations. We believe the impact of the relevant OBBBA provisions to our income tax expense is not material and are currently expecting a favorable impact on our cash flows. We will continue to monitor and assess the impact of OBBBA on our Condensed Consolidated Financial Statements.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Revenue and Other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categories for the three and nine months ended September 30, 2025 and 2024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5"/>
        </w:trPr>
        <w:tc>
          <w:tcPr>
            <w:tcW w:w="4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solutions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132,974</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Services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192,092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451,677</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249,353</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205,733</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702,630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590,538</w:t>
            </w:r>
          </w:p>
        </w:tc>
      </w:tr>
      <w:tr>
        <w:trPr>
          <w:trHeight w:val="20"/>
        </w:trPr>
        <w:tc>
          <w:tcPr>
            <w:tcW w:w="4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 is generated primarily from customers in the United States. Our property and equipment is primarily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results of operations and liquidity should be read together with our Condensed Consolidated Financial Statements and the related notes included elsewhere in this Quarterly Report and in our Annual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technology leader powering the future of the real estate industry. We provide a cloud-based platform on which our customers operate their businesses. We help our customers navigate an increasingly interconnected and growing network of stakeholders in their business ecosystems, including property managers, property investors, potential residents, residents, and vendors. We also provide key functionality related to critical transactions across the real estate lifecycle, including screening potential residents, sending and receiving payments, and providing insurance-related risk mitigation services. Our services enable our customers to connect communities, increase operational efficiency, deliver exceptional customer experiences, and improve financial and operational performance.</w:t>
      </w:r>
    </w:p>
    <w:p>
      <w:pPr>
        <w:spacing w:after="0" w:line="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Property management units under management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our ability to increase our number of property management units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is an indicator of our market penetration, growth, and potential future business opportunities. We define property management units under management as active or committed units under management at the period end date. We had 9.1 million and 8.5 million property management units under management as of September 30, 2025 and 2024, respectively.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solutions and certain of our Value Added Services are offered on a subscription basis. The subscription fees for our core solutions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a subscription period.</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generally with no minimum usage commitments (e.g., for our tenant screening and risk mitigation services). We recognize revenue for usage-based services in the period the service is rendered. Our payments services fees are recorded gross of any interchange and payment processing related fees. We generally invoice our usage-based services on a monthly basis or collect the fee at the time of service. A significant majority of our Value Added Services revenue comes from the use of our electronic payment services, tenant screening services, and risk mitigation services.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we charge our customers for assistance onboarding onto our core solutions and for certain other non-recurring services. We generally invoice for these other services in advance of the services being completed and recognize revenue in the period the service is rendered. We also generate revenue from the legacy customers of businesses we acquire that provide standalone services outside of our platform. Revenue derived from these services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As of September 30, 2025 and 2024, we had 21,759 and 20,403 property management customers, respectively.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Revenue (Exclusive of Depreciation and Amortization). </w:t>
      </w:r>
      <w:r>
        <w:rPr>
          <w:rFonts w:ascii="Times New Roman" w:cs="Times New Roman" w:eastAsia="Times New Roman" w:hAnsi="Times New Roman"/>
          <w:sz w:val="18"/>
          <w:szCs w:val="18"/>
          <w:color w:val="auto"/>
        </w:rPr>
        <w:t>Many of our Value Added Services are facilitated by third-party service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revenue paid to these third-party service providers includes, without limitation,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percentage of revenue for each Value Added Service offering. Cost of revenue also includes personnel-related costs for our employees focused on customer service and the support of our operations (including salaries, cash bonuses,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of personnel-related costs for our employees focused on sales and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salaries, sales commissions, cash bonuses,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We focus our sales and marketing efforts on generating awareness of our software solutions, creating sales leads, establishing and promoting our brands, and cultivating an educated community of successful and vocal customers.</w:t>
      </w:r>
    </w:p>
    <w:p>
      <w:pPr>
        <w:spacing w:after="0" w:line="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Product Development. </w:t>
      </w:r>
      <w:r>
        <w:rPr>
          <w:rFonts w:ascii="Times New Roman" w:cs="Times New Roman" w:eastAsia="Times New Roman" w:hAnsi="Times New Roman"/>
          <w:sz w:val="18"/>
          <w:szCs w:val="18"/>
          <w:color w:val="auto"/>
        </w:rPr>
        <w:t>Research and product development expense consists of personnel-related costs for our employees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product development (including salaries, cash bonuses,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of personnel-related costs for employees in our executive,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human resources, legal, compliance, and administrative organizations (including salaries, cash bonuses, benefits, and stock-based compensation). In addition, general and administrative expense includes fees for third-party professional services (including audit, legal, compliance, and tax services), regulatory fees, other corporate expenses, impairment of long-lived assets, gains on lease modifications, and allocated shared and other costs.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includes depreciation of property and equipment,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7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Interest income, net includes interest earned on investment securities, amortization and accretion of the premium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paid from the purchase of investment securities, and interest earned on cash deposited in our bank accounts.</w:t>
      </w:r>
    </w:p>
    <w:p>
      <w:pPr>
        <w:spacing w:after="0" w:line="50" w:lineRule="exact"/>
        <w:rPr>
          <w:sz w:val="20"/>
          <w:szCs w:val="20"/>
          <w:color w:val="auto"/>
        </w:rPr>
      </w:pPr>
    </w:p>
    <w:p>
      <w:pPr>
        <w:ind w:right="2100" w:firstLine="648"/>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consists of federal and state income taxes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Results of Operations</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1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solutions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22,764</w:t>
            </w: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Services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34,366</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85,266</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249,353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43,620</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590,538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112,092</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revenue for the three and nine months ended September 30, 2025, compared to the same periods in the prior year, was primarily attributable to an increase in the usage of our payments, tenant screening, and risk mitigation services. During the three and nine month periods ended September 30, 2025, we also experienced growth of 7% in the number of property management units under management compared to the same period in the prior year, which drove growth in users of our subscription and usage-based services.</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payment services experienced increased usage during the comparative periods as residents and property managers transacted more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w:t>
      </w:r>
    </w:p>
    <w:p>
      <w:pPr>
        <w:spacing w:after="0" w:line="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total revenue for the year ending December 31, 2025 to increase compared to the year ended December 31, 2024 as we continue to add new customers and property management units under management, along with increased adoption and usage of our Value Added Services.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gridSpan w:val="4"/>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7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Cost of revenue (exclusive of</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91,476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71,631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19,845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254,801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205,878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48,923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above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1,241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115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3,947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686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Cost of revenue (exclusive of depreciation and amortization) increased for the three and nine months ended September 30, 2025, compared to the same periods in the prior year. The increase was primarily driven by higher third-party service provider costs of $15.4 million and $41.3 million, respectively, due to increased adoption and usage of our Value Added Services, combined with a $3.4 million and $4.6 million increase in personnel-related costs, including stock-based and performance-based compensation, to support growth in the business, for the respective three and nine-month periods.</w:t>
      </w:r>
    </w:p>
    <w:p>
      <w:pPr>
        <w:spacing w:after="0" w:line="5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We expect cost of revenue (exclusive of depreciation and amortization) for the year ending December 31, 2025, to stay relatively flat as a percentage of revenue compared to the year ended December 31,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35,912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25,406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10,506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103,745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77,161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26,584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above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3,443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1,372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9,336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5,284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4,052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4"/>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for the three and nine months ended September 30, 2025, compared to the same periods in the prior year. The increase was primarily due to a $8.1 million and $17.4 million increase in personnel-related costs, including stock-based and performance-based compensation, to support growth in the business, combined with a $1.1 million and $3.8 million increase in advertising and promotion expense due to increased targeted go-to-market investment, for the respective three and nine-month periods.</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 for the year ending December 31, 2025 to slightly increase as a percentage of revenue compared to the year ended December 31,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Product Development</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4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gridSpan w:val="4"/>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54,037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40,662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13,375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144,469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118,079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26,390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above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9,076</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7,471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1,605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24,182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92"/>
              </w:rPr>
              <w:t>19,625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4,557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product development expense increased for the three and nine months ended September 30, 2025, compared to the same periods in the prior year. The increase was primarily due to a $11.1 million and $20.3 million increase in personnel-related costs, including stock-based and performance-based compensation, net of capitalized software development costs driven by headcount growth, for the respective three and nine-month periods.</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research and product development expenses for the year ending December 31, 2025 to stay relatively flat as a percentage of revenue compared to the year ended December 31,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8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27,446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21,139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6,307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72,733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62,525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10,208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above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7,033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5,367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1,666</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17,998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16,133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1,865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for the three and nine months ended September 30, 2025, compared to the same periods in the prior year. The increase was primarily due to a $7.4 million and $13.4 million increase in personnel-related costs, including stock-based and performance-based compensation, driven by headcount growth, for the respective three and nine-month periods.</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for the year ending December 31, 2025 to stay relatively flat as a percentage of revenue compared to the year ended December 31,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0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00" w:type="dxa"/>
            <w:vAlign w:val="bottom"/>
            <w:gridSpan w:val="3"/>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5,436</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1,109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  17,541</w:t>
            </w:r>
          </w:p>
        </w:tc>
        <w:tc>
          <w:tcPr>
            <w:tcW w:w="10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14,209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3,332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2.2 %</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three and nine months ended September 30, 2025 increased, compared to the same periods in the prior year, primarily due to amortization of the intangible assets recognized from the acquisition of Move EZ, Inc. in the fourth quarter of 2024.</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expect depreciation and amortization expenses for the year ending December 31, 2025 to stay relatively flat as a percentage of revenue compared to the year ended December 31,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06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6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1,690</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4,014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(2,324)</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   $</w:t>
            </w:r>
          </w:p>
        </w:tc>
        <w:tc>
          <w:tcPr>
            <w:tcW w:w="8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6,109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(4,373)</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0.7 %</w:t>
            </w: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Interest income for the three and nine months ended September 30, 2025 decreased, compared to the same periods in the prior year, primarily due to the sale of available-for-sale investment securities and lower interest rates.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2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6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Income before provision for</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36,732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46,582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(9,850)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115,491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123,168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(7,677)</w:t>
            </w:r>
          </w:p>
        </w:tc>
        <w:tc>
          <w:tcPr>
            <w:tcW w:w="64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3,086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13,576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(10,490)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14,482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21,834</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(7,352)</w:t>
            </w: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(34)%</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2025, we recorded income tax expense of $3.1 million and $14.5 million, representing an effective tax rate of 8.4% and 12.5%, respectively. Our effective tax rate differs from the U.S. federal statutory rate of 21% primarily due to excess tax benefits from stock-based compensation and research &amp; development tax credits, partially offset by state income taxes and non-deductible officers' compensation. For the three and nine months ended September 30, 2024, our effective tax rate differs from the U.S. federal statutory rate of 21% primarily due to changes in valuation allowance against deferred tax assets and excess tax benefits from stock-based compensation.</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decrease in our effective tax rate for the three months ended September 30, 2025, as compared to the same period in 2024, is primarily due to a valuation allowance released at December 31, 2024 and an increase in tax benefits from stock-based compensation and research &amp; development tax credits. The decrease in our effective tax rate for the nine months ended September 30, 2025, as compared to the same period in 2024, is primarily attributable to changes in valuation allowance and increase in tax benefits from research &amp; development tax credits partially offset by a decrease in excess tax benefits from stock-based compensation.</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Included in this legislation are provisions that allow for the immediate expensing of domestic United States research and development expenses, immediate expensing of certain capital expenditures, and other changes to the U.S. taxation of profits derived from foreign operations. We believe the impact of the relevant OBBBA provisions to our income tax expense is not material and are currently expect a favorable impact to our cash flows. We will continue to monitor and assess the impact of OBBBA on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continue to be cash, cash equivalents, and investment securities, as well as cash flows generated from our operations. As of September 30, 2025, we had $200.1 million in cash, cash equivalents, and investment securities. We have financed our operations primarily through cash generated from operations.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to optimize our capital structure, on September 30, 2025, we entered into the Credit Facility which provides for a $150.0 million senior secured revolving credit facility, including sublimits of $25.0 million for letters of credit and $25.0 million for swingline loans, and is scheduled to mature on September 30, 2030. As of September 30, 2025, we had no outstanding borrowings under the Credit Facility, and were in compliance with the covenants under the Credit Facility. For more information regarding the Credit Facility, refer to "Credit Facility" in Note 5,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of our Condensed Consolidated Financial Statements.</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investment securities, and cash generated from operating activities will be sufficient to meet our working capital and capital expenditure requirements for at least the next twelve months. The available borrowing capacity under the Credit Facility provides us additional liquidity and financial flexibility.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continued market acceptance of our software solutions; changes in the number of our customers and adoption and utilization of our Value Added Services by new and existing customers; the timing and extent of the introduction of new core functionality, products and Value Added Services; and the timing and extent of our investments across our organization.</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 the past entered into, and may in the future enter into, arrangements to acquire or invest in new technologies or markets. We may, as a result of those arrangements or the general expansion of our business, be required to seek additional equity or debt financing, which may not be available on terms favorable to us or at all, impacting our ability to compete successfully,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substantially exhausted the shares remaining available for purchase under the 2019 Stock Repurchase Program. On April 23, 2025, our Board authorized the repurchase of up to $300.0 million of shares of our Class A common stock from time to time pursuant to the 2025 Stock Repurchase Program. For more information regarding our repurchases under the 2019 Stock Repurchase Program and the 2025 Stock Repurchase Program, refer to Note 6, Share Repurchase Program, of our Condensed Consolidated Financial Statements of this Quarterly Report.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151,593</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(107,497)</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increase in cash provided by operating activities for the nine months ended September 30, 2025, compared to the same period in the prior year, was primarily due to higher cash collections from customers relative to the increase in operating expenditures.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provided by (used in) investing activities is generally composed of the cash paid in purchases of investment securities, maturities and sales of investment securities, purchases of property and equipment, business acquisition, net of cash acquired, and additions to capitalized software development.</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net increase in cash provided by (used in) investing activities for the nine months ended September 30, 2025, compared to the same period in the prior year, was primarily due to higher sales and maturities of investment securities, and lower purchases of available-for-sale investment securities, which was partially offset by cash paid for purchasing our strategic investment in Second Nature. For additional information, see Note 3. Investment Securities and Fair Value Measurements, of our Condensed Consolidated Financial Statements.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is generally composed of net share settlements for employee tax withholdings associated with the vesting of equity awards and repurchases of our Class A common stock offset by proceeds from the exercise of stock options and issuance of common stock under the employee stock purchase plan.</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increase in cash used in financing activities for the nine months ended September 30, 2025, compared to the same period in the prior year, was primarily due to repurchases of our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and the related notes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described in our Annual Report that have had a material impact on our Condensed Consolidated Financial Statements and related notes, except the critical accounting policies and estimates for Strategic Investments, which are disclosed in Note 2, Summary of Significant Accounting Policies of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we had $124.1 million of investment securities consisting of United States government and agency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Due to the relatively short-term nature of our investment portfolio, a hypothetical 100 basis point change in interest rates would not have a material effect on the fair value of our portfolio for the periods presented.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Quarterly Report. Based on this evaluation, our principal executive officer and principal financial officer concluded that, as of the end of the period covered by this Quarterly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refer to Note 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our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6, 2025, as supplemented by the additional risk factors below. If any of the identified risks are realized, our business, financial condition, operating results and prospects could be materially and adversely affected. In that case, the trading price of our Class A common stock may decline. In addition, other risks of which we are currently unaware, or which we do not currently view as material, could have a material adverse effect on our business, financial condition, and operating results. As of the date of this Quarterly Report, there have been no material changes to the risk factors previously disclosed under the section entitled "Risk Factors" in Part I, Item IA of our Annual Report, with the exception of the following: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strategic investments, including partial or complete loss of invested capital. Changes in the fair value of our strategic investments could negatively impact our business, financial condition and results of operations.</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strategic investments consist of non-marketable equity investments in privately-held companies in which we do not have a controlling interest or significant influence. We make these investments to further our strategic objectives and support key business initiatives. However, these investments are inherently risky, and there can be no assurance that we will achieve the anticipated benefits of these investments or realize a return on them or be able to dispose of them on favorable terms or at all. Consequently, we could lose all or part of our invested capital.</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 these strategic investments as long-term investments in our Condensed Consolidated Balance Sheets. We have elected to apply the measurement alternative for equity investments in privately-held companies that do not have readily determinable fair values, measuring them at cost, less any impairment, plus or minus adjustments resulting from observable price changes in orderly transactions for the identical or a similar investment of the same issuer. An impairment loss is recorded when an event or circumstance indicates a decline in value has occurred.</w:t>
      </w:r>
    </w:p>
    <w:p>
      <w:pPr>
        <w:spacing w:after="0" w:line="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determining the estimated fair value of these strategic investments, we use the most recent and available data. Valuations of privately held securities are inherently complex due to the lack of readily available market data and require the use of judgment. The determination of whether an orderly transaction is for an identical or similar investment requires use of significant judgment. In our evaluation, we consider factors such as differences in the rights and preferences of the investments and the extent to which those differences would affect the fair values of those investments. Our impairment analysis encompasses an assessment of both qualitative and quantitative factors, including the investee’s financial metrics, market acceptance of the investee’s product or technology, general market conditions and liquidity considerations. We record all fair value adjustments of these strategic investments through our Condensed Consolidated Statement of Operations. As a result, we may experience additional volatility to our statement of operations due to the valuation and timing of observable price changes or impairments of our strategic investments.</w:t>
      </w:r>
    </w:p>
    <w:p>
      <w:pPr>
        <w:spacing w:after="0" w:line="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Changes in the fair value of these strategic investments or partial or complete loss of our invested capital could be material to our financial statements and negatively impact our business, financial condition and results of operations.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revolving Credit Facility provides the lender with a first-priority security interest in substantially all of our and our subsidiary guarantors’ personal property, and contains covenants which may limit our operational flexibility and otherwise adversely affect our financial condition and/or results of operations.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revolving Credit Facility contains a number of covenants that restrict our and our subsidiaries’ ability to, among other things, incur indebtedness and liens, make investments, pay dividends or distributions or repurchase equity interests, merge, consolidate or otherwise dispose of assets,</w:t>
      </w:r>
    </w:p>
    <w:p>
      <w:pPr>
        <w:jc w:val="both"/>
        <w:spacing w:after="0" w:line="257" w:lineRule="auto"/>
        <w:rPr>
          <w:sz w:val="20"/>
          <w:szCs w:val="20"/>
          <w:color w:val="auto"/>
        </w:rPr>
      </w:pPr>
      <w:r>
        <w:rPr>
          <w:rFonts w:ascii="Times New Roman" w:cs="Times New Roman" w:eastAsia="Times New Roman" w:hAnsi="Times New Roman"/>
          <w:sz w:val="18"/>
          <w:szCs w:val="18"/>
          <w:color w:val="auto"/>
        </w:rPr>
        <w:t>enter into transactions with affiliates, and prepay, redeem, purchase, or otherwise retire junior indebtedness, all subject to certain exceptions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color w:val="auto"/>
        </w:rPr>
        <w:t xml:space="preserve"> We are also required to maintain a Consolidated Net Leverage Ratio (as defined in the Credit Facility) not greater than a specified level. These covenants could limit our operational flexibility and ability to exploit business opportunities.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failure by us to comply with the covenants or payment requirements, or the occurrence of other events specified in the Credit Facility, could result in an event of default under the Credit Facility, which would give the lender(s) the right to terminate the commitments to provide loans and extensions of credit and to declare all borrowings outstanding, together with accrued and unpaid interest and fees, to be immediately due and payable. In addition, the lender would have the right to proceed against the collateral in which we granted a security interest to the lender, which consists of substantially all of our and our subsidiary guarantors’ personal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 repurchases could increase the volatility of the trading price of our common stock and diminish our cash reserves, and we cannot guarantee that our share repurchase program will enhance long-term stockholder value.</w:t>
      </w:r>
    </w:p>
    <w:p>
      <w:pPr>
        <w:spacing w:after="0" w:line="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23, 2025, our Board authorized the repurchase of up to $300.0 million of our Class A common stock pursuant to the 2025 Stock Repurchase Program. The 2025 Stock Repurchase Program does not obligate us to repurchase any minimum dollar amount or number of shares, has no expiration date, and can be modified, terminated or suspended at any time. Repurchases of shares of our Class A common stock could affect the trading price of our Class A common stock and increase volatility of such securities. Similarly, the future announcement of the modification, suspension or termination of the 2025 Stock Repurchase Program, or our decision not to utilize the full authorized repurchase amount under the 2025 Stock Repurchase Program, could result in a decrease in the trading price of our Class A common stock. In addition, the 2025 Stock Repurchase Program could have the impact of reducing our cash reserves, which may impact our ability to finance our growth, fund working capital, strategic acquisitions or business opportunities, and other general corporate purposes and execute our strategic plan. Although the 2025 Stock Repurchase Program is intended to enhance long-term stockholder value, there can be no assurance that it will do so because the trading price of our Class A common stock may decline below the levels at which we repurchased our shares and short-term stock price fluctuations could reduce the effectiveness of the 2025 Stock Repurchase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14, 2025, Shane Trigg, our Chief Executive Officer and a member of our Board, adopted a Rule 10b5-1 trading arrangement providing for the sale between November 17, 2025 and November 19, 2026 of an indeterminate number of shares of our Class A common stock received by Mr. Trigg in connection with the vesting in between November 10, 2025 and November 10, 2026 of certain restricted stock units and performance share units held by Mr. Trigg. The actual number of shares of Class A common stock will depend on the vesting of the restrictive stock units and performance share units and the number of shares withheld to satisfy tax withholding obligations. Mr. Trigg's trading plan was entered into during an open trading window and is intended to satisfy the affirmative defense of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0"/>
        </w:trPr>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10.1</w:t>
            </w:r>
          </w:p>
        </w:tc>
        <w:tc>
          <w:tcPr>
            <w:tcW w:w="9800" w:type="dxa"/>
            <w:vAlign w:val="bottom"/>
            <w:gridSpan w:val="8"/>
          </w:tcPr>
          <w:p>
            <w:pPr>
              <w:spacing w:after="0" w:line="199"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Revolving Credit Facility Agreement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or Rule 15d-14(a) promulgated under the Securities Exchange Act</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7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of 1934, as amended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promulgated under the Securities Exchange</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1934, as amended</w:t>
            </w:r>
          </w:p>
        </w:tc>
        <w:tc>
          <w:tcPr>
            <w:tcW w:w="79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7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4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4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460" w:right="120" w:hanging="1164"/>
        <w:spacing w:after="0" w:line="215" w:lineRule="auto"/>
        <w:tabs>
          <w:tab w:leader="none" w:pos="1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AppFolio, Inc.</w:t>
            </w:r>
          </w:p>
        </w:tc>
      </w:tr>
      <w:tr>
        <w:trPr>
          <w:trHeight w:val="9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30, 2025</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Shane Trigg</w:t>
            </w: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Shane Trigg</w:t>
            </w:r>
          </w:p>
        </w:tc>
      </w:tr>
      <w:tr>
        <w:trPr>
          <w:trHeight w:val="230"/>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0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30, 2025</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 Eaton</w:t>
            </w:r>
          </w:p>
        </w:tc>
      </w:tr>
      <w:tr>
        <w:trPr>
          <w:trHeight w:val="228"/>
        </w:trPr>
        <w:tc>
          <w:tcPr>
            <w:tcW w:w="5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Eaton</w:t>
            </w:r>
          </w:p>
        </w:tc>
      </w:tr>
    </w:tbl>
    <w:p>
      <w:pPr>
        <w:ind w:left="4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7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Shane Trigg, certify that:</w:t>
      </w:r>
    </w:p>
    <w:p>
      <w:pPr>
        <w:spacing w:after="0" w:line="144" w:lineRule="exact"/>
        <w:rPr>
          <w:sz w:val="20"/>
          <w:szCs w:val="20"/>
          <w:color w:val="auto"/>
        </w:rPr>
      </w:pPr>
    </w:p>
    <w:p>
      <w:pPr>
        <w:ind w:left="1100" w:hanging="1074"/>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AppFolio, Inc.;</w:t>
      </w:r>
    </w:p>
    <w:p>
      <w:pPr>
        <w:spacing w:after="0" w:line="130" w:lineRule="exact"/>
        <w:rPr>
          <w:rFonts w:ascii="Times New Roman" w:cs="Times New Roman" w:eastAsia="Times New Roman" w:hAnsi="Times New Roman"/>
          <w:sz w:val="18"/>
          <w:szCs w:val="18"/>
          <w:color w:val="auto"/>
        </w:rPr>
      </w:pPr>
    </w:p>
    <w:p>
      <w:pPr>
        <w:jc w:val="both"/>
        <w:ind w:left="1100" w:right="20" w:hanging="1074"/>
        <w:spacing w:after="0" w:line="231"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37"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1100" w:right="20" w:hanging="1074"/>
        <w:spacing w:after="0" w:line="226" w:lineRule="auto"/>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31" w:lineRule="auto"/>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2280" w:right="420" w:hanging="519"/>
        <w:spacing w:after="0" w:line="231" w:lineRule="auto"/>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26" w:lineRule="auto"/>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31" w:lineRule="auto"/>
        <w:tabs>
          <w:tab w:leader="none" w:pos="22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63"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7"/>
          <w:szCs w:val="17"/>
          <w:color w:val="auto"/>
        </w:rPr>
      </w:pPr>
    </w:p>
    <w:p>
      <w:pPr>
        <w:jc w:val="both"/>
        <w:ind w:left="2260" w:right="20" w:hanging="520"/>
        <w:spacing w:after="0" w:line="226" w:lineRule="auto"/>
        <w:tabs>
          <w:tab w:leader="none" w:pos="2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2260" w:right="20" w:hanging="520"/>
        <w:spacing w:after="0" w:line="250" w:lineRule="auto"/>
        <w:tabs>
          <w:tab w:leader="none" w:pos="22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700" w:val="left"/>
          <w:tab w:leader="none" w:pos="5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2025</w:t>
      </w:r>
      <w:r>
        <w:rPr>
          <w:sz w:val="20"/>
          <w:szCs w:val="20"/>
          <w:color w:val="auto"/>
        </w:rPr>
        <w:tab/>
      </w:r>
      <w:r>
        <w:rPr>
          <w:rFonts w:ascii="Times New Roman" w:cs="Times New Roman" w:eastAsia="Times New Roman" w:hAnsi="Times New Roman"/>
          <w:sz w:val="17"/>
          <w:szCs w:val="17"/>
          <w:color w:val="auto"/>
        </w:rPr>
        <w:t>/s/ Shane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775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Shane Trigg</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1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Eaton, certify that:</w:t>
      </w:r>
    </w:p>
    <w:p>
      <w:pPr>
        <w:spacing w:after="0" w:line="144" w:lineRule="exact"/>
        <w:rPr>
          <w:sz w:val="20"/>
          <w:szCs w:val="20"/>
          <w:color w:val="auto"/>
        </w:rPr>
      </w:pPr>
    </w:p>
    <w:p>
      <w:pPr>
        <w:ind w:left="1120" w:hanging="1094"/>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AppFolio, Inc.;</w:t>
      </w:r>
    </w:p>
    <w:p>
      <w:pPr>
        <w:spacing w:after="0" w:line="130" w:lineRule="exact"/>
        <w:rPr>
          <w:rFonts w:ascii="Times New Roman" w:cs="Times New Roman" w:eastAsia="Times New Roman" w:hAnsi="Times New Roman"/>
          <w:sz w:val="18"/>
          <w:szCs w:val="18"/>
          <w:color w:val="auto"/>
        </w:rPr>
      </w:pPr>
    </w:p>
    <w:p>
      <w:pPr>
        <w:jc w:val="both"/>
        <w:ind w:left="1100" w:right="20" w:hanging="1074"/>
        <w:spacing w:after="0" w:line="231"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37"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1100" w:right="20" w:hanging="1074"/>
        <w:spacing w:after="0" w:line="226" w:lineRule="auto"/>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rFonts w:ascii="Times New Roman" w:cs="Times New Roman" w:eastAsia="Times New Roman" w:hAnsi="Times New Roman"/>
          <w:sz w:val="18"/>
          <w:szCs w:val="18"/>
          <w:color w:val="auto"/>
        </w:rPr>
      </w:pPr>
    </w:p>
    <w:p>
      <w:pPr>
        <w:jc w:val="both"/>
        <w:ind w:left="2300" w:right="20" w:hanging="560"/>
        <w:spacing w:after="0" w:line="231" w:lineRule="auto"/>
        <w:tabs>
          <w:tab w:leader="none" w:pos="2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2300" w:right="420" w:hanging="573"/>
        <w:spacing w:after="0" w:line="247" w:lineRule="auto"/>
        <w:tabs>
          <w:tab w:leader="none" w:pos="230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7"/>
          <w:szCs w:val="17"/>
          <w:color w:val="auto"/>
        </w:rPr>
      </w:pPr>
    </w:p>
    <w:p>
      <w:pPr>
        <w:jc w:val="both"/>
        <w:ind w:left="2300" w:right="20" w:hanging="560"/>
        <w:spacing w:after="0" w:line="226" w:lineRule="auto"/>
        <w:tabs>
          <w:tab w:leader="none" w:pos="2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2300" w:right="20" w:hanging="560"/>
        <w:spacing w:after="0" w:line="231" w:lineRule="auto"/>
        <w:tabs>
          <w:tab w:leader="none" w:pos="23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63"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7"/>
          <w:szCs w:val="17"/>
          <w:color w:val="auto"/>
        </w:rPr>
      </w:pPr>
    </w:p>
    <w:p>
      <w:pPr>
        <w:jc w:val="both"/>
        <w:ind w:left="2400" w:right="20" w:hanging="646"/>
        <w:spacing w:after="0" w:line="226" w:lineRule="auto"/>
        <w:tabs>
          <w:tab w:leader="none" w:pos="24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sz w:val="20"/>
          <w:szCs w:val="20"/>
          <w:color w:val="auto"/>
        </w:rPr>
      </w:pPr>
    </w:p>
    <w:p>
      <w:pPr>
        <w:ind w:left="2400" w:right="20" w:hanging="646"/>
        <w:spacing w:after="0" w:line="250" w:lineRule="auto"/>
        <w:tabs>
          <w:tab w:leader="none" w:pos="2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20"/>
        <w:spacing w:after="0"/>
        <w:tabs>
          <w:tab w:leader="none" w:pos="720" w:val="left"/>
          <w:tab w:leader="none" w:pos="5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2025</w:t>
      </w:r>
      <w:r>
        <w:rPr>
          <w:sz w:val="20"/>
          <w:szCs w:val="20"/>
          <w:color w:val="auto"/>
        </w:rPr>
        <w:tab/>
      </w:r>
      <w:r>
        <w:rPr>
          <w:rFonts w:ascii="Times New Roman" w:cs="Times New Roman" w:eastAsia="Times New Roman" w:hAnsi="Times New Roman"/>
          <w:sz w:val="17"/>
          <w:szCs w:val="17"/>
          <w:color w:val="auto"/>
        </w:rPr>
        <w:t>/s/ Tim Eaton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Tim Eaton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413" w:right="339" w:bottom="1440" w:gutter="0" w:footer="0" w:header="0"/>
        </w:sectPr>
      </w:pPr>
    </w:p>
    <w:bookmarkStart w:id="32" w:name="page33"/>
    <w:bookmarkEnd w:id="32"/>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certifications are hereby made in connection with the Quarterly Report on Form 10-Q of AppFolio, Inc. (the “Company”) for the period ended September 30, 2025, as filed with the Securities and Exchange Commission on the date hereof (the “Report”):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30, 2025</w:t>
            </w:r>
          </w:p>
        </w:tc>
        <w:tc>
          <w:tcPr>
            <w:tcW w:w="2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Shane Trigg</w:t>
            </w:r>
          </w:p>
        </w:tc>
      </w:tr>
      <w:tr>
        <w:trPr>
          <w:trHeight w:val="218"/>
        </w:trPr>
        <w:tc>
          <w:tcPr>
            <w:tcW w:w="6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Shane Trigg</w:t>
            </w:r>
          </w:p>
        </w:tc>
      </w:tr>
      <w:tr>
        <w:trPr>
          <w:trHeight w:val="234"/>
        </w:trPr>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Tim Eaton,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October 30, 2025</w:t>
            </w:r>
          </w:p>
        </w:tc>
        <w:tc>
          <w:tcPr>
            <w:tcW w:w="21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 Eaton</w:t>
            </w:r>
          </w:p>
        </w:tc>
      </w:tr>
      <w:tr>
        <w:trPr>
          <w:trHeight w:val="218"/>
        </w:trPr>
        <w:tc>
          <w:tcPr>
            <w:tcW w:w="6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 Eaton</w:t>
            </w:r>
          </w:p>
        </w:tc>
      </w:tr>
      <w:tr>
        <w:trPr>
          <w:trHeight w:val="234"/>
        </w:trPr>
        <w:tc>
          <w:tcPr>
            <w:tcW w:w="6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3"/>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5">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38" Type="http://schemas.openxmlformats.org/officeDocument/2006/relationships/hyperlink" Target="https://www.sec.gov/Archives/edgar/data/1433195/000143319525000134/pnc-appfolioxcredit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2025-10-30T15:38:06Z</dcterms:created>
  <dcterms:modified xsi:type="dcterms:W3CDTF">2025-10-30T15:38:06Z</dcterms:modified>
</cp:coreProperties>
</file>