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_________________</w:t>
      </w:r>
    </w:p>
    <w:p>
      <w:pPr>
        <w:spacing w:after="0" w:line="212" w:lineRule="exact"/>
        <w:rPr>
          <w:sz w:val="24"/>
          <w:szCs w:val="24"/>
          <w:color w:val="auto"/>
        </w:rPr>
      </w:pPr>
    </w:p>
    <w:p>
      <w:pPr>
        <w:ind w:left="4860"/>
        <w:spacing w:after="0"/>
        <w:rPr>
          <w:sz w:val="20"/>
          <w:szCs w:val="20"/>
          <w:color w:val="auto"/>
        </w:rPr>
      </w:pPr>
      <w:r>
        <w:rPr>
          <w:rFonts w:ascii="Arial" w:cs="Arial" w:eastAsia="Arial" w:hAnsi="Arial"/>
          <w:sz w:val="29"/>
          <w:szCs w:val="29"/>
          <w:b w:val="1"/>
          <w:bCs w:val="1"/>
          <w:color w:val="auto"/>
        </w:rPr>
        <w:t>FORM 10-K</w:t>
      </w:r>
    </w:p>
    <w:p>
      <w:pPr>
        <w:spacing w:after="0" w:line="40"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_________________</w:t>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4100" w:right="2300" w:hanging="4092"/>
        <w:spacing w:after="0" w:line="604" w:lineRule="auto"/>
        <w:tabs>
          <w:tab w:leader="none" w:pos="22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2020</w:t>
      </w:r>
    </w:p>
    <w:p>
      <w:pPr>
        <w:spacing w:after="0" w:line="4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205" w:lineRule="exact"/>
        <w:rPr>
          <w:sz w:val="24"/>
          <w:szCs w:val="24"/>
          <w:color w:val="auto"/>
        </w:rPr>
      </w:pPr>
    </w:p>
    <w:p>
      <w:pPr>
        <w:ind w:left="364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3665855</wp:posOffset>
            </wp:positionH>
            <wp:positionV relativeFrom="paragraph">
              <wp:posOffset>-4445</wp:posOffset>
            </wp:positionV>
            <wp:extent cx="1165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28"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Commission File Number 001-37468</w:t>
      </w:r>
    </w:p>
    <w:p>
      <w:pPr>
        <w:spacing w:after="0" w:line="86"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_________________</w:t>
      </w:r>
    </w:p>
    <w:p>
      <w:pPr>
        <w:spacing w:after="0" w:line="95" w:lineRule="exact"/>
        <w:rPr>
          <w:sz w:val="24"/>
          <w:szCs w:val="24"/>
          <w:color w:val="auto"/>
        </w:rPr>
      </w:pPr>
    </w:p>
    <w:p>
      <w:pPr>
        <w:jc w:val="center"/>
        <w:ind w:right="-799"/>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2"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_________________</w:t>
      </w:r>
    </w:p>
    <w:p>
      <w:pPr>
        <w:spacing w:after="0" w:line="136" w:lineRule="exact"/>
        <w:rPr>
          <w:sz w:val="24"/>
          <w:szCs w:val="24"/>
          <w:color w:val="auto"/>
        </w:rPr>
      </w:pPr>
    </w:p>
    <w:tbl>
      <w:tblPr>
        <w:tblLayout w:type="fixed"/>
        <w:tblInd w:w="1460" w:type="dxa"/>
        <w:tblCellMar>
          <w:top w:w="0" w:type="dxa"/>
          <w:left w:w="0" w:type="dxa"/>
          <w:bottom w:w="0" w:type="dxa"/>
          <w:right w:w="0" w:type="dxa"/>
        </w:tblCellMar>
      </w:tblPr>
      <w:tr>
        <w:trPr>
          <w:trHeight w:val="234"/>
        </w:trPr>
        <w:tc>
          <w:tcPr>
            <w:tcW w:w="43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10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30"/>
        </w:trPr>
        <w:tc>
          <w:tcPr>
            <w:tcW w:w="4340" w:type="dxa"/>
            <w:vAlign w:val="bottom"/>
          </w:tcPr>
          <w:p>
            <w:pPr>
              <w:jc w:val="center"/>
              <w:ind w:right="131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410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441"/>
        </w:trPr>
        <w:tc>
          <w:tcPr>
            <w:tcW w:w="434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50 Castilian Drive</w:t>
            </w:r>
          </w:p>
        </w:tc>
        <w:tc>
          <w:tcPr>
            <w:tcW w:w="4100" w:type="dxa"/>
            <w:vAlign w:val="bottom"/>
          </w:tcPr>
          <w:p>
            <w:pPr>
              <w:spacing w:after="0"/>
              <w:rPr>
                <w:sz w:val="24"/>
                <w:szCs w:val="24"/>
                <w:color w:val="auto"/>
              </w:rPr>
            </w:pPr>
          </w:p>
        </w:tc>
      </w:tr>
      <w:tr>
        <w:trPr>
          <w:trHeight w:val="234"/>
        </w:trPr>
        <w:tc>
          <w:tcPr>
            <w:tcW w:w="4340" w:type="dxa"/>
            <w:vAlign w:val="bottom"/>
          </w:tcPr>
          <w:p>
            <w:pPr>
              <w:jc w:val="center"/>
              <w:ind w:right="1350"/>
              <w:spacing w:after="0"/>
              <w:rPr>
                <w:sz w:val="20"/>
                <w:szCs w:val="20"/>
                <w:color w:val="auto"/>
              </w:rPr>
            </w:pPr>
            <w:r>
              <w:rPr>
                <w:rFonts w:ascii="Arial" w:cs="Arial" w:eastAsia="Arial" w:hAnsi="Arial"/>
                <w:sz w:val="18"/>
                <w:szCs w:val="18"/>
                <w:b w:val="1"/>
                <w:bCs w:val="1"/>
                <w:color w:val="auto"/>
                <w:w w:val="93"/>
              </w:rPr>
              <w:t>Santa Barbara, California</w:t>
            </w:r>
          </w:p>
        </w:tc>
        <w:tc>
          <w:tcPr>
            <w:tcW w:w="4100" w:type="dxa"/>
            <w:vAlign w:val="bottom"/>
          </w:tcPr>
          <w:p>
            <w:pPr>
              <w:jc w:val="right"/>
              <w:ind w:right="1030"/>
              <w:spacing w:after="0"/>
              <w:rPr>
                <w:sz w:val="20"/>
                <w:szCs w:val="20"/>
                <w:color w:val="auto"/>
              </w:rPr>
            </w:pPr>
            <w:r>
              <w:rPr>
                <w:rFonts w:ascii="Arial" w:cs="Arial" w:eastAsia="Arial" w:hAnsi="Arial"/>
                <w:sz w:val="18"/>
                <w:szCs w:val="18"/>
                <w:b w:val="1"/>
                <w:bCs w:val="1"/>
                <w:i w:val="1"/>
                <w:iCs w:val="1"/>
                <w:color w:val="auto"/>
              </w:rPr>
              <w:t>93117</w:t>
            </w:r>
          </w:p>
        </w:tc>
      </w:tr>
      <w:tr>
        <w:trPr>
          <w:trHeight w:val="230"/>
        </w:trPr>
        <w:tc>
          <w:tcPr>
            <w:tcW w:w="434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410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333"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(805) 364-6093</w:t>
      </w:r>
    </w:p>
    <w:p>
      <w:pPr>
        <w:spacing w:after="0" w:line="63"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97"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Securities registered pursuant to Section 12(b) of the Exchange Act:</w:t>
      </w:r>
    </w:p>
    <w:p>
      <w:pPr>
        <w:spacing w:after="0" w:line="307" w:lineRule="exact"/>
        <w:rPr>
          <w:sz w:val="24"/>
          <w:szCs w:val="24"/>
          <w:color w:val="auto"/>
        </w:rPr>
      </w:pPr>
    </w:p>
    <w:tbl>
      <w:tblPr>
        <w:tblLayout w:type="fixed"/>
        <w:tblInd w:w="56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320" w:type="dxa"/>
            <w:vAlign w:val="bottom"/>
          </w:tcPr>
          <w:p>
            <w:pPr>
              <w:spacing w:after="0"/>
              <w:rPr>
                <w:sz w:val="16"/>
                <w:szCs w:val="16"/>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exchange on which registered</w:t>
            </w:r>
          </w:p>
        </w:tc>
      </w:tr>
      <w:tr>
        <w:trPr>
          <w:trHeight w:val="230"/>
        </w:trPr>
        <w:tc>
          <w:tcPr>
            <w:tcW w:w="4640" w:type="dxa"/>
            <w:vAlign w:val="bottom"/>
            <w:gridSpan w:val="3"/>
          </w:tcPr>
          <w:p>
            <w:pPr>
              <w:jc w:val="center"/>
              <w:ind w:right="1080"/>
              <w:spacing w:after="0"/>
              <w:rPr>
                <w:sz w:val="20"/>
                <w:szCs w:val="20"/>
                <w:color w:val="auto"/>
              </w:rPr>
            </w:pPr>
            <w:r>
              <w:rPr>
                <w:rFonts w:ascii="Arial" w:cs="Arial" w:eastAsia="Arial" w:hAnsi="Arial"/>
                <w:sz w:val="16"/>
                <w:szCs w:val="16"/>
                <w:b w:val="1"/>
                <w:bCs w:val="1"/>
                <w:color w:val="auto"/>
                <w:w w:val="90"/>
              </w:rPr>
              <w:t>Class A common stock, par value $0.0001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APPF</w:t>
            </w:r>
          </w:p>
        </w:tc>
        <w:tc>
          <w:tcPr>
            <w:tcW w:w="13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7"/>
              </w:rPr>
              <w:t>The NASDAQ Stock Market LLC</w:t>
            </w:r>
          </w:p>
        </w:tc>
      </w:tr>
    </w:tbl>
    <w:p>
      <w:pPr>
        <w:spacing w:after="0" w:line="330"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Securities registered pursuant to Section 12(g) of the Exchange Act:</w:t>
      </w:r>
    </w:p>
    <w:p>
      <w:pPr>
        <w:spacing w:after="0" w:line="113" w:lineRule="exact"/>
        <w:rPr>
          <w:sz w:val="24"/>
          <w:szCs w:val="24"/>
          <w:color w:val="auto"/>
        </w:rPr>
      </w:pPr>
    </w:p>
    <w:p>
      <w:pPr>
        <w:jc w:val="center"/>
        <w:ind w:right="-799"/>
        <w:spacing w:after="0"/>
        <w:rPr>
          <w:sz w:val="20"/>
          <w:szCs w:val="20"/>
          <w:color w:val="auto"/>
        </w:rPr>
      </w:pPr>
      <w:r>
        <w:rPr>
          <w:rFonts w:ascii="Arial" w:cs="Arial" w:eastAsia="Arial" w:hAnsi="Arial"/>
          <w:sz w:val="16"/>
          <w:szCs w:val="16"/>
          <w:b w:val="1"/>
          <w:bCs w:val="1"/>
          <w:color w:val="auto"/>
        </w:rPr>
        <w:t>None</w:t>
      </w:r>
    </w:p>
    <w:p>
      <w:pPr>
        <w:spacing w:after="0" w:line="113" w:lineRule="exact"/>
        <w:rPr>
          <w:sz w:val="24"/>
          <w:szCs w:val="24"/>
          <w:color w:val="auto"/>
        </w:rPr>
      </w:pPr>
    </w:p>
    <w:p>
      <w:pPr>
        <w:ind w:left="4940"/>
        <w:spacing w:after="0"/>
        <w:rPr>
          <w:sz w:val="20"/>
          <w:szCs w:val="20"/>
          <w:color w:val="auto"/>
        </w:rPr>
      </w:pPr>
      <w:r>
        <w:rPr>
          <w:rFonts w:ascii="Arial" w:cs="Arial" w:eastAsia="Arial" w:hAnsi="Arial"/>
          <w:sz w:val="16"/>
          <w:szCs w:val="16"/>
          <w:b w:val="1"/>
          <w:bCs w:val="1"/>
          <w:color w:val="auto"/>
        </w:rPr>
        <w:t>_________________</w:t>
      </w:r>
    </w:p>
    <w:p>
      <w:pPr>
        <w:spacing w:after="0" w:line="200" w:lineRule="exact"/>
        <w:rPr>
          <w:sz w:val="24"/>
          <w:szCs w:val="24"/>
          <w:color w:val="auto"/>
        </w:rPr>
      </w:pPr>
    </w:p>
    <w:p>
      <w:pPr>
        <w:spacing w:after="0" w:line="225" w:lineRule="exact"/>
        <w:rPr>
          <w:sz w:val="24"/>
          <w:szCs w:val="24"/>
          <w:color w:val="auto"/>
        </w:rPr>
      </w:pPr>
    </w:p>
    <w:p>
      <w:pPr>
        <w:ind w:right="1740"/>
        <w:spacing w:after="0" w:line="283"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1440" w:right="1139" w:bottom="1440" w:gutter="0" w:footer="0" w:header="0"/>
        </w:sectPr>
      </w:pPr>
    </w:p>
    <w:bookmarkStart w:id="1" w:name="page2"/>
    <w:bookmarkEnd w:id="1"/>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0" w:lineRule="exact"/>
        <w:rPr>
          <w:sz w:val="20"/>
          <w:szCs w:val="20"/>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76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980" w:type="dxa"/>
            <w:vAlign w:val="bottom"/>
          </w:tcPr>
          <w:p>
            <w:pPr>
              <w:ind w:left="276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20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980" w:type="dxa"/>
            <w:vAlign w:val="bottom"/>
          </w:tcPr>
          <w:p>
            <w:pPr>
              <w:ind w:left="276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1" w:lineRule="exact"/>
        <w:rPr>
          <w:sz w:val="20"/>
          <w:szCs w:val="20"/>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0"/>
          <w:szCs w:val="20"/>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aggregate market value of the voting and non-voting common equity held by non-affiliates of the registrant, based on the closing price of the registrant’s Class A common stock on June 30, 2020 (the last business day of the registrant’s mostly recently completed second fiscal quarter), as reported on the NASDAQ Global Market on such date, was approximately $2.870 billion. Shares of the registrant’s Class A common stock and Class B common stock held by each executive officer, director and holder of 10% or more of the registrant’s outstanding Class A common stock and Class B common stock have been excluded from this calculation as such persons may be deemed to be affiliates. The determination of affiliate status for this purpose does not reflect a determination that any of such persons shall be deemed to be an affiliate of the registrant for any other purpose.</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February 15, 2021, the number of shares of the registrant’s Class A common stock outstanding was 18,747,460 and the number of shares of the registrant’s Class B common stock outstanding was 15,650,311.</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Portions of the registrant’s definitive Proxy Statement for the 2021 Annual Meeting of Stockholders (the “Proxy Statement”), to be filed with the Securities and Exchange Commission (the “SEC”) pursuant to Regulation 14A not later than 120 days after the end of the fiscal year covered by this Annual Report on Form 10-K (this “Annual Report”), are incorporated by reference in Part III, Items 10-14 of this Annual Report. Except for the portions of the Proxy Statement specifically incorporated by reference in this Annual Report, the Proxy Statement shall not be deemed to be filed as part hereof.</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68" w:lineRule="exact"/>
        <w:rPr>
          <w:sz w:val="20"/>
          <w:szCs w:val="20"/>
          <w:color w:val="auto"/>
        </w:rPr>
      </w:pPr>
    </w:p>
    <w:p>
      <w:pPr>
        <w:ind w:left="1020"/>
        <w:spacing w:after="0"/>
        <w:rPr>
          <w:sz w:val="20"/>
          <w:szCs w:val="20"/>
          <w:color w:val="auto"/>
        </w:rPr>
      </w:pPr>
      <w:r>
        <w:rPr>
          <w:rFonts w:ascii="Arial" w:cs="Arial" w:eastAsia="Arial" w:hAnsi="Arial"/>
          <w:sz w:val="7"/>
          <w:szCs w:val="7"/>
          <w:color w:val="auto"/>
        </w:rPr>
        <w:t>________________________________________________________________________________________________________________________________________________________________________________________________________________________________________________________________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1279525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APPFOLIO,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00" w:type="dxa"/>
            <w:vAlign w:val="bottom"/>
            <w:gridSpan w:val="3"/>
          </w:tcPr>
          <w:p>
            <w:pPr>
              <w:ind w:left="218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07"/>
        </w:trPr>
        <w:tc>
          <w:tcPr>
            <w:tcW w:w="1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700" w:type="dxa"/>
            <w:vAlign w:val="bottom"/>
            <w:gridSpan w:val="3"/>
          </w:tcPr>
          <w:p>
            <w:pPr>
              <w:ind w:left="3120"/>
              <w:spacing w:after="0"/>
              <w:rPr>
                <w:sz w:val="20"/>
                <w:szCs w:val="20"/>
                <w:color w:val="auto"/>
              </w:rPr>
            </w:pPr>
            <w:r>
              <w:rPr>
                <w:rFonts w:ascii="Arial" w:cs="Arial" w:eastAsia="Arial" w:hAnsi="Arial"/>
                <w:sz w:val="18"/>
                <w:szCs w:val="18"/>
                <w:b w:val="1"/>
                <w:bCs w:val="1"/>
                <w:color w:val="auto"/>
              </w:rPr>
              <w:t>Section</w:t>
            </w:r>
          </w:p>
        </w:tc>
        <w:tc>
          <w:tcPr>
            <w:tcW w:w="1060" w:type="dxa"/>
            <w:vAlign w:val="bottom"/>
            <w:gridSpan w:val="2"/>
          </w:tcPr>
          <w:p>
            <w:pPr>
              <w:ind w:left="180"/>
              <w:spacing w:after="0"/>
              <w:rPr>
                <w:sz w:val="20"/>
                <w:szCs w:val="20"/>
                <w:color w:val="auto"/>
              </w:rPr>
            </w:pPr>
            <w:r>
              <w:rPr>
                <w:rFonts w:ascii="Arial" w:cs="Arial" w:eastAsia="Arial" w:hAnsi="Arial"/>
                <w:sz w:val="18"/>
                <w:szCs w:val="18"/>
                <w:b w:val="1"/>
                <w:bCs w:val="1"/>
                <w:color w:val="auto"/>
              </w:rPr>
              <w:t>Page No.</w:t>
            </w:r>
          </w:p>
        </w:tc>
      </w:tr>
      <w:tr>
        <w:trPr>
          <w:trHeight w:val="222"/>
        </w:trPr>
        <w:tc>
          <w:tcPr>
            <w:tcW w:w="10020" w:type="dxa"/>
            <w:vAlign w:val="bottom"/>
            <w:tcBorders>
              <w:top w:val="single" w:sz="8" w:color="auto"/>
            </w:tcBorders>
            <w:gridSpan w:val="4"/>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Cautionary Note Regarding Forward-Looking Statements</w:t>
              </w:r>
            </w:hyperlink>
          </w:p>
        </w:tc>
        <w:tc>
          <w:tcPr>
            <w:tcW w:w="160" w:type="dxa"/>
            <w:vAlign w:val="bottom"/>
          </w:tcPr>
          <w:p>
            <w:pPr>
              <w:spacing w:after="0"/>
              <w:rPr>
                <w:sz w:val="19"/>
                <w:szCs w:val="19"/>
                <w:color w:val="auto"/>
              </w:rPr>
            </w:pPr>
          </w:p>
        </w:tc>
        <w:tc>
          <w:tcPr>
            <w:tcW w:w="1020" w:type="dxa"/>
            <w:vAlign w:val="bottom"/>
            <w:tcBorders>
              <w:top w:val="single" w:sz="8" w:color="auto"/>
            </w:tcBorders>
          </w:tcPr>
          <w:p>
            <w:pPr>
              <w:jc w:val="center"/>
              <w:spacing w:after="0"/>
              <w:rPr>
                <w:rFonts w:ascii="Arial" w:cs="Arial" w:eastAsia="Arial" w:hAnsi="Arial"/>
                <w:sz w:val="18"/>
                <w:szCs w:val="18"/>
                <w:u w:val="single" w:color="auto"/>
                <w:color w:val="0000FF"/>
                <w:w w:val="99"/>
              </w:rPr>
            </w:pPr>
            <w:hyperlink w:anchor="page3">
              <w:r>
                <w:rPr>
                  <w:rFonts w:ascii="Arial" w:cs="Arial" w:eastAsia="Arial" w:hAnsi="Arial"/>
                  <w:sz w:val="18"/>
                  <w:szCs w:val="18"/>
                  <w:u w:val="single" w:color="auto"/>
                  <w:color w:val="0000FF"/>
                  <w:w w:val="99"/>
                </w:rPr>
                <w:t>1</w:t>
              </w:r>
            </w:hyperlink>
          </w:p>
        </w:tc>
        <w:tc>
          <w:tcPr>
            <w:tcW w:w="40" w:type="dxa"/>
            <w:vAlign w:val="bottom"/>
          </w:tcPr>
          <w:p>
            <w:pPr>
              <w:spacing w:after="0"/>
              <w:rPr>
                <w:sz w:val="19"/>
                <w:szCs w:val="19"/>
                <w:color w:val="auto"/>
              </w:rPr>
            </w:pPr>
          </w:p>
        </w:tc>
      </w:tr>
      <w:tr>
        <w:trPr>
          <w:trHeight w:val="229"/>
        </w:trPr>
        <w:tc>
          <w:tcPr>
            <w:tcW w:w="17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7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w:t>
            </w:r>
          </w:p>
        </w:tc>
        <w:tc>
          <w:tcPr>
            <w:tcW w:w="842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Business</w:t>
              </w:r>
            </w:hyperlink>
          </w:p>
        </w:tc>
        <w:tc>
          <w:tcPr>
            <w:tcW w:w="1020" w:type="dxa"/>
            <w:vAlign w:val="bottom"/>
          </w:tcPr>
          <w:p>
            <w:pPr>
              <w:jc w:val="center"/>
              <w:spacing w:after="0"/>
              <w:rPr>
                <w:rFonts w:ascii="Arial" w:cs="Arial" w:eastAsia="Arial" w:hAnsi="Arial"/>
                <w:sz w:val="18"/>
                <w:szCs w:val="18"/>
                <w:u w:val="single" w:color="auto"/>
                <w:color w:val="0000FF"/>
                <w:w w:val="99"/>
              </w:rPr>
            </w:pPr>
            <w:hyperlink w:anchor="page4">
              <w:r>
                <w:rPr>
                  <w:rFonts w:ascii="Arial" w:cs="Arial" w:eastAsia="Arial" w:hAnsi="Arial"/>
                  <w:sz w:val="18"/>
                  <w:szCs w:val="18"/>
                  <w:u w:val="single" w:color="auto"/>
                  <w:color w:val="0000FF"/>
                  <w:w w:val="99"/>
                </w:rPr>
                <w:t>2</w:t>
              </w:r>
            </w:hyperlink>
          </w:p>
        </w:tc>
        <w:tc>
          <w:tcPr>
            <w:tcW w:w="40" w:type="dxa"/>
            <w:vAlign w:val="bottom"/>
          </w:tcPr>
          <w:p>
            <w:pPr>
              <w:spacing w:after="0"/>
              <w:rPr>
                <w:sz w:val="19"/>
                <w:szCs w:val="19"/>
                <w:color w:val="auto"/>
              </w:rPr>
            </w:pPr>
          </w:p>
        </w:tc>
      </w:tr>
      <w:tr>
        <w:trPr>
          <w:trHeight w:val="229"/>
        </w:trPr>
        <w:tc>
          <w:tcPr>
            <w:tcW w:w="1760" w:type="dxa"/>
            <w:vAlign w:val="bottom"/>
          </w:tcPr>
          <w:p>
            <w:pPr>
              <w:ind w:left="680"/>
              <w:spacing w:after="0"/>
              <w:rPr>
                <w:sz w:val="20"/>
                <w:szCs w:val="20"/>
                <w:color w:val="auto"/>
              </w:rPr>
            </w:pPr>
            <w:r>
              <w:rPr>
                <w:rFonts w:ascii="Arial" w:cs="Arial" w:eastAsia="Arial" w:hAnsi="Arial"/>
                <w:sz w:val="18"/>
                <w:szCs w:val="18"/>
                <w:color w:val="auto"/>
              </w:rPr>
              <w:t>Item 1A.</w:t>
            </w:r>
          </w:p>
        </w:tc>
        <w:tc>
          <w:tcPr>
            <w:tcW w:w="8420" w:type="dxa"/>
            <w:vAlign w:val="bottom"/>
            <w:gridSpan w:val="4"/>
          </w:tcPr>
          <w:p>
            <w:pPr>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Risk Factors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13">
              <w:r>
                <w:rPr>
                  <w:rFonts w:ascii="Arial" w:cs="Arial" w:eastAsia="Arial" w:hAnsi="Arial"/>
                  <w:sz w:val="18"/>
                  <w:szCs w:val="18"/>
                  <w:u w:val="single" w:color="auto"/>
                  <w:color w:val="0000FF"/>
                  <w:w w:val="89"/>
                </w:rPr>
                <w:t>11</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1B.</w:t>
            </w:r>
          </w:p>
        </w:tc>
        <w:tc>
          <w:tcPr>
            <w:tcW w:w="8420" w:type="dxa"/>
            <w:vAlign w:val="bottom"/>
            <w:gridSpan w:val="4"/>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Unresolved Staff Comments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25</w:t>
              </w:r>
            </w:hyperlink>
          </w:p>
        </w:tc>
        <w:tc>
          <w:tcPr>
            <w:tcW w:w="40" w:type="dxa"/>
            <w:vAlign w:val="bottom"/>
          </w:tcPr>
          <w:p>
            <w:pPr>
              <w:spacing w:after="0"/>
              <w:rPr>
                <w:sz w:val="19"/>
                <w:szCs w:val="19"/>
                <w:color w:val="auto"/>
              </w:rPr>
            </w:pPr>
          </w:p>
        </w:tc>
      </w:tr>
      <w:tr>
        <w:trPr>
          <w:trHeight w:val="229"/>
        </w:trPr>
        <w:tc>
          <w:tcPr>
            <w:tcW w:w="1760" w:type="dxa"/>
            <w:vAlign w:val="bottom"/>
          </w:tcPr>
          <w:p>
            <w:pPr>
              <w:ind w:left="680"/>
              <w:spacing w:after="0"/>
              <w:rPr>
                <w:sz w:val="20"/>
                <w:szCs w:val="20"/>
                <w:color w:val="auto"/>
              </w:rPr>
            </w:pPr>
            <w:r>
              <w:rPr>
                <w:rFonts w:ascii="Arial" w:cs="Arial" w:eastAsia="Arial" w:hAnsi="Arial"/>
                <w:sz w:val="18"/>
                <w:szCs w:val="18"/>
                <w:color w:val="auto"/>
              </w:rPr>
              <w:t>Item 2.</w:t>
            </w:r>
          </w:p>
        </w:tc>
        <w:tc>
          <w:tcPr>
            <w:tcW w:w="8420" w:type="dxa"/>
            <w:vAlign w:val="bottom"/>
            <w:gridSpan w:val="4"/>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Properties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25</w:t>
              </w:r>
            </w:hyperlink>
          </w:p>
        </w:tc>
        <w:tc>
          <w:tcPr>
            <w:tcW w:w="40" w:type="dxa"/>
            <w:vAlign w:val="bottom"/>
          </w:tcPr>
          <w:p>
            <w:pPr>
              <w:spacing w:after="0"/>
              <w:rPr>
                <w:sz w:val="19"/>
                <w:szCs w:val="19"/>
                <w:color w:val="auto"/>
              </w:rPr>
            </w:pPr>
          </w:p>
        </w:tc>
      </w:tr>
      <w:tr>
        <w:trPr>
          <w:trHeight w:val="229"/>
        </w:trPr>
        <w:tc>
          <w:tcPr>
            <w:tcW w:w="1760" w:type="dxa"/>
            <w:vAlign w:val="bottom"/>
          </w:tcPr>
          <w:p>
            <w:pPr>
              <w:ind w:left="680"/>
              <w:spacing w:after="0"/>
              <w:rPr>
                <w:sz w:val="20"/>
                <w:szCs w:val="20"/>
                <w:color w:val="auto"/>
              </w:rPr>
            </w:pPr>
            <w:r>
              <w:rPr>
                <w:rFonts w:ascii="Arial" w:cs="Arial" w:eastAsia="Arial" w:hAnsi="Arial"/>
                <w:sz w:val="18"/>
                <w:szCs w:val="18"/>
                <w:color w:val="auto"/>
              </w:rPr>
              <w:t>Item 3.</w:t>
            </w:r>
          </w:p>
        </w:tc>
        <w:tc>
          <w:tcPr>
            <w:tcW w:w="8420" w:type="dxa"/>
            <w:vAlign w:val="bottom"/>
            <w:gridSpan w:val="4"/>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Legal Proceedings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25</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4.</w:t>
            </w:r>
          </w:p>
        </w:tc>
        <w:tc>
          <w:tcPr>
            <w:tcW w:w="8420" w:type="dxa"/>
            <w:vAlign w:val="bottom"/>
            <w:gridSpan w:val="4"/>
          </w:tcPr>
          <w:p>
            <w:pPr>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Mine Safety Disclosures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28">
              <w:r>
                <w:rPr>
                  <w:rFonts w:ascii="Arial" w:cs="Arial" w:eastAsia="Arial" w:hAnsi="Arial"/>
                  <w:sz w:val="18"/>
                  <w:szCs w:val="18"/>
                  <w:u w:val="single" w:color="auto"/>
                  <w:color w:val="0000FF"/>
                  <w:w w:val="89"/>
                </w:rPr>
                <w:t>26</w:t>
              </w:r>
            </w:hyperlink>
          </w:p>
        </w:tc>
        <w:tc>
          <w:tcPr>
            <w:tcW w:w="40" w:type="dxa"/>
            <w:vAlign w:val="bottom"/>
          </w:tcPr>
          <w:p>
            <w:pPr>
              <w:spacing w:after="0"/>
              <w:rPr>
                <w:sz w:val="19"/>
                <w:szCs w:val="19"/>
                <w:color w:val="auto"/>
              </w:rPr>
            </w:pPr>
          </w:p>
        </w:tc>
      </w:tr>
      <w:tr>
        <w:trPr>
          <w:trHeight w:val="229"/>
        </w:trPr>
        <w:tc>
          <w:tcPr>
            <w:tcW w:w="176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Part II</w:t>
              </w:r>
            </w:hyperlink>
          </w:p>
        </w:tc>
        <w:tc>
          <w:tcPr>
            <w:tcW w:w="7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0"/>
        </w:trPr>
        <w:tc>
          <w:tcPr>
            <w:tcW w:w="1760" w:type="dxa"/>
            <w:vAlign w:val="bottom"/>
          </w:tcPr>
          <w:p>
            <w:pPr>
              <w:ind w:left="680"/>
              <w:spacing w:after="0" w:line="190" w:lineRule="exact"/>
              <w:rPr>
                <w:sz w:val="20"/>
                <w:szCs w:val="20"/>
                <w:color w:val="auto"/>
              </w:rPr>
            </w:pPr>
            <w:r>
              <w:rPr>
                <w:rFonts w:ascii="Arial" w:cs="Arial" w:eastAsia="Arial" w:hAnsi="Arial"/>
                <w:sz w:val="18"/>
                <w:szCs w:val="18"/>
                <w:color w:val="auto"/>
              </w:rPr>
              <w:t>Item 5.</w:t>
            </w:r>
          </w:p>
        </w:tc>
        <w:tc>
          <w:tcPr>
            <w:tcW w:w="8420" w:type="dxa"/>
            <w:vAlign w:val="bottom"/>
            <w:gridSpan w:val="4"/>
          </w:tcPr>
          <w:p>
            <w:pPr>
              <w:spacing w:after="0" w:line="190" w:lineRule="exact"/>
              <w:rPr>
                <w:rFonts w:ascii="Arial" w:cs="Arial" w:eastAsia="Arial" w:hAnsi="Arial"/>
                <w:sz w:val="18"/>
                <w:szCs w:val="18"/>
                <w:color w:val="0000FF"/>
              </w:rPr>
            </w:pPr>
            <w:hyperlink w:anchor="page29">
              <w:r>
                <w:rPr>
                  <w:rFonts w:ascii="Arial" w:cs="Arial" w:eastAsia="Arial" w:hAnsi="Arial"/>
                  <w:sz w:val="18"/>
                  <w:szCs w:val="18"/>
                  <w:color w:val="0000FF"/>
                </w:rPr>
                <w:t>Market for Registrant's Common Equity, Related Stockholder Matters and Issuer Purchases of Equity</w:t>
              </w:r>
            </w:hyperlink>
          </w:p>
        </w:tc>
        <w:tc>
          <w:tcPr>
            <w:tcW w:w="1020" w:type="dxa"/>
            <w:vAlign w:val="bottom"/>
          </w:tcPr>
          <w:p>
            <w:pPr>
              <w:jc w:val="center"/>
              <w:spacing w:after="0" w:line="190" w:lineRule="exact"/>
              <w:rPr>
                <w:rFonts w:ascii="Arial" w:cs="Arial" w:eastAsia="Arial" w:hAnsi="Arial"/>
                <w:sz w:val="18"/>
                <w:szCs w:val="18"/>
                <w:u w:val="single" w:color="auto"/>
                <w:color w:val="0000FF"/>
                <w:w w:val="89"/>
              </w:rPr>
            </w:pPr>
            <w:hyperlink w:anchor="page29">
              <w:r>
                <w:rPr>
                  <w:rFonts w:ascii="Arial" w:cs="Arial" w:eastAsia="Arial" w:hAnsi="Arial"/>
                  <w:sz w:val="18"/>
                  <w:szCs w:val="18"/>
                  <w:u w:val="single" w:color="auto"/>
                  <w:color w:val="0000FF"/>
                  <w:w w:val="89"/>
                </w:rPr>
                <w:t>26</w:t>
              </w:r>
            </w:hyperlink>
          </w:p>
        </w:tc>
        <w:tc>
          <w:tcPr>
            <w:tcW w:w="40" w:type="dxa"/>
            <w:vAlign w:val="bottom"/>
          </w:tcPr>
          <w:p>
            <w:pPr>
              <w:spacing w:after="0"/>
              <w:rPr>
                <w:sz w:val="16"/>
                <w:szCs w:val="16"/>
                <w:color w:val="auto"/>
              </w:rPr>
            </w:pPr>
          </w:p>
        </w:tc>
      </w:tr>
      <w:tr>
        <w:trPr>
          <w:trHeight w:val="156"/>
        </w:trPr>
        <w:tc>
          <w:tcPr>
            <w:tcW w:w="1760" w:type="dxa"/>
            <w:vAlign w:val="bottom"/>
          </w:tcPr>
          <w:p>
            <w:pPr>
              <w:spacing w:after="0"/>
              <w:rPr>
                <w:sz w:val="13"/>
                <w:szCs w:val="13"/>
                <w:color w:val="auto"/>
              </w:rPr>
            </w:pPr>
          </w:p>
        </w:tc>
        <w:tc>
          <w:tcPr>
            <w:tcW w:w="7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w:anchor="page29">
              <w:r>
                <w:rPr>
                  <w:rFonts w:ascii="Arial" w:cs="Arial" w:eastAsia="Arial" w:hAnsi="Arial"/>
                  <w:sz w:val="18"/>
                  <w:szCs w:val="18"/>
                  <w:color w:val="0000FF"/>
                  <w:w w:val="88"/>
                </w:rPr>
                <w:t>Securities</w:t>
              </w:r>
            </w:hyperlink>
          </w:p>
        </w:tc>
        <w:tc>
          <w:tcPr>
            <w:tcW w:w="6580" w:type="dxa"/>
            <w:vAlign w:val="bottom"/>
            <w:tcBorders>
              <w:top w:val="single" w:sz="8" w:color="0000FF"/>
            </w:tcBorders>
          </w:tcPr>
          <w:p>
            <w:pPr>
              <w:spacing w:after="0"/>
              <w:rPr>
                <w:sz w:val="13"/>
                <w:szCs w:val="13"/>
                <w:color w:val="auto"/>
              </w:rPr>
            </w:pPr>
          </w:p>
        </w:tc>
        <w:tc>
          <w:tcPr>
            <w:tcW w:w="1120" w:type="dxa"/>
            <w:vAlign w:val="bottom"/>
            <w:gridSpan w:val="2"/>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49"/>
        </w:trPr>
        <w:tc>
          <w:tcPr>
            <w:tcW w:w="1760" w:type="dxa"/>
            <w:vAlign w:val="bottom"/>
          </w:tcPr>
          <w:p>
            <w:pPr>
              <w:ind w:left="680"/>
              <w:spacing w:after="0"/>
              <w:rPr>
                <w:sz w:val="20"/>
                <w:szCs w:val="20"/>
                <w:color w:val="auto"/>
              </w:rPr>
            </w:pPr>
            <w:r>
              <w:rPr>
                <w:rFonts w:ascii="Arial" w:cs="Arial" w:eastAsia="Arial" w:hAnsi="Arial"/>
                <w:sz w:val="18"/>
                <w:szCs w:val="18"/>
                <w:color w:val="auto"/>
              </w:rPr>
              <w:t>Item 6.</w:t>
            </w:r>
          </w:p>
        </w:tc>
        <w:tc>
          <w:tcPr>
            <w:tcW w:w="8420" w:type="dxa"/>
            <w:vAlign w:val="bottom"/>
            <w:gridSpan w:val="4"/>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Selected Financial Data</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27</w:t>
              </w:r>
            </w:hyperlink>
          </w:p>
        </w:tc>
        <w:tc>
          <w:tcPr>
            <w:tcW w:w="40" w:type="dxa"/>
            <w:vAlign w:val="bottom"/>
          </w:tcPr>
          <w:p>
            <w:pPr>
              <w:spacing w:after="0"/>
              <w:rPr>
                <w:sz w:val="21"/>
                <w:szCs w:val="21"/>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7.</w:t>
            </w:r>
          </w:p>
        </w:tc>
        <w:tc>
          <w:tcPr>
            <w:tcW w:w="8420" w:type="dxa"/>
            <w:vAlign w:val="bottom"/>
            <w:gridSpan w:val="4"/>
          </w:tcPr>
          <w:p>
            <w:pPr>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Management's Discussion Analysis of Financial Condition and Results of Operation</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32">
              <w:r>
                <w:rPr>
                  <w:rFonts w:ascii="Arial" w:cs="Arial" w:eastAsia="Arial" w:hAnsi="Arial"/>
                  <w:sz w:val="18"/>
                  <w:szCs w:val="18"/>
                  <w:u w:val="single" w:color="auto"/>
                  <w:color w:val="0000FF"/>
                  <w:w w:val="89"/>
                </w:rPr>
                <w:t>29</w:t>
              </w:r>
            </w:hyperlink>
          </w:p>
        </w:tc>
        <w:tc>
          <w:tcPr>
            <w:tcW w:w="40" w:type="dxa"/>
            <w:vAlign w:val="bottom"/>
          </w:tcPr>
          <w:p>
            <w:pPr>
              <w:spacing w:after="0"/>
              <w:rPr>
                <w:sz w:val="19"/>
                <w:szCs w:val="19"/>
                <w:color w:val="auto"/>
              </w:rPr>
            </w:pPr>
          </w:p>
        </w:tc>
      </w:tr>
      <w:tr>
        <w:trPr>
          <w:trHeight w:val="229"/>
        </w:trPr>
        <w:tc>
          <w:tcPr>
            <w:tcW w:w="1760" w:type="dxa"/>
            <w:vAlign w:val="bottom"/>
          </w:tcPr>
          <w:p>
            <w:pPr>
              <w:ind w:left="680"/>
              <w:spacing w:after="0"/>
              <w:rPr>
                <w:sz w:val="20"/>
                <w:szCs w:val="20"/>
                <w:color w:val="auto"/>
              </w:rPr>
            </w:pPr>
            <w:r>
              <w:rPr>
                <w:rFonts w:ascii="Arial" w:cs="Arial" w:eastAsia="Arial" w:hAnsi="Arial"/>
                <w:sz w:val="18"/>
                <w:szCs w:val="18"/>
                <w:color w:val="auto"/>
              </w:rPr>
              <w:t>Item 7A.</w:t>
            </w:r>
          </w:p>
        </w:tc>
        <w:tc>
          <w:tcPr>
            <w:tcW w:w="8420" w:type="dxa"/>
            <w:vAlign w:val="bottom"/>
            <w:gridSpan w:val="4"/>
          </w:tcPr>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Quantitative and Qualitative Disclosures About Market Risk</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46">
              <w:r>
                <w:rPr>
                  <w:rFonts w:ascii="Arial" w:cs="Arial" w:eastAsia="Arial" w:hAnsi="Arial"/>
                  <w:sz w:val="18"/>
                  <w:szCs w:val="18"/>
                  <w:u w:val="single" w:color="auto"/>
                  <w:color w:val="0000FF"/>
                  <w:w w:val="89"/>
                </w:rPr>
                <w:t>44</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8.</w:t>
            </w:r>
          </w:p>
        </w:tc>
        <w:tc>
          <w:tcPr>
            <w:tcW w:w="8420" w:type="dxa"/>
            <w:vAlign w:val="bottom"/>
            <w:gridSpan w:val="4"/>
          </w:tcPr>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Financial Statements and Supplementary Data</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47">
              <w:r>
                <w:rPr>
                  <w:rFonts w:ascii="Arial" w:cs="Arial" w:eastAsia="Arial" w:hAnsi="Arial"/>
                  <w:sz w:val="18"/>
                  <w:szCs w:val="18"/>
                  <w:u w:val="single" w:color="auto"/>
                  <w:color w:val="0000FF"/>
                  <w:w w:val="89"/>
                </w:rPr>
                <w:t>44</w:t>
              </w:r>
            </w:hyperlink>
          </w:p>
        </w:tc>
        <w:tc>
          <w:tcPr>
            <w:tcW w:w="40" w:type="dxa"/>
            <w:vAlign w:val="bottom"/>
          </w:tcPr>
          <w:p>
            <w:pPr>
              <w:spacing w:after="0"/>
              <w:rPr>
                <w:sz w:val="19"/>
                <w:szCs w:val="19"/>
                <w:color w:val="auto"/>
              </w:rPr>
            </w:pPr>
          </w:p>
        </w:tc>
      </w:tr>
      <w:tr>
        <w:trPr>
          <w:trHeight w:val="229"/>
        </w:trPr>
        <w:tc>
          <w:tcPr>
            <w:tcW w:w="1760" w:type="dxa"/>
            <w:vAlign w:val="bottom"/>
          </w:tcPr>
          <w:p>
            <w:pPr>
              <w:ind w:left="680"/>
              <w:spacing w:after="0"/>
              <w:rPr>
                <w:sz w:val="20"/>
                <w:szCs w:val="20"/>
                <w:color w:val="auto"/>
              </w:rPr>
            </w:pPr>
            <w:r>
              <w:rPr>
                <w:rFonts w:ascii="Arial" w:cs="Arial" w:eastAsia="Arial" w:hAnsi="Arial"/>
                <w:sz w:val="18"/>
                <w:szCs w:val="18"/>
                <w:color w:val="auto"/>
              </w:rPr>
              <w:t>Item 9.</w:t>
            </w:r>
          </w:p>
        </w:tc>
        <w:tc>
          <w:tcPr>
            <w:tcW w:w="8420" w:type="dxa"/>
            <w:vAlign w:val="bottom"/>
            <w:gridSpan w:val="4"/>
          </w:tcPr>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Changes in and Disagreements With Accountants on Accounting and Financial Disclosures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79</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9A.</w:t>
            </w:r>
          </w:p>
        </w:tc>
        <w:tc>
          <w:tcPr>
            <w:tcW w:w="8420" w:type="dxa"/>
            <w:vAlign w:val="bottom"/>
            <w:gridSpan w:val="4"/>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Controls and Procedures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80</w:t>
              </w:r>
            </w:hyperlink>
          </w:p>
        </w:tc>
        <w:tc>
          <w:tcPr>
            <w:tcW w:w="40" w:type="dxa"/>
            <w:vAlign w:val="bottom"/>
          </w:tcPr>
          <w:p>
            <w:pPr>
              <w:spacing w:after="0"/>
              <w:rPr>
                <w:sz w:val="19"/>
                <w:szCs w:val="19"/>
                <w:color w:val="auto"/>
              </w:rPr>
            </w:pPr>
          </w:p>
        </w:tc>
      </w:tr>
      <w:tr>
        <w:trPr>
          <w:trHeight w:val="229"/>
        </w:trPr>
        <w:tc>
          <w:tcPr>
            <w:tcW w:w="1760" w:type="dxa"/>
            <w:vAlign w:val="bottom"/>
          </w:tcPr>
          <w:p>
            <w:pPr>
              <w:ind w:left="20"/>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Part III</w:t>
              </w:r>
            </w:hyperlink>
          </w:p>
        </w:tc>
        <w:tc>
          <w:tcPr>
            <w:tcW w:w="7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10.</w:t>
            </w:r>
          </w:p>
        </w:tc>
        <w:tc>
          <w:tcPr>
            <w:tcW w:w="8420" w:type="dxa"/>
            <w:vAlign w:val="bottom"/>
            <w:gridSpan w:val="4"/>
          </w:tcPr>
          <w:p>
            <w:pPr>
              <w:spacing w:after="0"/>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Directors, Executive Officers and Corporate Governance</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3">
              <w:r>
                <w:rPr>
                  <w:rFonts w:ascii="Arial" w:cs="Arial" w:eastAsia="Arial" w:hAnsi="Arial"/>
                  <w:sz w:val="18"/>
                  <w:szCs w:val="18"/>
                  <w:u w:val="single" w:color="auto"/>
                  <w:color w:val="0000FF"/>
                  <w:w w:val="89"/>
                </w:rPr>
                <w:t>81</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11.</w:t>
            </w:r>
          </w:p>
        </w:tc>
        <w:tc>
          <w:tcPr>
            <w:tcW w:w="84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Executive Compensation</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81</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12.</w:t>
            </w:r>
          </w:p>
        </w:tc>
        <w:tc>
          <w:tcPr>
            <w:tcW w:w="84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Security Ownership of Certain Beneficial Owners and Management and Related Stockholder Matters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81</w:t>
              </w:r>
            </w:hyperlink>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13.</w:t>
            </w:r>
          </w:p>
        </w:tc>
        <w:tc>
          <w:tcPr>
            <w:tcW w:w="84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Certain Relationships and Related Transactions, and Director Independence</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81</w:t>
              </w:r>
            </w:hyperlink>
          </w:p>
        </w:tc>
        <w:tc>
          <w:tcPr>
            <w:tcW w:w="40" w:type="dxa"/>
            <w:vAlign w:val="bottom"/>
          </w:tcPr>
          <w:p>
            <w:pPr>
              <w:spacing w:after="0"/>
              <w:rPr>
                <w:sz w:val="19"/>
                <w:szCs w:val="19"/>
                <w:color w:val="auto"/>
              </w:rPr>
            </w:pPr>
          </w:p>
        </w:tc>
      </w:tr>
      <w:tr>
        <w:trPr>
          <w:trHeight w:val="229"/>
        </w:trPr>
        <w:tc>
          <w:tcPr>
            <w:tcW w:w="1760" w:type="dxa"/>
            <w:vAlign w:val="bottom"/>
          </w:tcPr>
          <w:p>
            <w:pPr>
              <w:ind w:left="680"/>
              <w:spacing w:after="0"/>
              <w:rPr>
                <w:sz w:val="20"/>
                <w:szCs w:val="20"/>
                <w:color w:val="auto"/>
              </w:rPr>
            </w:pPr>
            <w:r>
              <w:rPr>
                <w:rFonts w:ascii="Arial" w:cs="Arial" w:eastAsia="Arial" w:hAnsi="Arial"/>
                <w:sz w:val="18"/>
                <w:szCs w:val="18"/>
                <w:color w:val="auto"/>
              </w:rPr>
              <w:t>Item 14.</w:t>
            </w:r>
          </w:p>
        </w:tc>
        <w:tc>
          <w:tcPr>
            <w:tcW w:w="84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Principal Accounting Fees and Services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81</w:t>
              </w:r>
            </w:hyperlink>
          </w:p>
        </w:tc>
        <w:tc>
          <w:tcPr>
            <w:tcW w:w="40" w:type="dxa"/>
            <w:vAlign w:val="bottom"/>
          </w:tcPr>
          <w:p>
            <w:pPr>
              <w:spacing w:after="0"/>
              <w:rPr>
                <w:sz w:val="19"/>
                <w:szCs w:val="19"/>
                <w:color w:val="auto"/>
              </w:rPr>
            </w:pPr>
          </w:p>
        </w:tc>
      </w:tr>
      <w:tr>
        <w:trPr>
          <w:trHeight w:val="230"/>
        </w:trPr>
        <w:tc>
          <w:tcPr>
            <w:tcW w:w="1760" w:type="dxa"/>
            <w:vAlign w:val="bottom"/>
          </w:tcPr>
          <w:p>
            <w:pPr>
              <w:ind w:left="20"/>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Part IV</w:t>
              </w:r>
            </w:hyperlink>
          </w:p>
        </w:tc>
        <w:tc>
          <w:tcPr>
            <w:tcW w:w="72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1760" w:type="dxa"/>
            <w:vAlign w:val="bottom"/>
          </w:tcPr>
          <w:p>
            <w:pPr>
              <w:ind w:left="680"/>
              <w:spacing w:after="0"/>
              <w:rPr>
                <w:sz w:val="20"/>
                <w:szCs w:val="20"/>
                <w:color w:val="auto"/>
              </w:rPr>
            </w:pPr>
            <w:r>
              <w:rPr>
                <w:rFonts w:ascii="Arial" w:cs="Arial" w:eastAsia="Arial" w:hAnsi="Arial"/>
                <w:sz w:val="18"/>
                <w:szCs w:val="18"/>
                <w:color w:val="auto"/>
              </w:rPr>
              <w:t>Item 15.</w:t>
            </w:r>
          </w:p>
        </w:tc>
        <w:tc>
          <w:tcPr>
            <w:tcW w:w="842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Exhibits and Financial Statement Schedules</w:t>
              </w:r>
            </w:hyperlink>
          </w:p>
        </w:tc>
        <w:tc>
          <w:tcPr>
            <w:tcW w:w="1020" w:type="dxa"/>
            <w:vAlign w:val="bottom"/>
          </w:tcPr>
          <w:p>
            <w:pPr>
              <w:jc w:val="center"/>
              <w:spacing w:after="0"/>
              <w:rPr>
                <w:rFonts w:ascii="Arial" w:cs="Arial" w:eastAsia="Arial" w:hAnsi="Arial"/>
                <w:sz w:val="18"/>
                <w:szCs w:val="18"/>
                <w:u w:val="single" w:color="auto"/>
                <w:color w:val="0000FF"/>
                <w:w w:val="89"/>
              </w:rPr>
            </w:pPr>
            <w:hyperlink w:anchor="page84">
              <w:r>
                <w:rPr>
                  <w:rFonts w:ascii="Arial" w:cs="Arial" w:eastAsia="Arial" w:hAnsi="Arial"/>
                  <w:sz w:val="18"/>
                  <w:szCs w:val="18"/>
                  <w:u w:val="single" w:color="auto"/>
                  <w:color w:val="0000FF"/>
                  <w:w w:val="89"/>
                </w:rPr>
                <w:t>81</w:t>
              </w:r>
            </w:hyperlink>
          </w:p>
        </w:tc>
        <w:tc>
          <w:tcPr>
            <w:tcW w:w="40" w:type="dxa"/>
            <w:vAlign w:val="bottom"/>
          </w:tcPr>
          <w:p>
            <w:pPr>
              <w:spacing w:after="0"/>
              <w:rPr>
                <w:sz w:val="19"/>
                <w:szCs w:val="19"/>
                <w:color w:val="auto"/>
              </w:rPr>
            </w:pPr>
          </w:p>
        </w:tc>
      </w:tr>
      <w:tr>
        <w:trPr>
          <w:trHeight w:val="230"/>
        </w:trPr>
        <w:tc>
          <w:tcPr>
            <w:tcW w:w="1760" w:type="dxa"/>
            <w:vAlign w:val="bottom"/>
          </w:tcPr>
          <w:p>
            <w:pPr>
              <w:ind w:left="20"/>
              <w:spacing w:after="0"/>
              <w:rPr>
                <w:rFonts w:ascii="Arial" w:cs="Arial" w:eastAsia="Arial" w:hAnsi="Arial"/>
                <w:sz w:val="18"/>
                <w:szCs w:val="18"/>
                <w:u w:val="single" w:color="auto"/>
                <w:color w:val="0000FF"/>
              </w:rPr>
            </w:pPr>
            <w:hyperlink w:anchor="page87">
              <w:r>
                <w:rPr>
                  <w:rFonts w:ascii="Arial" w:cs="Arial" w:eastAsia="Arial" w:hAnsi="Arial"/>
                  <w:sz w:val="18"/>
                  <w:szCs w:val="18"/>
                  <w:u w:val="single" w:color="auto"/>
                  <w:color w:val="0000FF"/>
                </w:rPr>
                <w:t>Signatures</w:t>
              </w:r>
            </w:hyperlink>
          </w:p>
        </w:tc>
        <w:tc>
          <w:tcPr>
            <w:tcW w:w="7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spacing w:after="0"/>
              <w:rPr>
                <w:rFonts w:ascii="Arial" w:cs="Arial" w:eastAsia="Arial" w:hAnsi="Arial"/>
                <w:sz w:val="18"/>
                <w:szCs w:val="18"/>
                <w:u w:val="single" w:color="auto"/>
                <w:color w:val="0000FF"/>
                <w:w w:val="89"/>
              </w:rPr>
            </w:pPr>
            <w:hyperlink w:anchor="page87">
              <w:r>
                <w:rPr>
                  <w:rFonts w:ascii="Arial" w:cs="Arial" w:eastAsia="Arial" w:hAnsi="Arial"/>
                  <w:sz w:val="18"/>
                  <w:szCs w:val="18"/>
                  <w:u w:val="single" w:color="auto"/>
                  <w:color w:val="0000FF"/>
                  <w:w w:val="89"/>
                </w:rPr>
                <w:t>84</w:t>
              </w:r>
            </w:hyperlink>
          </w:p>
        </w:tc>
        <w:tc>
          <w:tcPr>
            <w:tcW w:w="40" w:type="dxa"/>
            <w:vAlign w:val="bottom"/>
          </w:tcPr>
          <w:p>
            <w:pPr>
              <w:spacing w:after="0"/>
              <w:rPr>
                <w:sz w:val="20"/>
                <w:szCs w:val="20"/>
                <w:color w:val="auto"/>
              </w:rPr>
            </w:pPr>
          </w:p>
        </w:tc>
      </w:tr>
      <w:tr>
        <w:trPr>
          <w:trHeight w:val="1465"/>
        </w:trPr>
        <w:tc>
          <w:tcPr>
            <w:tcW w:w="17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 w:name="page4"/>
    <w:bookmarkEnd w:id="3"/>
    <w:p>
      <w:pPr>
        <w:ind w:left="29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Annual Report on Form 10-K (this "Annual Report") for the fiscal year ended December 31, 2020 (fiscal 2020),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These forward-looking statements are intended to qualify for the safe harbor from liability established by the Private Securities Litigation Reform Act of 1995. Forward-looking statements include all statements that are not statements of historical facts and can be identified by words such as “anticipates,” “believes,” “could,” “estimates,” “expects,” “intends,” “may,” “plans,” “potential,” “predicts, “projects,” “seeks,” “should,” “will,” “would” or similar expressions and the negatives of those expressions. Forward-looking statements also include the assumptions underlying or relating to such statements. In particular, forward looking statements contained in this Annual Report relate to, among other things:</w:t>
      </w:r>
    </w:p>
    <w:p>
      <w:pPr>
        <w:spacing w:after="0" w:line="70" w:lineRule="exact"/>
        <w:rPr>
          <w:sz w:val="20"/>
          <w:szCs w:val="20"/>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acquisitions, investments and divestitures;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commitments and contingencies, including with respect to the outcome of legal proceedings or regulatory matters;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application of accounting guidance, including the impact from adoption of recent accounting pronouncements;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and our response to, the novel coronavirus ("COVID-19") pandemic.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list may not include all of the forward-looking statements made in this Annual Report.</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forward-looking statements are based on our management’s current beliefs, assumptions and expectations about future events and trends, which affect or may affect our business, strategy, operations or financial performance.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expressed or implied by these forward-looking statements as a result of various factors, including those set forth below under the caption “Risk Factors” in Part I, Item 1A and “Management’s Discussion and Analysis of Financial Condition and Results of Operations” in Part II, Item 7, and elsewhere in this Annual Report, as well as in the other reports we file with the Securities and Exchange Commission (the "SEC").</w:t>
      </w:r>
    </w:p>
    <w:p>
      <w:pPr>
        <w:spacing w:after="0" w:line="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Unless otherwise stated in this Annual Report, references to "AppFolio," "we," "us," and "our" refer to AppFolio, Inc. and its consolidated subsidiaries.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AppFolio provides innovative software, services and data analytics to the real estate industry. Our industry-specific, cloud-based solutions are used primarily by property managers, and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solutions and services are designed to be a system of record to automate essential business processes, a system of engagement to enhance business interactions between our customers and their business ecosystems and a system of intelligence designed to leverage data to predict and optimize business workflows in order to 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years ended December 31, 2020, 2019 and 2018, our revenue was $310.1 million, $256.0 million and $190.1 million, respectively, of which $284.7 million, $231.1 million and $172.4 million, respectively, were derived from our software services and data analytics offered to the real estate vertical. See Item 7, "Management's Discussion and Analysis of Financial Condition and Results of Operations" of this Annual Report, within the section entitled "Quarterly Results of Operations" for additional details regarding seasonality of revenue.</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During certain periods covered by this Annual Report, we also provided software solutions and services to the legal vertical. As previously disclosed, we completed our divestiture of MyCase, Inc. on September 30, 2020. For additional details, see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xml:space="preserve"> and Note 3, </w:t>
      </w:r>
      <w:r>
        <w:rPr>
          <w:rFonts w:ascii="Arial" w:cs="Arial" w:eastAsia="Arial" w:hAnsi="Arial"/>
          <w:sz w:val="18"/>
          <w:szCs w:val="18"/>
          <w:i w:val="1"/>
          <w:iCs w:val="1"/>
          <w:color w:val="auto"/>
        </w:rPr>
        <w:t xml:space="preserve">Divestitures and Business Combinations </w:t>
      </w:r>
      <w:r>
        <w:rPr>
          <w:rFonts w:ascii="Arial" w:cs="Arial" w:eastAsia="Arial" w:hAnsi="Arial"/>
          <w:sz w:val="18"/>
          <w:szCs w:val="18"/>
          <w:color w:val="auto"/>
        </w:rPr>
        <w:t>of our Consolidated Financial Statements in this Annual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The Challenges We Address</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believe that many companies face a common set of challenges that divert limited time and resources away from serving their customers and growing their businesses. Significant administrative burdens from inefficient manual processes and the use of disparate technologies or loosely integrated solutions only exacerbate those challenges. This is particularly evident in businesses that involve unique workflows, relationships among multiple users, significant data inputs and management, and compliance or regulatory requirements. Our platform is designed to provide our customers an intuitive, reliable and integrated solution that brings innovative technology and services to their specific workflows, meets their key operational requirements and enables delivery of exceptional customer experiences. We rely on partners and third party service providers to deliver certain aspects of our solutions, and we strive to provide a seamlessly integrated experience for our customers. We believe our customer-centric culture fosters a focus on customer satisfaction which leads to long-term customer retention and our long-term success. We believe our solutions and services offer customers the ability to capitalize on the power of fully integrated business management software to interact with their business ecosystems, and to mine the data and insights gleaned from these relationships, which is integral to our customers' ability to grow their businesses and compete effectively.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growth strategy is to provide increasingly valuable industry-specific business management software, services and data analytics to new and existing customers and their business ecosystems. We believe our customer-centric culture and market validation techniques that direct our product strategy are key to our success. Key components of our growth strategy include:</w:t>
      </w:r>
    </w:p>
    <w:p>
      <w:pPr>
        <w:spacing w:after="0" w:line="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i w:val="1"/>
          <w:iCs w:val="1"/>
          <w:color w:val="auto"/>
        </w:rPr>
        <w:t>Maintain Product and Technology Leadership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made, and will continue to make, significant investments in research and new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to expand our platform capabilities as we deem appropriate in our target markets. We intend to continue using our market validation techniques and close relationships with our customers and users as a key source of feedback to inform and direct our product strategy. We may also choose to acquire rather than build certain technology capabilities, or to partner with third parties to deliver key functionality to serve the needs of our customers and their business ecosystems.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Keep Our Existing Customers and Users Happy. </w:t>
      </w:r>
      <w:r>
        <w:rPr>
          <w:rFonts w:ascii="Arial" w:cs="Arial" w:eastAsia="Arial" w:hAnsi="Arial"/>
          <w:sz w:val="18"/>
          <w:szCs w:val="18"/>
          <w:color w:val="auto"/>
        </w:rPr>
        <w:t>We believe customer success is essential to our long-term success. We place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emphasis on customer service, which we believe leads to long-term customer relationships, to differentiate our software, services and data analytics from competing products. This emphasis will continue to be a critical component of our growth strategy in the future. We believe that maintaining our focus on customer success will lead to new product innovation, the referral of new customers from existing satisfied customers, and greater adoption and utilization of our solutions and services.</w:t>
      </w:r>
    </w:p>
    <w:p>
      <w:pPr>
        <w:spacing w:after="0" w:line="8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Acquire New Customers. </w:t>
      </w:r>
      <w:r>
        <w:rPr>
          <w:rFonts w:ascii="Arial" w:cs="Arial" w:eastAsia="Arial" w:hAnsi="Arial"/>
          <w:sz w:val="17"/>
          <w:szCs w:val="17"/>
          <w:color w:val="auto"/>
        </w:rPr>
        <w:t>We believe new customer acquisition is essential to our long-term success. We expect to continue to grow our base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with our investments in the development of increasingly valuable business management capabilities for our target markets, sales and marketing programs, including evolving industry thought leadership and education, and the referral power of satisfied customers.</w:t>
      </w:r>
    </w:p>
    <w:p>
      <w:pPr>
        <w:spacing w:after="0" w:line="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Expand Adoption and Use By Existing Customers. </w:t>
      </w:r>
      <w:r>
        <w:rPr>
          <w:rFonts w:ascii="Arial" w:cs="Arial" w:eastAsia="Arial" w:hAnsi="Arial"/>
          <w:sz w:val="17"/>
          <w:szCs w:val="17"/>
          <w:color w:val="auto"/>
        </w:rPr>
        <w:t>We have made, and will continue to make, significant investments in our solutions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that expand functionality and enhance or add new capabilities to meet the current and evolving needs of our customers. We expect our satisfied customers will expand their usage of our Value+ services to adapt our platform to their specific operational requirements. In addition, as our customers grow, we expect they will continue to use our solutions and services to manage their larger businesses.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Enter New Adjacent Markets. </w:t>
      </w:r>
      <w:r>
        <w:rPr>
          <w:rFonts w:ascii="Arial" w:cs="Arial" w:eastAsia="Arial" w:hAnsi="Arial"/>
          <w:sz w:val="18"/>
          <w:szCs w:val="18"/>
          <w:color w:val="auto"/>
        </w:rPr>
        <w:t>We expect to continue to evaluate and expand into adjacent markets based on our market validation strategy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targeted customer feedback in a manner consistent with our strategic plan. We believe that, while we are continuously developing our solutions and services within one market, we can apply certain relevant product enhancements and key learnings from that market as we extend our solutions and services into successive adjacent markets.</w:t>
      </w:r>
    </w:p>
    <w:p>
      <w:pPr>
        <w:spacing w:after="0" w:line="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Expand into New Verticals. </w:t>
      </w:r>
      <w:r>
        <w:rPr>
          <w:rFonts w:ascii="Arial" w:cs="Arial" w:eastAsia="Arial" w:hAnsi="Arial"/>
          <w:sz w:val="17"/>
          <w:szCs w:val="17"/>
          <w:color w:val="auto"/>
        </w:rPr>
        <w:t>We expect to continue to review potential opportunities to expand into additional vertical markets in a manner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consistent with our strategic plan. We believe our expansion into and success from adjacent markets may present opportunities to enter new verticals. Any new vertical must also fit within our overall business strategy, including our management team's assessment of available alternatives, such as the number and size of potential adjacent market opportunities, and the relative risk and return of these opportunities.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both"/>
        <w:ind w:firstLine="648"/>
        <w:spacing w:after="0"/>
        <w:rPr>
          <w:sz w:val="20"/>
          <w:szCs w:val="20"/>
          <w:color w:val="auto"/>
        </w:rPr>
      </w:pPr>
      <w:r>
        <w:rPr>
          <w:rFonts w:ascii="Arial" w:cs="Arial" w:eastAsia="Arial" w:hAnsi="Arial"/>
          <w:sz w:val="18"/>
          <w:szCs w:val="18"/>
          <w:color w:val="auto"/>
        </w:rPr>
        <w:t>The growth strategy that our management and board of directors have developed reflects our customer-centric and long-term growth view of our business, rather than the realization of short-term financial or business metrics, or short-term value. If opportunities arise that might cause us to sacrifice our performance with respect to short-term financial or business metrics, but that we believe are in the best interests of our stockholders in the long term, we will take those opportunities. The technology surrounding our business management solutions and services is constantly evolving, and our growth strategy is thus subject to a variety of risks and uncertainties. Please refer to Item 1A., "Risk Factors", for a more complete discussion of these and other risk-related issues.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our people are at the heart of our success and our customers’ success. We endeavor to not only attract and retain talented employees, but also to provide a challenging and rewarding environment to motivate and develop our valuable human capital. We look to our talented employees to lead and foster various initiatives that support our company culture including those related to diversity, equity and inclusion. In addition, we rely heavily on our talented team to execute our growth plans and achieve our long-term strategic objectives.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believe that our company culture, driven by a dedication to the following six core values, provides us with a competitive advantage:</w:t>
      </w:r>
    </w:p>
    <w:p>
      <w:pPr>
        <w:spacing w:after="0" w:line="1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Simpler Is Better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 Innovative Products Are Key To A Great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Great People Make A Great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Listening To Customers Is In Our DNA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Small, Focused Teams Keep Us Agile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Do The Right Thing; It’s Good For Business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December 31, 2020, we had 1,335 full-time employees and also routinely engage temporary employees and consultants. We consider our relationship with our employees and consultants to be strong. None of our employees are represented by a labor union or covered by a collective bargaining agreement. We must continue to attract and retain highly qualified and motivated personnel across our organization to execute our growth plan and achieve our strategic objectives. If we fail to do so, our business and operating results may suffer. Please refer to Item 1A., "Risk Factors", for a more complete discussion of these and other related risks.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competitive compensation and benefits for our employees. Our compensation packages may include base salary, commission or annual performance-based bonuses, and stock-based compensation. We also offer general employee medical, dental, and vision insurance, health savings and flexible spending accounts, mental health resources, paid time off, paid family leave, life and disability insurance, and 401(k) plan matching contributions. These programs and our overall compensation packages seek to attract and retain talented employees.</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Health, Safety and Wellness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take the health and welfare of our employees very seriously, and have encouraged safe practices designed to stem the infection and spread of COVID-19 within our workforce and beyond and to maintain the mental health and well-being of our employees. Beginning in March 2020, in an effort to protect our employees and comply with applicable government orders, we restricted non-essential employee travel and transitioned our employees to a remote work environment. We currently expect the majority of our employees will continue working remotely at least through the second quarter of 2021. We are committed to our employees returning to the workplace in the long-term, and have recently constructed a new office space in Santa Barbara, California, extended the lease for our office in Richardson, Texas and are seeking new office space to lease in San Diego, California to accommodate our employees' return to the workplace in the future.</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Workplace Awards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attracting and retaining a team of people who are inspired by these values, focusing on building an outstanding culture, and offering opportunities for professional and personal growth, AppFolio has been recognized as a 2020 Best Place to Work and Highest Rated Company for Work-Life Balance During COVID-19 by Glassdoor, a 2020 Best Workplace for Women by Fortune, and a 2020 Best Workplace for Parents by Great Place to Work.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Property Management Market</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2008, we introduced AppFolio Property Manager ("APM"), a property management solution designed to address the unique operational and business requirements of property management companies and their business ecosystems. Recognizing that our customers and their business ecosystems would benefit from additional business critical services, we launched a series of Value+ services beginning in 2009. Our Value+ services are tailored to the specific workflows of property management businesses and generally fall into the categories of marketing and leasing, electronic payment services, business optimization and risk mitigation. In 2018, we introduced AppFolio Property Manager PLUS, ("APM PLUS"), a tier of APM designed for larger businesses with more complex needs. APM PLUS builds upon the functionality of APM and additionally offers data analytics, configurable workflows, and revenue management and optimization functionality for our customers.</w:t>
      </w:r>
    </w:p>
    <w:p>
      <w:pPr>
        <w:spacing w:after="0" w:line="6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APM and APM PLUS serve our property management customers, including third-party property managers and owner operators, who typically manage single- and multi-family residential, and others who manage community association, and commercial properties. Our solutions and services also serve other constituencies in the property management market, including property owners, rental prospects, tenants and service providers.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Property Management Solutions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AppFolio Property Manager - Core Solutions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Core functionality addresses key operational issues, including accounting and business analytics and management, marketing and leasing functionality, and communications with key stakeholders. APM PLUS builds upon the functionality of APM and additionally offers data analytics, configurable workflows, and revenue management and optimization functionality for our larger and more complex property management customers.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AppFolio Property Manager - Value+ Services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Value+ services build on functionality and workflows in our core solutions and generally fall into the categories of marketing and leasing, electronic payment services, business optimization and risk mitigation. Although many of our Value+ services are enabled by third party partners, we prioritize a seamless experience for our customers and users which increases their efficiency and ease of use of APM and APM PLUS. Utilization and adoption of our Value+ services is typically higher for residential properties than community association or commercial properties because of the unique and complex needs of the residential rental lifecycle. We have generally organized our Value+ services below in the manner in which they are experienced throughout the rental lifecycle.</w:t>
      </w:r>
    </w:p>
    <w:p>
      <w:pPr>
        <w:spacing w:after="0" w:line="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We deliver and maintain professionally designed and architected </w:t>
      </w:r>
      <w:r>
        <w:rPr>
          <w:rFonts w:ascii="Arial" w:cs="Arial" w:eastAsia="Arial" w:hAnsi="Arial"/>
          <w:sz w:val="18"/>
          <w:szCs w:val="18"/>
          <w:b w:val="1"/>
          <w:bCs w:val="1"/>
          <w:color w:val="auto"/>
        </w:rPr>
        <w:t>Websites</w:t>
      </w:r>
      <w:r>
        <w:rPr>
          <w:rFonts w:ascii="Arial" w:cs="Arial" w:eastAsia="Arial" w:hAnsi="Arial"/>
          <w:sz w:val="18"/>
          <w:szCs w:val="18"/>
          <w:color w:val="auto"/>
        </w:rPr>
        <w:t xml:space="preserve"> that showcase our customers’ businesses. Our websites are fully integrated with our property manager functionality, including vacancy postings, electronic payment services, owner portals, tenant portals and maintenance requests. Property managers can track and analyze site traffic and lead generation by evaluating completed guest cards from rental prospects who visit the websites in connection with posted vacancies. Features include search engine optimized content, integrations with leading 3D tour providers, professional photography sourcing, and logo creation.</w:t>
      </w:r>
    </w:p>
    <w:p>
      <w:pPr>
        <w:spacing w:after="0" w:line="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Premium Leads</w:t>
      </w:r>
      <w:r>
        <w:rPr>
          <w:rFonts w:ascii="Arial" w:cs="Arial" w:eastAsia="Arial" w:hAnsi="Arial"/>
          <w:sz w:val="18"/>
          <w:szCs w:val="18"/>
          <w:color w:val="auto"/>
        </w:rPr>
        <w:t xml:space="preserve"> functionality allow customers to upgrade property listings to premium status and syndicate them to dozens of pay-to-list websites, including featured placement on many sites. Customers also receive advance call tracking and pay only for the verified leads they receive through the Value+ service.</w:t>
      </w:r>
    </w:p>
    <w:p>
      <w:pPr>
        <w:spacing w:after="0" w:line="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Artificial Intelligence Leasing Assistant</w:t>
      </w:r>
      <w:r>
        <w:rPr>
          <w:rFonts w:ascii="Arial" w:cs="Arial" w:eastAsia="Arial" w:hAnsi="Arial"/>
          <w:sz w:val="18"/>
          <w:szCs w:val="18"/>
          <w:color w:val="auto"/>
        </w:rPr>
        <w:t xml:space="preserve"> works 24/7 as part of a customers' leasing team to provide tailored text message or email responses to rental prospects in real-time, and leverages integrated reporting to track leasing performance with accurate data to drive increased occupancy rates and operational efficiency.</w:t>
      </w:r>
    </w:p>
    <w:p>
      <w:pPr>
        <w:spacing w:after="0" w:line="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Tenant Screening Services</w:t>
      </w:r>
      <w:r>
        <w:rPr>
          <w:rFonts w:ascii="Arial" w:cs="Arial" w:eastAsia="Arial" w:hAnsi="Arial"/>
          <w:sz w:val="18"/>
          <w:szCs w:val="18"/>
          <w:color w:val="auto"/>
        </w:rPr>
        <w:t xml:space="preserve"> include background screening, credit checks, and income verification for use in connection with the rental application process. In addition to obtaining an applicant's credit history, property managers have the option of leveraging an automated nationwide eviction and criminal records search, as well as accessing and/or contributing to rental payments history data, to better identify qualified tenants and reduce risk.</w:t>
      </w:r>
    </w:p>
    <w:p>
      <w:pPr>
        <w:spacing w:after="0" w:line="7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Our accounting features include </w:t>
      </w:r>
      <w:r>
        <w:rPr>
          <w:rFonts w:ascii="Arial" w:cs="Arial" w:eastAsia="Arial" w:hAnsi="Arial"/>
          <w:sz w:val="16"/>
          <w:szCs w:val="16"/>
          <w:b w:val="1"/>
          <w:bCs w:val="1"/>
          <w:color w:val="auto"/>
        </w:rPr>
        <w:t>Electronic Payment Services</w:t>
      </w:r>
      <w:r>
        <w:rPr>
          <w:rFonts w:ascii="Arial" w:cs="Arial" w:eastAsia="Arial" w:hAnsi="Arial"/>
          <w:sz w:val="16"/>
          <w:szCs w:val="16"/>
          <w:color w:val="auto"/>
        </w:rPr>
        <w:t xml:space="preserve"> that allow property managers to streamline their payables and receivables through a variety of online payment options. Customers can collect funds through a secure online portal, mobile application and via electronic cash payments from various users, including: rental application fees, security deposits, rent payments and other tenant charges; contributions from property owners; and periodic dues from those living in community associations. Customers can also electronically send funds to various users, including: distributions to property owners; payments to service providers; and payment to their own management company. Customers can also use our automated accounts payable solution to automate their accounts payable and expense recording process with smart bill entry, powered in part by artificial intelligence technology.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jc w:val="both"/>
        <w:ind w:firstLine="648"/>
        <w:spacing w:after="0" w:line="303" w:lineRule="auto"/>
        <w:rPr>
          <w:sz w:val="20"/>
          <w:szCs w:val="20"/>
          <w:color w:val="auto"/>
        </w:rPr>
      </w:pPr>
      <w:r>
        <w:rPr>
          <w:rFonts w:ascii="Arial" w:cs="Arial" w:eastAsia="Arial" w:hAnsi="Arial"/>
          <w:sz w:val="16"/>
          <w:szCs w:val="16"/>
          <w:color w:val="auto"/>
        </w:rPr>
        <w:t xml:space="preserve">Through partnerships and wholly-owned subsidiaries, we make available two insurance options, </w:t>
      </w:r>
      <w:r>
        <w:rPr>
          <w:rFonts w:ascii="Arial" w:cs="Arial" w:eastAsia="Arial" w:hAnsi="Arial"/>
          <w:sz w:val="16"/>
          <w:szCs w:val="16"/>
          <w:b w:val="1"/>
          <w:bCs w:val="1"/>
          <w:color w:val="auto"/>
        </w:rPr>
        <w:t>Liability to Landlord Insurance</w:t>
      </w:r>
      <w:r>
        <w:rPr>
          <w:rFonts w:ascii="Arial" w:cs="Arial" w:eastAsia="Arial" w:hAnsi="Arial"/>
          <w:sz w:val="16"/>
          <w:szCs w:val="16"/>
          <w:color w:val="auto"/>
        </w:rPr>
        <w:t xml:space="preserve"> and </w:t>
      </w:r>
      <w:r>
        <w:rPr>
          <w:rFonts w:ascii="Arial" w:cs="Arial" w:eastAsia="Arial" w:hAnsi="Arial"/>
          <w:sz w:val="16"/>
          <w:szCs w:val="16"/>
          <w:b w:val="1"/>
          <w:bCs w:val="1"/>
          <w:color w:val="auto"/>
        </w:rPr>
        <w:t>Renters</w:t>
      </w:r>
      <w:r>
        <w:rPr>
          <w:rFonts w:ascii="Arial" w:cs="Arial" w:eastAsia="Arial" w:hAnsi="Arial"/>
          <w:sz w:val="16"/>
          <w:szCs w:val="16"/>
          <w:color w:val="auto"/>
        </w:rPr>
        <w:t xml:space="preserve"> </w:t>
      </w:r>
      <w:r>
        <w:rPr>
          <w:rFonts w:ascii="Arial" w:cs="Arial" w:eastAsia="Arial" w:hAnsi="Arial"/>
          <w:sz w:val="16"/>
          <w:szCs w:val="16"/>
          <w:b w:val="1"/>
          <w:bCs w:val="1"/>
          <w:color w:val="auto"/>
        </w:rPr>
        <w:t>Insurance</w:t>
      </w:r>
      <w:r>
        <w:rPr>
          <w:rFonts w:ascii="Arial" w:cs="Arial" w:eastAsia="Arial" w:hAnsi="Arial"/>
          <w:sz w:val="16"/>
          <w:szCs w:val="16"/>
          <w:color w:val="auto"/>
        </w:rPr>
        <w:t>, that can be tailored to help property managers protect their properties and meet renters’ needs. Property managers can instantly enroll residents</w:t>
      </w:r>
      <w:r>
        <w:rPr>
          <w:rFonts w:ascii="Arial" w:cs="Arial" w:eastAsia="Arial" w:hAnsi="Arial"/>
          <w:sz w:val="16"/>
          <w:szCs w:val="16"/>
          <w:b w:val="1"/>
          <w:bCs w:val="1"/>
          <w:color w:val="auto"/>
        </w:rPr>
        <w:t xml:space="preserve"> </w:t>
      </w:r>
      <w:r>
        <w:rPr>
          <w:rFonts w:ascii="Arial" w:cs="Arial" w:eastAsia="Arial" w:hAnsi="Arial"/>
          <w:sz w:val="16"/>
          <w:szCs w:val="16"/>
          <w:color w:val="auto"/>
        </w:rPr>
        <w:t>in liability to landlord insurance, which offers owners and investors increased protection against tenant-caused damage. Renters have the option of purchasing renters insurance through an online portal to protect their personal belongings, as well as the property itself, from certain unexpected damages.</w:t>
      </w:r>
    </w:p>
    <w:p>
      <w:pPr>
        <w:spacing w:after="0" w:line="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With our </w:t>
      </w:r>
      <w:r>
        <w:rPr>
          <w:rFonts w:ascii="Arial" w:cs="Arial" w:eastAsia="Arial" w:hAnsi="Arial"/>
          <w:sz w:val="18"/>
          <w:szCs w:val="18"/>
          <w:b w:val="1"/>
          <w:bCs w:val="1"/>
          <w:color w:val="auto"/>
        </w:rPr>
        <w:t>Utility Management</w:t>
      </w:r>
      <w:r>
        <w:rPr>
          <w:rFonts w:ascii="Arial" w:cs="Arial" w:eastAsia="Arial" w:hAnsi="Arial"/>
          <w:sz w:val="18"/>
          <w:szCs w:val="18"/>
          <w:color w:val="auto"/>
        </w:rPr>
        <w:t xml:space="preserve"> functionality, our customers are able to automate utility bill processing and resident billing, and manage utility-related operating and capital expenditures.</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Maintenance Contact Center</w:t>
      </w:r>
      <w:r>
        <w:rPr>
          <w:rFonts w:ascii="Arial" w:cs="Arial" w:eastAsia="Arial" w:hAnsi="Arial"/>
          <w:sz w:val="18"/>
          <w:szCs w:val="18"/>
          <w:color w:val="auto"/>
        </w:rPr>
        <w:t xml:space="preserve"> functionality is built into our customers maintenance workflow and is staffed 24/7/365 by trained agents, each acting as an extension of our property management customers’ teams to resolve or route incoming maintenance requests. Contact center agents are able to enter non-emergency work orders directly into APM’s property maintenance software for a property manager’s approval, and to dispatch vendors immediately in case of an emergency.</w:t>
      </w:r>
    </w:p>
    <w:p>
      <w:pPr>
        <w:spacing w:after="0" w:line="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With our </w:t>
      </w:r>
      <w:r>
        <w:rPr>
          <w:rFonts w:ascii="Arial" w:cs="Arial" w:eastAsia="Arial" w:hAnsi="Arial"/>
          <w:sz w:val="18"/>
          <w:szCs w:val="18"/>
          <w:b w:val="1"/>
          <w:bCs w:val="1"/>
          <w:color w:val="auto"/>
        </w:rPr>
        <w:t>Tenant Debt Collections</w:t>
      </w:r>
      <w:r>
        <w:rPr>
          <w:rFonts w:ascii="Arial" w:cs="Arial" w:eastAsia="Arial" w:hAnsi="Arial"/>
          <w:sz w:val="18"/>
          <w:szCs w:val="18"/>
          <w:color w:val="auto"/>
        </w:rPr>
        <w:t xml:space="preserve"> functionality, our customers can electronically send past due tenant debt from their APM database to a national fully-licensed third party debt collection agency to attempt to recover uncollected revenue. This Value+ service also includes reporting unpaid balances to three major credit bureaus.</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With our </w:t>
      </w:r>
      <w:r>
        <w:rPr>
          <w:rFonts w:ascii="Arial" w:cs="Arial" w:eastAsia="Arial" w:hAnsi="Arial"/>
          <w:sz w:val="18"/>
          <w:szCs w:val="18"/>
          <w:b w:val="1"/>
          <w:bCs w:val="1"/>
          <w:color w:val="auto"/>
        </w:rPr>
        <w:t>Mailing Services</w:t>
      </w:r>
      <w:r>
        <w:rPr>
          <w:rFonts w:ascii="Arial" w:cs="Arial" w:eastAsia="Arial" w:hAnsi="Arial"/>
          <w:sz w:val="18"/>
          <w:szCs w:val="18"/>
          <w:color w:val="auto"/>
        </w:rPr>
        <w:t xml:space="preserve"> functionality, our customers with community association units can streamline the mailing of required home owner association documentation.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Market</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April 2019, we launched AppFolio Investment Management, which is designed to enable real estate investment managers to better manage their investor relationships by increasing transparency and streamlining certain business processes.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AppFolio Investment Management - Core Solutions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AppFolio Investment Management is a cloud-based software solution for real estate investment managers of various sizes that provides innovative tools and services designed to streamline their real estate investment management businesses. Core functionality addresses key operational issues, including management of investor relationships by increasing transparency and streamlining communications with key stakeholders.</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AppFolio Investment Management - Value+ Solutions</w:t>
      </w:r>
    </w:p>
    <w:p>
      <w:pPr>
        <w:spacing w:after="0" w:line="11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We deliver and maintain professionally designed and architected </w:t>
      </w:r>
      <w:r>
        <w:rPr>
          <w:rFonts w:ascii="Arial" w:cs="Arial" w:eastAsia="Arial" w:hAnsi="Arial"/>
          <w:sz w:val="18"/>
          <w:szCs w:val="18"/>
          <w:b w:val="1"/>
          <w:bCs w:val="1"/>
          <w:color w:val="auto"/>
        </w:rPr>
        <w:t>Websites</w:t>
      </w:r>
      <w:r>
        <w:rPr>
          <w:rFonts w:ascii="Arial" w:cs="Arial" w:eastAsia="Arial" w:hAnsi="Arial"/>
          <w:sz w:val="18"/>
          <w:szCs w:val="18"/>
          <w:color w:val="auto"/>
        </w:rPr>
        <w:t xml:space="preserve"> tailored to fit our customers’ businesses. Investment managers can track and analyze site traffic and lead generation. Features include search engine optimized content and logo creation.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software, services, and data analytics are subject to certain legal, regulatory and other requirements. These laws are complex and evolving. Various U.S. federal and state laws govern many of our business activities, including, without limitation, the processing of payments, tenant screening, the sale and solicitation of insurance, and handling of consumer information. Despite our significant efforts to comply with all applicable requirements, there can be no guarantee that our efforts will be sufficient or that existing laws, rules or other requirements will not be interpreted, revised, augmented or rewritten in a way that adversely affects our regulated business activities, which comprise a significant majority of our overall business. Please refer to Item 1A., "Risk Factors", for a more complete discussion of these and other risk-related issues.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Customers</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our customer-centric culture fosters a focus on customer satisfaction which leads to long-term customer retention and our long-term success. We define customers as those paying for a subscription to our core solutions. Our solutions and services are primarily used by our customers, and also by numerous other constituencies in the business ecosystems we serve. In the property management market, these other constituencies include property owners, rental prospects, tenants, and service providers. We generate a portion of our revenue from these users.</w:t>
      </w:r>
    </w:p>
    <w:p>
      <w:pPr>
        <w:spacing w:after="0" w:line="6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2020, we had 15,724 property management customers. No individual customer represented 10% or more of our total revenue for fiscal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leverage a modern and scalable marketing approach along with marketing automation technology to attract and engage prospects, build brand recognition and our reputation as an industry leader. We participate in and drive industry thought leadership and education with both online and offline activities, and we use a variety of inbound and outbound marketing techniques to promote our business software solutions, services and data analytics.</w:t>
      </w:r>
    </w:p>
    <w:p>
      <w:pPr>
        <w:spacing w:after="0" w:line="4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development team acts in partnership with our marketing and sales teams to reach potential customers, generate sales opportunities and accelerate the time from evaluation to close. Our sales representatives assist prospective customers as they evaluate our software solutions. Our interactive sales methodology allows our sales team to quickly build relationships, assess our customers’ business challenges, and demonstrate the benefits of our core functionality and, where applicable, Value+ services. Throughout the customer relationship, we continue to promote adoption and usage of our Value+ services by customers and users through a variety of channels, including email, webinars, training, sales outreach and from within our software solution via in-app messaging. As we serve larger and more complex real estate customers, we have invested in additional headcount to manage and grow these customer relationships over time.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18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our success is tied to long-term customer relationships, not a one-time sale. We pride ourselves on being customer-centric and strive to educate our customers on the solutions and services capabilities they can use to improve business efficiency and productivity. Our solutions are designed to be easy to use and manage, and we offer training and support at no extra charge.</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dedicated onboarding team works to ensure that customers are prepared to run their businesses on our platform and provide a seamless onboarding experience. As a result of our assistance with data migration matters, we are able to provide valuable insights into data integrity and work with our customers to help resolve any issues in their underlying business processes. We also assist our customers with the configuration of our software solutions for particular property types or investment structures as appropriate. We share insights on best practices for the markets we serve and dedicate resources to guide our customers through the adoption and utilization of our Value+ 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Operations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software solutions are powered by a highly scalable computing platform, and are designed with a strong focus on data security and availability. We use Ruby-on-Rails as our primary web application framework, and we take great care to keep this application framework and the rest of our software stack current in order to mitigate known security vulnerabilities. Our computing platform and cloud infrastructure are primarily powered by Amazon Web Service’ Elastic Compute Cloud (EC2) platform. In order to ensure that data is not lost and that customer requests can be satisfied, production assets are securely replicated and regularly backed up to multiple geographic regions.</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operators monitor our production infrastructure to ensure high performance and availability, and our architecture allows our operators significant flexibility in achieving these goals. In particular, our operators have fine-grained control over the specific server and region on which each customer's data resides, and can move customer data between different geographic regions in order to avoid service disruption or to increase service performance.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ind w:firstLine="648"/>
        <w:spacing w:after="0" w:line="254" w:lineRule="auto"/>
        <w:rPr>
          <w:sz w:val="20"/>
          <w:szCs w:val="20"/>
          <w:color w:val="auto"/>
        </w:rPr>
      </w:pPr>
      <w:r>
        <w:rPr>
          <w:rFonts w:ascii="Arial" w:cs="Arial" w:eastAsia="Arial" w:hAnsi="Arial"/>
          <w:sz w:val="18"/>
          <w:szCs w:val="18"/>
          <w:color w:val="auto"/>
        </w:rPr>
        <w:t>Sensitive customer data, including passwords, Social Security, and tax identification numbers, is encrypted during transmission, and before being written to disk. We regularly evaluate our product and infrastructure security, including through third-party penetration testing. In addition, our software solutions allow our customers to define roles that provide different levels of access to users, allowing them to view and modify specific items depending on their role. Supervisors can distribute work to on-site staff in a secure and controlled environment, while leadership retains visibility across the entire system. Some sensitive customer actions require secondary verification via two-factor authentication, and any customer can enable two-factor authentication for logging into their account. Notwithstanding the foregoing, there can be no assurance that the significant data security measures we employ will prevent malicious or unauthorized access to our systems and information. Please refer to Item 1A., "Risk Factors", for a more complete discussion of these and other risk-related issues.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heavily on input from our customers and prospective customers in developing products that meet their needs and in anticipating developments in their businesses. Our product management team leads our research and market validation efforts and provides guidance to management and our engineering team based on our collective domain expertise and in-depth knowledge and understanding of our customers. As a result, our product management team engages regularly with customers, partners, and other industry participants, as well as our customer service and sales and marketing organizations. Our product team manages our development projects generally and serves to align separate functions within the company with a single strategic vision.</w:t>
      </w:r>
    </w:p>
    <w:p>
      <w:pPr>
        <w:spacing w:after="0" w:line="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entrust product design, development and testing to our engineering and product teams, who coordinate closely to launch new capabilities and services. Our engineers work in small teams generally aligned with specific customer segments or product capabilities to foster agility and continued innovation in responding to the evolving needs of our customers. We leverage a collaborative, team-based and test-driven approach to engineering in order to release new capabilities frequently. We believe that it is easier for our customers to adjust to continuous updates to our platform, which incrementally change and improve their user experience, than it is to adapt to infrequent, but more drastic upgrades. The software industry in general is characterized by rapid technological advances, changing industry standards, evolving customer requirements and intense competition, and we cannot be certain that our research and product development strategies will be successful in every market we seek to serve. Please refer to Item 1A., "Risk Factors", for a more complete discussion of these and other risk-related issues.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overall market for business management software is global, highly competitive and continually evolving to respond to changes in technology, operational requirements, and ever-changing laws and regulations. We believe our competitors primarily fall into the following categories:</w:t>
      </w:r>
    </w:p>
    <w:p>
      <w:pPr>
        <w:spacing w:after="0" w:line="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On-premise or cloud-based vertical market business management software providers that serve companies of all sizes in our markets; and</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On-premise or cloud-based horizontal business management software providers that offer broad solutions across multiple verticals.</w:t>
      </w:r>
    </w:p>
    <w:p>
      <w:pPr>
        <w:spacing w:after="0" w:line="1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also experience competition from numerous cloud-based solutions providers that focus almost exclusively on one or more point solutions. For example, in the real estate vertical, we compete with payment solutions providers, listing services, tenant screening applications and specialists in lease forms. Continued consolidation among cloud-based solution providers could significantly increase competition.</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include the following:</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breadth and depth of functionality in software solutions and applications;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ease of deployment and use of software solutions and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of customer satisfaction;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security and availability;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nature and extent of mobile interface;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size of customer base and level of user adoption and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innovate and respond to customer needs rapidly;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domain expertise;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ability to leverage a common technology platform and business strategy.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1" w:name="page12"/>
    <w:bookmarkEnd w:id="11"/>
    <w:p>
      <w:pPr>
        <w:jc w:val="both"/>
        <w:ind w:firstLine="648"/>
        <w:spacing w:after="0" w:line="263" w:lineRule="auto"/>
        <w:rPr>
          <w:sz w:val="20"/>
          <w:szCs w:val="20"/>
          <w:color w:val="auto"/>
        </w:rPr>
      </w:pPr>
      <w:r>
        <w:rPr>
          <w:rFonts w:ascii="Arial" w:cs="Arial" w:eastAsia="Arial" w:hAnsi="Arial"/>
          <w:sz w:val="18"/>
          <w:szCs w:val="18"/>
          <w:color w:val="auto"/>
        </w:rPr>
        <w:t>We believe that we compete favorably on the factors described above. However, some of our competitors may have greater financial, technical and other resources, greater name recognition and larger sales and marketing budgets; therefore, we may not always compare favorably with respect to some or all of the foregoing factors.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rely on a combination of patents, copyrights, trademarks, trade secrets, confidentiality procedures and contractual restrictions to establish and protect our proprietary rights in our core solutions and Value+ services. We hold eleven United States patents that directly relate to our technology and expire between 2026 and 2033. We also maintain one issued United States patent that relates directly to web-based legal workflow software, which was exclusively licensed to MyCase, Inc. in connection with our divestiture from the legal vertical in September 2020. For additional details regarding our divestiture, see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Divestitures and Acquisitions</w:t>
      </w:r>
      <w:r>
        <w:rPr>
          <w:rFonts w:ascii="Arial" w:cs="Arial" w:eastAsia="Arial" w:hAnsi="Arial"/>
          <w:sz w:val="17"/>
          <w:szCs w:val="17"/>
          <w:color w:val="auto"/>
        </w:rPr>
        <w:t xml:space="preserve"> of our Consolidated Financial Statements in this Annual Report. We may pursue additional patent protection to the extent we believe it would be beneficial and cost effective.</w:t>
      </w:r>
    </w:p>
    <w:p>
      <w:pPr>
        <w:spacing w:after="0" w:line="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have registered “AppFolio” and certain other marks as trademarks in the United States and several other jurisdictions. We have also acquired certain marks and filed trademark applications and renewals in the United States and certain other jurisdictions, and will pursue additional trademark registrations to the extent we believe it would be beneficial and cost effective. We are the registered holder of a variety of domestic and international domain names that include “appfolioinc.com,” “appfolio.com,” “appfolioinvestmentmanagement.com” and similar variations. We also license software from third parties for use in our solutions, including open source software and other software available on standard commercial terms.</w:t>
      </w:r>
    </w:p>
    <w:p>
      <w:pPr>
        <w:spacing w:after="0" w:line="5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control access to our proprietary technology by entering into confidentiality and invention assignment agreements with our employees and contractors, and confidentiality agreements with third parties. Despite our precautions, it may be possible for unauthorized third parties to copy our software solutions and use information that we regard as proprietary to create products and services that compete with ours.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Uncertainties Related to the COVID-19 Pandemic</w:t>
      </w:r>
    </w:p>
    <w:p>
      <w:pPr>
        <w:spacing w:after="0" w:line="1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COVID-19 pandemic has created and may continue to create significant uncertainty and volatility in a wide variety of industries and markets, including the global real estate market, and has prompted many federal, state, local, and foreign governments to implement various lock-down measures in an attempt to contain the spread and mitigate the impact of the disease. The initial implementation of such lock-down measures, and their re-introduction in response to a nation-wide resurgence of COVID-19 cases in late-2020, resulted in business closures, work stoppages, slowdowns and delays, work-from-home policies, travel restrictions and the cancellation or postponement of events.</w:t>
      </w:r>
    </w:p>
    <w:p>
      <w:pPr>
        <w:spacing w:after="0" w:line="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Despite recent approval and initial distribution of vaccines, both the pandemic and the containment and mitigation measures have had and are likely to continue to have an adverse impact on the global and U.S. economies, the severity and duration of which are uncertain. It is likely that government stabilization efforts will only partially mitigate the consequences to the economy. As such, both the pandemic and containment and mitigation measures may adversely affect our business, operations and financial condition by, among other things, reducing demand for our core solutions and/or Value+ services, impairing the productivity of our workforce, and reducing our access to capital. The extent to which the COVID-19 pandemic will impact our business, financial conditions, and results of operations in the future is highly uncertain and will be affected by a number of factors. These include the duration and extent of the pandemic, the duration and extent of imposed or recommended containment and mitigation measures, the extent, duration, and effective execution of government stabilization and recovery efforts, including those from the successful distribution of effective vaccines.</w:t>
      </w:r>
    </w:p>
    <w:p>
      <w:pPr>
        <w:spacing w:after="0" w:line="5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Beginning in March 2020, in an effort to protect our employees and comply with applicable government orders, we restricted non-essential employee travel and transitioned our employees to a remote work environment. We currently expect the majority of our employees will continue working remotely at least through the second quarter of 2021. Our workforce has continued to effectively develop and support our product and service offerings notwithstanding the current environment. We take the health and welfare of our people very seriously, and have encouraged safe practices designed to stem the infection and spread of COVID-19 within our workforce and beyond and to maintain the mental health and well-being of our employees. However, if the COVID-19 pandemic requires remote working conditions for a prolonged period of time, it could have an adverse impact on the productivity of our employees, which would harm our business and impede our ability to achieve our strategic plan. For example, certain of our employees with younger children have been required to respond to ongoing school closures and adapt to a distance learning environment, and may be required to continue to do so for the foreseeable future. Further, we have a limited history of remote work and the long-term impact on, and the resulting types of continuing investments necessary for, our employee base is uncertain.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jc w:val="both"/>
        <w:ind w:firstLine="648"/>
        <w:spacing w:after="0" w:line="301" w:lineRule="auto"/>
        <w:rPr>
          <w:sz w:val="20"/>
          <w:szCs w:val="20"/>
          <w:color w:val="auto"/>
        </w:rPr>
      </w:pPr>
      <w:r>
        <w:rPr>
          <w:rFonts w:ascii="Arial" w:cs="Arial" w:eastAsia="Arial" w:hAnsi="Arial"/>
          <w:sz w:val="16"/>
          <w:szCs w:val="16"/>
          <w:color w:val="auto"/>
        </w:rPr>
        <w:t>Moreover, the COVID-19 pandemic may have long-term effects on the nature of the office environment and remote working. This may present operational and workplace culture challenges that may adversely affect our business. However, we are committed to our employees returning to the workplace in the long-term, and have recently constructed a new office space in Santa Barbara, California, extended the lease for our office in Richardson, Texas and are seeking new office space to lease in San Diego, California to accommodate our employees' return to the workplace in the future.</w:t>
      </w:r>
    </w:p>
    <w:p>
      <w:pPr>
        <w:spacing w:after="0" w:line="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We began fiscal year 2020 with healthy demand for our products and services, many of which are designed to enable our customers to manage their businesses virtually. During the twelve months ended December 31, 2020, we experienced some variability in demand for certain Value+ services after lock-down measures were implemented. We expect demand variability for our products and services could continue as a result of the COVID-19 pandemic, although it is presently unclear whether the cumulative impacts will be positive or negative. For example, the economic downturn resulting from the COVID-19 pandemic caused an increase in residential rental defaults and deferrals. Together with eviction moratoriums in some jurisdictions, this adversely affected the rental income of certain customers. Although the impact has not been material to date, a prolonged downturn in economic conditions could have a material adverse effect on our customers and demand for our services.</w:t>
      </w:r>
    </w:p>
    <w:p>
      <w:pPr>
        <w:spacing w:after="0" w:line="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continue to actively communicate with and listen to our customers to best ensure that we are responding to their needs in the current environment with innovative solutions that will not only be beneficial now but also over the long-term as well. However, our ability to interact with customers has been impacted by the current environment. We believe that our inability to meet in-person with current or prospective customers, as well as the cancellation or postponement of Company-sponsored events or third-party events at which our products are featured, may have a negative impact on our business.</w:t>
      </w:r>
    </w:p>
    <w:p>
      <w:pPr>
        <w:spacing w:after="0" w:line="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continue to monitor developments related to COVID-19 and remain flexible in our response to the challenges presented by the pandemic. To mitigate the adverse impact COVID-19 may have on our business and operations, we have implemented a number of measures to protect the health and safety of our employees, as well as to strengthen our financial position. These efforts include eliminating, reducing, or deferring non-essential expenditures, as well as complying with local and state government recommendations to protect our workforce.</w:t>
      </w:r>
    </w:p>
    <w:p>
      <w:pPr>
        <w:spacing w:after="0" w:line="63"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The impact of the COVID-19 pandemic may also exacerbate other risks discussed in this Annual Report. Refer to Item 1A. "Risk Factors" in this Annual Report for a complete description of the material risks that we currently face.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We were formed in 2006 as a Delaware limited liability company and converted to a Delaware corporation in 2007. Our principal executive offices are located at 50 Castilian Drive, Santa Barbara, California 93117, and our telephone number is (805) 364-6093. Our corporate website is www.appfolioinc.com. The information contained on or accessed through our website does not constitute part of, and is not incorporated by reference into this Annual Report. References to our website address in this Annual Report are inactive textual references only.</w:t>
      </w:r>
    </w:p>
    <w:p>
      <w:pPr>
        <w:spacing w:after="0" w:line="63" w:lineRule="exact"/>
        <w:rPr>
          <w:sz w:val="20"/>
          <w:szCs w:val="20"/>
          <w:color w:val="auto"/>
        </w:rPr>
      </w:pPr>
    </w:p>
    <w:p>
      <w:pPr>
        <w:jc w:val="both"/>
        <w:ind w:right="20" w:firstLine="445"/>
        <w:spacing w:after="0" w:line="279" w:lineRule="auto"/>
        <w:rPr>
          <w:sz w:val="20"/>
          <w:szCs w:val="20"/>
          <w:color w:val="auto"/>
        </w:rPr>
      </w:pPr>
      <w:r>
        <w:rPr>
          <w:rFonts w:ascii="Arial" w:cs="Arial" w:eastAsia="Arial" w:hAnsi="Arial"/>
          <w:sz w:val="17"/>
          <w:szCs w:val="17"/>
          <w:color w:val="auto"/>
        </w:rPr>
        <w:t>“AppFolio,” the AppFolio logo, , and other trademarks and trade names of AppFolio appearing in this Annual Report are our property. All other trademarks or trade names appearing in this report are the property of their respective owners. Solely for convenience, the trademarks and trade names in this report are referred to without the ® and ™ symbols. We do not intend our use or display of the trademarks, trade names or service marks of other parties to imply a relationship with, or endorsement or sponsorship of us, by such other parties.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file annual reports on Form 10-K, quarterly reports on Form 10-Q, current reports on Form 8-K, as well as amendments to those reports pursuant to Sections 13(a) and 15(d) of the Exchange Act. We also file proxy statements and information statements pursuant to Section 14 of the Exchange Act. The SEC maintains a website at www.sec.gov that contains the reports, proxy and information statements, and other information that we file with or furnish to the SEC electronically. Copies of the reports, proxy statements and other information may also be obtained, free of charge, electronically through our corporate website, at www.appfolioinc.com, as soon as reasonably practical after we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ind w:firstLine="183"/>
        <w:spacing w:after="0" w:line="255" w:lineRule="auto"/>
        <w:rPr>
          <w:sz w:val="20"/>
          <w:szCs w:val="20"/>
          <w:color w:val="auto"/>
        </w:rPr>
      </w:pPr>
      <w:r>
        <w:rPr>
          <w:rFonts w:ascii="Arial" w:cs="Arial" w:eastAsia="Arial" w:hAnsi="Arial"/>
          <w:sz w:val="18"/>
          <w:szCs w:val="18"/>
          <w:color w:val="auto"/>
        </w:rPr>
        <w:t>You should consider carefully the risks described below, together with all of the other information included in this Annual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19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Annual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December 2019, a novel coronavirus disease, referred to as COVID-19, was reported and has spread globally, including to every state in the United States. On March 11, 2020, the World Health Organization declared COVID-19 a pandemic, and on March 13, 2020, the United States government declared a national emergency with respect to COVID-19. 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 These potential impacts are only amplified by the length of time they remain in place, as the cumulative effect upon our customers and their businesses may exacerbate the potential harm to our business and results of operations.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Beginning in March 2020, in an effort to protect our employees and comply with applicable government orders, we restricted non-essential employee travel and transitioned our employees to a remote work environment. We currently expect the majority of our employees will continue working remotely at least through the second quarter of 2021. Our workforce has continued to effectively develop and support our product and service offerings notwithstanding the current environment. We take the health and welfare of our people very seriously, and have encouraged safe practices designed to stem the infection and spread of COVID-19 within our workforce and beyond and to maintain the mental health and well-being of our employees. However, if the COVID-19 pandemic requires remote working conditions for a prolonged period of time, it could have an adverse impact on the productivity of our employees, which would harm our business and impede our ability to achieve our strategic plan. For example, certain of our employees with younger children have been required to respond to ongoing school closures and adapt to a distance learning environment, and may be required to continue to do so for the foreseeable future. Further, we have a limited history of remote work and the long-term impact on, and the resulting types of continuing investments necessary for, our employee base is uncertain.</w:t>
      </w:r>
    </w:p>
    <w:p>
      <w:pPr>
        <w:spacing w:after="0" w:line="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COVID-19 pandemic has resulted in a rapid rise in unemployment and a sudden decrease in global economic activity, and many businesses have experienced, or are anticipating that they may experience, a significant negative impact on their operating results.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 Furthermore, the demand for our products and services, as well as our operating results, could be adversely impacted due to a number of other factors, including the following:</w:t>
      </w:r>
    </w:p>
    <w:p>
      <w:pPr>
        <w:spacing w:after="0" w:line="65" w:lineRule="exact"/>
        <w:rPr>
          <w:sz w:val="20"/>
          <w:szCs w:val="20"/>
          <w:color w:val="auto"/>
        </w:rPr>
      </w:pPr>
    </w:p>
    <w:p>
      <w:pPr>
        <w:ind w:left="660" w:hanging="328"/>
        <w:spacing w:after="0" w:line="218" w:lineRule="auto"/>
        <w:tabs>
          <w:tab w:leader="none" w:pos="669" w:val="left"/>
        </w:tabs>
        <w:numPr>
          <w:ilvl w:val="0"/>
          <w:numId w:val="7"/>
        </w:numPr>
        <w:rPr>
          <w:rFonts w:ascii="Arial" w:cs="Arial" w:eastAsia="Arial" w:hAnsi="Arial"/>
          <w:sz w:val="22"/>
          <w:szCs w:val="22"/>
          <w:color w:val="auto"/>
        </w:rPr>
      </w:pPr>
      <w:r>
        <w:rPr>
          <w:rFonts w:ascii="Arial" w:cs="Arial" w:eastAsia="Arial" w:hAnsi="Arial"/>
          <w:sz w:val="18"/>
          <w:szCs w:val="18"/>
          <w:color w:val="auto"/>
        </w:rPr>
        <w:t>customers delaying decisions to adopt our core products, or expand the use of our Value+ services, as they seek to reduce or delay spending in response to the impacts of COVID-19 on their own businesses;</w:t>
      </w:r>
    </w:p>
    <w:p>
      <w:pPr>
        <w:spacing w:after="0" w:line="81"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19"/>
          <w:szCs w:val="19"/>
          <w:color w:val="auto"/>
        </w:rPr>
      </w:pPr>
      <w:r>
        <w:rPr>
          <w:rFonts w:ascii="Arial" w:cs="Arial" w:eastAsia="Arial" w:hAnsi="Arial"/>
          <w:sz w:val="16"/>
          <w:szCs w:val="16"/>
          <w:color w:val="auto"/>
        </w:rPr>
        <w:t>a complete or partial closure of, or other operational issues at, properties owned by our customers resulting from government restrictions or orders;</w:t>
      </w:r>
    </w:p>
    <w:p>
      <w:pPr>
        <w:spacing w:after="0" w:line="82" w:lineRule="exact"/>
        <w:rPr>
          <w:rFonts w:ascii="Arial" w:cs="Arial" w:eastAsia="Arial" w:hAnsi="Arial"/>
          <w:sz w:val="19"/>
          <w:szCs w:val="19"/>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a deterioration in our ability, or the ability of our customers, to operate in affected geographic areas;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4" w:name="page15"/>
    <w:bookmarkEnd w:id="14"/>
    <w:p>
      <w:pPr>
        <w:ind w:left="660" w:hanging="328"/>
        <w:spacing w:after="0" w:line="218" w:lineRule="auto"/>
        <w:tabs>
          <w:tab w:leader="none" w:pos="669" w:val="left"/>
        </w:tabs>
        <w:numPr>
          <w:ilvl w:val="0"/>
          <w:numId w:val="8"/>
        </w:numPr>
        <w:rPr>
          <w:rFonts w:ascii="Arial" w:cs="Arial" w:eastAsia="Arial" w:hAnsi="Arial"/>
          <w:sz w:val="22"/>
          <w:szCs w:val="22"/>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8"/>
        </w:numPr>
        <w:rPr>
          <w:rFonts w:ascii="Arial" w:cs="Arial" w:eastAsia="Arial" w:hAnsi="Arial"/>
          <w:sz w:val="22"/>
          <w:szCs w:val="22"/>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81" w:lineRule="exact"/>
        <w:rPr>
          <w:rFonts w:ascii="Arial" w:cs="Arial" w:eastAsia="Arial" w:hAnsi="Arial"/>
          <w:sz w:val="22"/>
          <w:szCs w:val="22"/>
          <w:color w:val="auto"/>
        </w:rPr>
      </w:pPr>
    </w:p>
    <w:p>
      <w:pPr>
        <w:ind w:left="660" w:hanging="328"/>
        <w:spacing w:after="0" w:line="218" w:lineRule="auto"/>
        <w:tabs>
          <w:tab w:leader="none" w:pos="656" w:val="left"/>
        </w:tabs>
        <w:numPr>
          <w:ilvl w:val="0"/>
          <w:numId w:val="8"/>
        </w:numPr>
        <w:rPr>
          <w:rFonts w:ascii="Arial" w:cs="Arial" w:eastAsia="Arial" w:hAnsi="Arial"/>
          <w:sz w:val="22"/>
          <w:szCs w:val="22"/>
          <w:color w:val="auto"/>
        </w:rPr>
      </w:pPr>
      <w:r>
        <w:rPr>
          <w:rFonts w:ascii="Arial" w:cs="Arial" w:eastAsia="Arial" w:hAnsi="Arial"/>
          <w:sz w:val="18"/>
          <w:szCs w:val="18"/>
          <w:color w:val="auto"/>
        </w:rPr>
        <w:t>a decrease in the reliability or availability of our core products or Value+ services as a result of errors, defects or service interruptions caused by the remote work environment;</w:t>
      </w:r>
    </w:p>
    <w:p>
      <w:pPr>
        <w:spacing w:after="0" w:line="81" w:lineRule="exact"/>
        <w:rPr>
          <w:rFonts w:ascii="Arial" w:cs="Arial" w:eastAsia="Arial" w:hAnsi="Arial"/>
          <w:sz w:val="22"/>
          <w:szCs w:val="22"/>
          <w:color w:val="auto"/>
        </w:rPr>
      </w:pPr>
    </w:p>
    <w:p>
      <w:pPr>
        <w:ind w:left="660" w:hanging="328"/>
        <w:spacing w:after="0" w:line="218" w:lineRule="auto"/>
        <w:tabs>
          <w:tab w:leader="none" w:pos="683" w:val="left"/>
        </w:tabs>
        <w:numPr>
          <w:ilvl w:val="0"/>
          <w:numId w:val="8"/>
        </w:numPr>
        <w:rPr>
          <w:rFonts w:ascii="Arial" w:cs="Arial" w:eastAsia="Arial" w:hAnsi="Arial"/>
          <w:sz w:val="22"/>
          <w:szCs w:val="22"/>
          <w:color w:val="auto"/>
        </w:rPr>
      </w:pPr>
      <w:r>
        <w:rPr>
          <w:rFonts w:ascii="Arial" w:cs="Arial" w:eastAsia="Arial" w:hAnsi="Arial"/>
          <w:sz w:val="18"/>
          <w:szCs w:val="18"/>
          <w:color w:val="auto"/>
        </w:rPr>
        <w:t>an increase in risks related to cyber-attacks or fraud designed to exploit perceived or actual gaps in security as a result of the remote work environment;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Any of the factors described above, or any number of other risks related to the COVID-19 pandemic, could disrupt our business, which could have a material adverse impact on our business, operations and financial results. Despite recent approval and initial distribution of vaccines, both the pandemic and the containment and mitigation measures have had and are likely to continue to have an adverse impact on the global and U.S. economies, the severity and duration of which are uncertain. It is likely that government stabilization efforts will only partially mitigate the consequences to the economy. As such, both the pandemic and containment and mitigation measures may adversely affect our business, operations and financial condition by, among other things, reducing demand for our core solutions and/or Value+ services, impairing the productivity of our workforce, and reducing our access to capital. The extent to which the COVID-19 pandemic will impact our business, financial conditions, and results of operations in the future is highly uncertain and will be affected by a number of factors. These include the duration and extent of the pandemic, the duration and extent of imposed or recommended containment and mitigation measures, the extent, duration, and effective execution of government stabilization and recovery efforts, including those from the successful distribution of effective vaccines.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manage our business to achieve long-term growth, which may not be consistent with the short-term expectations of some investors.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plan to continue to manage our business towards the achievement of long-term growth to positively impact long-term value, and not towards the realization of short-term metrics or short-term value. We will make product decisions and pursue opportunities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value, the decisions we make may not produce the long-term benefits we expect. Our principal stockholders, some of whom also serve as our directors and executive officers, control a majority of the combined voting power of our outstanding capital stock. As a result, they control the election of a majority of our directors and thereby have the power to control our affairs and policies, including the appointment of management and strategic decisions, as well as matters that are submitted to a vote by our holders of our common stock. The interests of our principal stockholders may be inconsistent with or adverse to those of holders our Class A common stock.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Failure to manage our growth effectively could adversely affect our operating results and preclude our achievement of our strategic plans.</w:t>
      </w:r>
    </w:p>
    <w:p>
      <w:pPr>
        <w:spacing w:after="0" w:line="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respond to the uncertainty and disruption caused by the COVID-19 pandemic. 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substantial investments across our organization to grow our business and may not sustain profitability.</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order to implement our business and growth strategy, we have made and will continue to make substantial investments across our organization and, as a result, we expect our expenses to increase significantly and we may not be consistently profitable. For example, we intend to continue to make substantial investments in, among other things: our research and product development organization to enhance the ease of use and functionality of our software solutions and develop new products; our continued efforts to identify acquisition targets that enhance the depth and/or functionality of our software solutions or Value+ services; our customer service organization to deepen our relationships with our customers and promote customer retention; our sales and marketing organization, including expansion of our direct sales organization and marketing programs, to increase the size of our customer base and increase adoption and utilization of new and existing Value+ services by our new and existing customers; maintaining and expanding our technology infrastructure and operational support to promote the security and availability of our software solutions; our general and administrative functions, to support our growth and assist us in maintaining compliance with legal, regulatory and other compliance-related obligations; and the expansion of our existing facilities, including leasing and building out additional office space, to support our growth and strategic development. Even if we are successful in growing our customer base and increasing revenue from new and existing customers, we may not be able to generate additional revenue in an amount that is sufficient to cover our expenses. We cannot assure you that we will continue to achieve profitability in the near term or that we will sustain profitability on a sequential quarterly basis or over any particular period of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Our focus on managing our business towards the achievement of long-term growth, rather than the realization of short-term metrics, may also exacerbate fluctuations in our quarterly results, which could negatively impact the value of our Class A common stock. We may incur significant losses in a particular period for a number of reasons, and may experience significant fluctuations in our operating results from period to period.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Furthermore, if our quarterly results fall below the expectations of investors or any securities analysts who follow our stock, or below any financial guidance we may provide, the price of our Class A common stock could decline substantially.</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63" w:lineRule="exact"/>
        <w:rPr>
          <w:sz w:val="20"/>
          <w:szCs w:val="20"/>
          <w:color w:val="auto"/>
        </w:rPr>
      </w:pPr>
    </w:p>
    <w:p>
      <w:pPr>
        <w:jc w:val="both"/>
        <w:ind w:firstLine="648"/>
        <w:spacing w:after="0" w:line="207" w:lineRule="exact"/>
        <w:rPr>
          <w:sz w:val="20"/>
          <w:szCs w:val="20"/>
          <w:color w:val="auto"/>
        </w:rPr>
      </w:pPr>
      <w:r>
        <w:rPr>
          <w:rFonts w:ascii="Arial" w:cs="Arial" w:eastAsia="Arial" w:hAnsi="Arial"/>
          <w:sz w:val="18"/>
          <w:szCs w:val="18"/>
          <w:color w:val="auto"/>
        </w:rPr>
        <w:t>We determine the level of our investment in various aspects of the business, in part, based on our market opportunity estimates. 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The disruptions and impacts caused by the COVID</w:t>
      </w:r>
      <w:r>
        <w:rPr>
          <w:rFonts w:ascii="MS PGothic" w:cs="MS PGothic" w:eastAsia="MS PGothic" w:hAnsi="MS PGothic"/>
          <w:sz w:val="18"/>
          <w:szCs w:val="18"/>
          <w:color w:val="auto"/>
        </w:rPr>
        <w:t>‑</w:t>
      </w:r>
      <w:r>
        <w:rPr>
          <w:rFonts w:ascii="Arial" w:cs="Arial" w:eastAsia="Arial" w:hAnsi="Arial"/>
          <w:sz w:val="18"/>
          <w:szCs w:val="18"/>
          <w:color w:val="auto"/>
        </w:rPr>
        <w:t>19 pandemic may ultimately require us to significantly reduce our estimates of the market opportunities in certain markets or industry verticals, which could negatively impact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spacing w:after="0"/>
        <w:rPr>
          <w:sz w:val="20"/>
          <w:szCs w:val="20"/>
          <w:color w:val="auto"/>
        </w:rPr>
      </w:pPr>
      <w:r>
        <w:rPr>
          <w:rFonts w:ascii="Arial" w:cs="Arial" w:eastAsia="Arial" w:hAnsi="Arial"/>
          <w:sz w:val="15"/>
          <w:szCs w:val="15"/>
          <w:b w:val="1"/>
          <w:bCs w:val="1"/>
          <w:i w:val="1"/>
          <w:iCs w:val="1"/>
          <w:color w:val="auto"/>
        </w:rPr>
        <w:t>Our acquisition of other companies or technologies would subject us to integration risks, as well as risks related to the financing of such acquisitions.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 provide an opportunity to expand into an adjacent market or new vertical, or otherwise offer growth or strategic opportunities. For example, in the real estate vertical, we acquired substantially all of the assets of WegoWise in 2018 and completed the acquisition of Dynasty in 2019. The identification, investigation and negotiation of acquisitions may divert the attention of management and cause us to incur various expenses, whether or not they are consummated. We have limited experience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Acquisitions could also subject us to related financing risks. We cannot guarantee that additional financing will be available to us on favorable terms when required, or at all. Acquisitions could result in the issuance of equity securities, which would result in immediate dilution to our stockholders and those securities may have powers, preferences or rights senior to the rights of our Class A common stock. We may incur debt to finance acquisitions, which could impose debt service obligations and restrictions on our ability to operate our business. Our ability to obtain additional capital for acquisitions will depend on numerous factors, including investor and lender demand, our compliance with debt obligations, our historical and forecasted financial and operating performance, our liquidity position, the overall condition of the capital markets, and the global economy as a whole. If we raise funds in the form of debt, we may incur interest expense or other costs to service the debt, we may be required to encumber certain assets, and we may become subject to restrictions on our ability to conduct business, any of which could negatively impact our operating results.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or sensitive information, which could harm our customer and/or employee relationships, expose us to litigation or harm our reputation.</w:t>
      </w:r>
    </w:p>
    <w:p>
      <w:pPr>
        <w:spacing w:after="0" w:line="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Like many other businesses, we have experienced, and are continually at risk of being subject to, cyber attacks and data security incidents. As our business grows, the number of users of our software solutions, as well as the amount of information we collect and store, is increasing, and our brands are becoming more widely recognized which makes us an even greater target for malicious activity. There can be no assurance that the security measures we employ will prevent malicious or unauthorized access to our systems and information. Furthermore, no security program can entirely eliminate the risk of human error, such as an employee or contractor’s failure to follow one or more security protocols. Therefore, despite our significant efforts to keep our systems, products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security breaches could result in reputational damage, adversely affect our ability to attract new customers and cause existing customers to reduce or discontinue the use of our software solutions.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jc w:val="both"/>
        <w:spacing w:after="0" w:line="261" w:lineRule="auto"/>
        <w:rPr>
          <w:sz w:val="20"/>
          <w:szCs w:val="20"/>
          <w:color w:val="auto"/>
        </w:rPr>
      </w:pPr>
      <w:r>
        <w:rPr>
          <w:rFonts w:ascii="Arial" w:cs="Arial" w:eastAsia="Arial" w:hAnsi="Arial"/>
          <w:sz w:val="18"/>
          <w:szCs w:val="18"/>
          <w:color w:val="auto"/>
        </w:rPr>
        <w:t>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 outages and other infrastructure performance problems could harm our reputation and adversely affect our ability to attract and retain customers.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We seek to maintain sufficient excess capacity in our technology infrastructure to meet the needs of all of our customers, including facilitating the expansion of existing customer deployments and the provisioning of new customer deployments. 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cloud computing platform providers, human or software errors, viruses, security breaches, fraud or other malicious activity, spikes in customer usage and distributed denial of service attacks.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 and regulations could impose additional costs and reduce demand for our software solutions.</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store and transmit personal information relating to our employees and other individuals, and our customers use our technology platform to store and transmit a significant amount of personal information relating to their customers, vendors, employees and other industry participants.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created new data privacy and security rights for California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addition to government regulation, privacy advocates and industry groups may propose various self-regulatory standards that may legally or contractually apply to our business. As new laws, regulations and industry standards take effect, and as we expand into new jurisdictions, adjacent markets or, potentially, verticals consistent with our strategic plan, we will need to understand and comply with various new requirements, which may result in significant additional costs. These laws, regulations and industry standards could have negative effects on our business, including by increasing our costs and operating expenses, and/or delaying or impeding our deployment of new or existing core functionality or Value+ services. Failure to comply with these laws, regulations and industry standards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We face risks in our electronic payment services business that could adversely affect our business and/or operating results.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 liability for customer costs related to disputed or fraudulent transactions and other incidences of fraud in our electronic payment services ecosystem. In the event that we are found to be in violation of our legal, regulatory or contractual requirements, we may be subject to monetary fines or penalties, cease-and-desist orders, mandatory product changes, or other liabilities that could have an adverse effect on our operating results. 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we bear the ultimate risk of loss for the transaction amount. Further,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and/or change the transaction costs associated with those payments, thereby reducing our revenue and increasing our associated expenses, which could materially impact our business,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tenant screening services business that could adversely affect our business and/or operating results.</w:t>
      </w:r>
    </w:p>
    <w:p>
      <w:pPr>
        <w:spacing w:after="0" w:line="104"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Our tenant screening services business is subject to a number of complex laws that are subject to varying interpretations, including the FCRA and related regulations. The FCRA has recently been the subject of multiple class-based litigation proceedings, as well as numerous regulatory inquiries and enforcement actions. In addition, entities such as the FTC and the Consumer Financial Protection Bureau ("CFPB") have the authority to promulgate rules and regulations that may impact our customers and our business. Although we attempt to structure our tenant screening services to comply with the relevant laws and regulations, we may be found to be in violation of them and we may be subject to routine regulatory inquiries, enforcement actions, class-based litigation or indemnity demands.</w:t>
      </w:r>
    </w:p>
    <w:p>
      <w:pPr>
        <w:spacing w:after="0" w:line="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As previously disclosed, we received a Civil Investigative Demand from the FTC in December 2018 requesting certain information relating to our compliance with the FCRA in connection with our tenant screening services business (the "FTC Investigation"). On April 30, 2020, the FTC staff informed us of its belief that there is a reasonable basis for asserting claims against us for our alleged failure to comply with certain sections of the FCRA that could result in monetary penalty and injunctive relief. Notwithstanding our disagreement with the FTC's position and vigorous defense of our position, and primarily in an effort to avoid protracted litigation and potential distraction to our business, we entered into settlement negotiations with the FTC in an effort to resolve all claims and allegations arising out of or relating to the FTC Investigation. Those settlement negotiations resulted in a final agreement between the parties that is memorialized in a Stipulated Order for Permanent Injunction and Civil Penalty Judgment filed in the United States District Court for the District of Columbia on January 12, 2021. We admitted no wrongdoing in connection with the settlement.</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In the second quarter of 2020, we determined that a loss stemming from the FTC Investigation was probable and that a reasonable estimate of the loss was approximately $4.3 million. Accordingly, an accrual of $4.3 million is included within </w:t>
      </w:r>
      <w:r>
        <w:rPr>
          <w:rFonts w:ascii="Arial" w:cs="Arial" w:eastAsia="Arial" w:hAnsi="Arial"/>
          <w:sz w:val="17"/>
          <w:szCs w:val="17"/>
          <w:i w:val="1"/>
          <w:iCs w:val="1"/>
          <w:color w:val="auto"/>
        </w:rPr>
        <w:t>accrued expenses</w:t>
      </w:r>
      <w:r>
        <w:rPr>
          <w:rFonts w:ascii="Arial" w:cs="Arial" w:eastAsia="Arial" w:hAnsi="Arial"/>
          <w:sz w:val="17"/>
          <w:szCs w:val="17"/>
          <w:color w:val="auto"/>
        </w:rPr>
        <w:t xml:space="preserve"> on our Consolidated Balance Sheet as of December 31, 2020. The ultimate settlement amount of approximately $4.3 million was paid in January 2021.</w:t>
      </w:r>
    </w:p>
    <w:p>
      <w:pPr>
        <w:spacing w:after="0" w:line="5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In addition, we received a Request for Information from the DOJ in July 2019 requesting certain information relating to our compliance with the SCRA in connection with our tenant screening services business. On November 6, 2020, the DOJ issued a no action letter, declining to take any action against us and closing its investigation.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ind w:firstLine="648"/>
        <w:spacing w:after="0" w:line="284" w:lineRule="auto"/>
        <w:rPr>
          <w:sz w:val="20"/>
          <w:szCs w:val="20"/>
          <w:color w:val="auto"/>
        </w:rPr>
      </w:pPr>
      <w:r>
        <w:rPr>
          <w:rFonts w:ascii="Arial" w:cs="Arial" w:eastAsia="Arial" w:hAnsi="Arial"/>
          <w:sz w:val="16"/>
          <w:szCs w:val="16"/>
          <w:color w:val="auto"/>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spacing w:after="0" w:line="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use third-party service providers for electronic payment and tenant screening services, and their failure to fulfill their contractual obligations could harm our reputation, disrupt our business and adversely affect our operating results.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and third-party tenant screening services providers to enable us to provide tenant screening services such as background and credit checks to our customers. In some cases, functions necessary to our business are performed on proprietary third-party systems and software to which we have no access. The failure of these service providers to provide us with accurate and timely information, to fulfill their contractual obligations to us, or to renew their contracts with us, could result in direct liability to us, harm our reputation, result in significant disruptions to our business, and adversely affect our operating results.</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success and future growth depend, in part, upon the continued services of our executive officers and other key employees. There may be changes in our executive officers or other key employees resulting from the hiring or departure of these personnel, which may disrupt our business. The loss of one or more of our executive officers or other key employees could have an adverse effect on our business. In addition, 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Further, in order for us to achieve broader market acceptance of our software solutions, grow our customer base, and pursue adjacent markets and, potentially, new verticals consistent with our strategic plan, we will need to continue to increase the size of our sales and marketing and customer service and support organizations. Identifying, recruiting, training and retaining qualified personnel is difficult and requires a significant investment of time and resources.</w:t>
      </w:r>
    </w:p>
    <w:p>
      <w:pPr>
        <w:spacing w:after="0" w:line="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The vertical market in which we participate is intensely competitive and our business could be harmed if we do not compete effectively.</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overall market for cloud-based business management software is global, highly competitive and continually evolving in response to a number of factors, including changes in technology, operational requirements, and laws and regulations. While we focus on providing industry-specific, cloud-based business management software solutions to the real estate vertical,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 Many of our competitors and potential competitors are larger and have greater name recognition, longer operating histories, and significantly greater resources. As a result, our competitors may be able to respond more quickly and effectively to new or changing opportunities, technologies, operational requirements and industry standards, as well as to new challenges such as those resulting from the COVID-19 pandemic. In addition, our current and potential competitors may develop, market and sell new technologies with comparable functionality to our software solutions, which could cause us to lose customers, slow the rate of growth of new customers and/or cause us to decrease our prices in order to remain competitive. For all of these reasons, we may not be able to compete effectively against our current and future competitors, which could harm our business.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We may ultimately have to change our pricing model or offer pricing incentives which may adversely affect our revenue even if adoption and utilization remain constant. Changes to our pricing model could harm our customer retention rates and our ability to attract new customers, whether in connection with our core solutions or our Value+ services, which could adversely affect our operating results.</w:t>
      </w:r>
    </w:p>
    <w:p>
      <w:pPr>
        <w:spacing w:after="0" w:line="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Business management software for small and medium-sized businesses ("SMBs") is an evolving market. If the market is smaller than estimated or the transition to or between cloud-based business management software slows, our operating results could be adversely affected.</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cloud-based business management software for SMBs in the real estate vertical and will assess entry into new or adjacent markets consistent with our strategic plan. Our success will depend, in part, on the continued widespread adoption by SMBs of cloud-based business management software. The market for industry-specific, cloud-based business management software for SMBs, both generally, and specifically within the real estate market, is evolving and is relatively small. The continued expansion of this market depends on numerous factors, including the cost and perceived value associated with cloud-based business management software relative to disparate point solutions, the willingness of SMBs to transition from their existing software systems or otherwise alter their existing businesses practices, and the ability of cloud-based solution providers to address security, privacy, availability and other concerns. If the widespread adoption of cloud-based business management software by SMBs does not continue, our revenue may increase at a slower rate than we expect and may even decline, which could adversely affect our operating results. In addition, it is difficult to estimate the rate at which SMBs will be willing to transition to or between vertical cloud-based business management software in any particular period, which makes it difficult to estimate the overall size and growth rate of the market for cloud-based business management software at any point in time or to forecast revenue growth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While we plan to continue to market and sell our software solutions to smaller companies or firms, our growth strategy is dependent, in part, upon increasing sales of our software solutions to larger customers within the real estate vertical.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 competition in completing some of our sales. Our ability to sell our software solutions to larger customers may be dependent, in part, on our ability to develop functionality, or to implement pricing policies, that are unique to particular customers or are necessary for success in a market segment dominated by larger customers.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ind w:firstLine="648"/>
        <w:spacing w:after="0" w:line="270" w:lineRule="auto"/>
        <w:rPr>
          <w:sz w:val="20"/>
          <w:szCs w:val="20"/>
          <w:color w:val="auto"/>
        </w:rPr>
      </w:pPr>
      <w:r>
        <w:rPr>
          <w:rFonts w:ascii="Arial" w:cs="Arial" w:eastAsia="Arial" w:hAnsi="Arial"/>
          <w:sz w:val="16"/>
          <w:szCs w:val="16"/>
          <w:color w:val="auto"/>
        </w:rPr>
        <w:t>The software industry is characterized by rapid technological advances, changing industry standards, evolving customer requirements and intense competition. Our ability to attract new customers, increase revenue from our existing customers, and expand into adjacent markets or, potentially,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long-term depends, in part, on our ability to introduce new products for adjacent markets and, potentially, additional verticals that we identify through our market validation process consistent with our strategic plan. Market acceptance of our current and future software solutions will depend on numerous factors, including the pricing of our software solutions relative to competitive products, perceptions about the security, privacy and availability of our software solutions relative to competitive products, and the time-to-market of our updates and enhancements to our core functionality, Value+ services and products. If we are unable to successfully enhance the functionality of our existing software solutions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w:t>
      </w:r>
    </w:p>
    <w:p>
      <w:pPr>
        <w:spacing w:after="0" w:line="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either could adversely impact our operating results.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We cannot assure you that our customers will renew their subscriptions with us, that our existing customers will continue to broaden their adoption and utilization of our Value+ services, or that they will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The loss of our existing customers could have a significant impact on our reputation and our ability to acquire new customers cost-effectively via word-of-mouth. A reduction in the number of our existing customers, even if offset by an increase in new customers, could reduce our revenue and operating margins. We may need to employ increasingly costly sales and marketing efforts and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 We may experience lower rates of subscription renewals, as well as lower rates of adoption and utilization of Value+ services, as a result of the COVID-19 pandemic as customers may seek to reduce or delay spending within their businesses.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All of our revenues are presently generated by sales to customers and users in the real estate vertical, and factors that adversely affect that vertical, or our customers or users within it, could also adversely affect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expect that our real estate customers and users will continue to account for a significant portion or all of our revenue for the foreseeable future. Demand for our software solutions and services could be affected by factors that are unique to and adversely affect the real estate vertical and our customers and users within it. If the vertical itself declines, our customers may decide not to renew their subscriptions or they may cease using our Value+ services in order to reduce costs to remain competitive. Further, we could lose real estate customers as a result of acquisitions or consolidations within the real estate vertical, bankruptcies or other financial difficulties facing our real estate customers, new or enhanced legal or regulatory regimes that negatively impact the real estate vertical, and conditions or trends specific to the real estate vertical such as the economic factors that impact the rental market. It is possible that the significant increase in unemployment rates, regulation and financial uncertainty caused by the COVID-19 pandemic could have a disproportionate impact on businesses within the real estate vertical, which may, in turn, disproportionately affect our customers and users and, therefore, our business, financial condition and operating results. In addition to the foregoing risks, there is an overarching risk stemming from potential widespread adoption of quickly evolving financial or other disruptive technology products that could significantly impact the real estate vertical, even if the disruptive technology is not specifically designed to apply directly to it. The adoption of these new technologies could significantly reduce the volume or demand of our customers and users, thereby reducing our revenue, which could materially impact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spacing w:after="0" w:line="261" w:lineRule="auto"/>
        <w:rPr>
          <w:sz w:val="20"/>
          <w:szCs w:val="20"/>
          <w:color w:val="auto"/>
        </w:rPr>
      </w:pPr>
      <w:r>
        <w:rPr>
          <w:rFonts w:ascii="Arial" w:cs="Arial" w:eastAsia="Arial" w:hAnsi="Arial"/>
          <w:sz w:val="18"/>
          <w:szCs w:val="18"/>
          <w:b w:val="1"/>
          <w:bCs w:val="1"/>
          <w:i w:val="1"/>
          <w:iCs w:val="1"/>
          <w:color w:val="auto"/>
        </w:rPr>
        <w:t>Our growth depends in part on our strategic relationships with third parties and, if we are unsuccessful in establishing or maintaining these relationships, our ability to compete in our targeted markets or grow our revenue could be impaired.</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w:t>
      </w:r>
    </w:p>
    <w:p>
      <w:pPr>
        <w:spacing w:after="0" w:line="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depend on cloud computing platforms and computing infrastructure operated by third parties and any disruption in these operations could adversely affect our operating results.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currently rely on cloud computing resources operated by Amazon Web Services and other third party cloud computing service providers to power the products and services that we provide to our customers. These cloud computing service providers may experience service interruptions that are outside of our control, possibly even across multiple regions, which could adversely affect our business.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It may require significant effort to migrate all of our services to a different region if we are forced to recover from a regional, or multi-regional, outage by any of our cloud computing service providers. Problems faced by any of these service providers with whom we contract, or changes in service levels provided by them, could adversely affect the experience of our customers, result in loss of or damage to our customers’ stored information, which could harm our reputation, impair our ability to attract and retain customers, and subject us to potential liability, any of which could adversely affect our operating results.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offer our software solutions across a variety of operating systems and through the Internet. We depend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the adoption and usage of our software solutions. In addition, in order to deliver high quality software solutions, we will need to continuously enhance and modify our functionality to keep pace with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 Additionally, we underwrite our legal liability to landlord insurance policies, and we are required by our insurance partner to maintain a reserve to cover potential claims under the policies. While our policies have per-occurrence limits, there is no limit on the dollar amount of claims that could be made against us in any particular period or in the aggregate. In the event that claims by the insureds increase unexpectedly, our reserve may not be sufficient to cover our resulting liability under the policies. If we are required to pay out significantly higher amounts to insureds than our current reserves, this could have a material adverse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Such supervision could limit the growth of our insurance business by increasing the costs of regulatory compliance, limiting or restricting the products or services we provide or the methods by which we provide them, and subjecting us to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we are routinely subject to periodic state examinations, audits and investigations of the affairs of insurance companies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agencies, any of which could result in the expenditure of significant management time or financial resources.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No assurances can be given that our insurance business can continue to be conducted in any given jurisdiction as it has been conducted in the past or that we will be able to expand our insurance business in the future.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deliver effective customer service and/or effectively maintain and promote our brands, it could harm our relationships with our existing customers and adversely affect our ability to attract new customers and our operating results.</w:t>
      </w:r>
    </w:p>
    <w:p>
      <w:pPr>
        <w:spacing w:after="0" w:line="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business depends, in part, on our ability to satisfy our customers, both by providing software solutions that address their business needs, and by providing onboarding services and ongoing customer service. Once our software solutions are deployed, our customers depend on our customer service organization to resolve technical issues relating to their use of our solutions. As we do not separately charge our customers for support services, increased demand for our support services would increase costs without corresponding revenue, which could adversely affect our operating results. Further, 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the real estate vertical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 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There are risks associated with potential future indebtedness that may adversely affect our financial condition and future financing agreements may contain restrictive operating and financial covenants.</w:t>
      </w:r>
    </w:p>
    <w:p>
      <w:pPr>
        <w:spacing w:after="0" w:line="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may incur additional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1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At December 31, 2020, we had state net operating loss carryforwards of $46.5 million, which will begin to expire in 2028. At December 31, 2020, we also had federal and state research and development credit carryforwards of $4.1 million and $11.5 million, respectively. The federal credit carryforwards will begin to expire in 2040, while the state credit carryforwards apply indefinitely. 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7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may be adversely affected by developments in the global economy, including if we seek to expand our sales to customers outside of the United States.</w:t>
      </w:r>
    </w:p>
    <w:p>
      <w:pPr>
        <w:spacing w:after="0" w:line="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To date, we have realized an immaterial amount of revenue from customers outside the United States. We may nonetheless be affected by economic, regulatory or other developments in the global economy or particular countries, such as China, because certain of our customers’ businesses may</w:t>
      </w:r>
    </w:p>
    <w:p>
      <w:pPr>
        <w:jc w:val="both"/>
        <w:spacing w:after="0" w:line="262" w:lineRule="auto"/>
        <w:rPr>
          <w:sz w:val="20"/>
          <w:szCs w:val="20"/>
          <w:color w:val="auto"/>
        </w:rPr>
      </w:pPr>
      <w:r>
        <w:rPr>
          <w:rFonts w:ascii="Arial" w:cs="Arial" w:eastAsia="Arial" w:hAnsi="Arial"/>
          <w:sz w:val="17"/>
          <w:szCs w:val="17"/>
          <w:color w:val="auto"/>
        </w:rPr>
        <w:t>be based in or have significant ties to international jurisdictions. This may, for example, affect our ability to meet customer requirements in a cost-effective manner or the ability of our customers to expand their relationships with us. Furthermore, to the extent that we seek to expand our operations to international markets, such expansion will require significant resources and management attention and will subject us to additional regulatory, economic, geographic and political risks. Because of our limited experience with international operations and significant differences between the United States and international markets, any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market price of our Class A common stock has been, and is likely to continue to be, highly volatile, and fluctuations in the price of our Class A common stock could cause you to lose all or part of your investment. There are a wide variety of factors, many of which are outside our control, that could cause fluctuations in the market price of our Class A common stock and,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and/or the price of our Class A common stock.</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concentrates voting control with a limited number of stockholders, including our executive officers, directors and principal stockholders, effectively limiting your ability to influence corporate matters.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December 31, 2020, the holders of the outstanding shares of our Class B common stock, including our executive officers, directors, and principal stockholders, collectively held approximately 90%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appointment of management and strategic decisions, as well as matters that are submitted to a vote by our holders of our common stock. The interests of our principal stockholders may be inconsistent with or adverse to those of holders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6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 As of December 31, 2020, we had an aggregate of 1.2 million options outstanding that, if fully exercised, would result in the issuance of additional shares of Class A common stock or Class B common stock, as applicable. Our Class B common stock converts into Class A common stock on a one-for-one basis. In addition, as of December 31, 2020, we had 0.5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 In addition, 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declare any dividends in the foreseeable future and may repurchase stock in accordance with our Share Repurchase Program.</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w:t>
      </w:r>
    </w:p>
    <w:p>
      <w:pPr>
        <w:spacing w:after="0" w:line="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8"/>
          <w:szCs w:val="18"/>
          <w:color w:val="auto"/>
        </w:rPr>
        <w:t xml:space="preserve">Price appreciation, which may never occur, may be further impacted by repurchases of our shares in accordance with our Share Repurchase Program. Repurchases of our shares could increase the volatility of the trading price of our shares, which could have a negative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12, </w:t>
      </w:r>
      <w:r>
        <w:rPr>
          <w:rFonts w:ascii="Arial" w:cs="Arial" w:eastAsia="Arial" w:hAnsi="Arial"/>
          <w:sz w:val="18"/>
          <w:szCs w:val="18"/>
          <w:i w:val="1"/>
          <w:iCs w:val="1"/>
          <w:color w:val="auto"/>
        </w:rPr>
        <w:t>Stockholders' Equity</w:t>
      </w:r>
      <w:r>
        <w:rPr>
          <w:rFonts w:ascii="Arial" w:cs="Arial" w:eastAsia="Arial" w:hAnsi="Arial"/>
          <w:sz w:val="18"/>
          <w:szCs w:val="18"/>
          <w:color w:val="auto"/>
        </w:rPr>
        <w:t>, of our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jc w:val="both"/>
        <w:spacing w:after="0" w:line="241" w:lineRule="auto"/>
        <w:rPr>
          <w:sz w:val="20"/>
          <w:szCs w:val="20"/>
          <w:color w:val="auto"/>
        </w:rPr>
      </w:pPr>
      <w:r>
        <w:rPr>
          <w:rFonts w:ascii="Arial" w:cs="Arial" w:eastAsia="Arial" w:hAnsi="Arial"/>
          <w:sz w:val="18"/>
          <w:szCs w:val="18"/>
          <w:color w:val="auto"/>
        </w:rPr>
        <w:t>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highly regulated real estate market, electronic payment, background screening and insurance services markets, the Internet itself, the use of mobile devices to conduct business and communicate, and many other products and services we provide. It is not clear how existing laws governing issues such as property ownership, management, rental and investment, data protection, and personal privacy apply to the Internet, digital content, communication services,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200" w:lineRule="exact"/>
        <w:rPr>
          <w:sz w:val="20"/>
          <w:szCs w:val="20"/>
          <w:color w:val="auto"/>
        </w:rPr>
      </w:pPr>
    </w:p>
    <w:p>
      <w:pPr>
        <w:spacing w:after="0" w:line="2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corporate headquarters is located in three adjacent office buildings in Santa Barbara, California. The lease covers approximately 43,700 square feet, 86,000 square feet, and 35,900 square feet, respectively, in the three buildings. These leases expire in February 2032 and may be extended for two additional five-year terms at our election. We also lease office space in a variety of other U.S. cities, most notably Richardson, Texas.</w:t>
      </w:r>
    </w:p>
    <w:p>
      <w:pPr>
        <w:spacing w:after="0" w:line="4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intend to procure additional space as we add employees and expand our operations geographically. We believe our current facilities are adequate for our current needs and that, should it be needed, suitable additional or alternative space will be available to us to accommodate any such expansion of our operations.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lease all of our facilities and do not own any real property.</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3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additional information regarding legal proceedings, refer to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ind w:left="8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820" w:right="26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58"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Market for our Common Stock</w:t>
      </w:r>
    </w:p>
    <w:p>
      <w:pPr>
        <w:spacing w:after="0" w:line="117"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color w:val="auto"/>
        </w:rPr>
        <w:t>Our Class A common stock began trading publicly on the NASDAQ Global Market under the symbol "APPF" on June 26, 2015. Prior to that date, there was no public trading market for our Class A common stock.</w:t>
      </w:r>
    </w:p>
    <w:p>
      <w:pPr>
        <w:spacing w:after="0" w:line="6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Our Class B common stock is not listed or traded on any stock exchange.</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17" w:lineRule="exact"/>
        <w:rPr>
          <w:sz w:val="20"/>
          <w:szCs w:val="20"/>
          <w:color w:val="auto"/>
        </w:rPr>
      </w:pPr>
    </w:p>
    <w:p>
      <w:pPr>
        <w:jc w:val="both"/>
        <w:ind w:left="80" w:firstLine="648"/>
        <w:spacing w:after="0" w:line="263" w:lineRule="auto"/>
        <w:rPr>
          <w:sz w:val="20"/>
          <w:szCs w:val="20"/>
          <w:color w:val="auto"/>
        </w:rPr>
      </w:pPr>
      <w:r>
        <w:rPr>
          <w:rFonts w:ascii="Arial" w:cs="Arial" w:eastAsia="Arial" w:hAnsi="Arial"/>
          <w:sz w:val="18"/>
          <w:szCs w:val="18"/>
          <w:color w:val="auto"/>
        </w:rPr>
        <w:t>At February 15, 2021, there were 23 holders of record of our Class A common stock and 78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76"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jc w:val="both"/>
        <w:ind w:left="80" w:firstLine="648"/>
        <w:spacing w:after="0" w:line="279" w:lineRule="auto"/>
        <w:rPr>
          <w:sz w:val="20"/>
          <w:szCs w:val="20"/>
          <w:color w:val="auto"/>
        </w:rPr>
      </w:pPr>
      <w:r>
        <w:rPr>
          <w:rFonts w:ascii="Arial" w:cs="Arial" w:eastAsia="Arial" w:hAnsi="Arial"/>
          <w:sz w:val="17"/>
          <w:szCs w:val="17"/>
          <w:color w:val="auto"/>
        </w:rPr>
        <w:t>We have never declared or paid any cash dividends on our capital stock. We do not anticipate declaring or paying any cash dividends to holders of our capital stock in the foreseeable future and intend to retain all future earnings for use in the growth of our business. Consequently, investors may need to rely on sales of our Class A common stock after price appreciation, which may never occur, as the only way to realize any future gains on their investment. Investors should not purchase our Class A common stock with the expectation of receiving cash dividends.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117" w:lineRule="exact"/>
        <w:rPr>
          <w:sz w:val="20"/>
          <w:szCs w:val="20"/>
          <w:color w:val="auto"/>
        </w:rPr>
      </w:pPr>
    </w:p>
    <w:p>
      <w:pPr>
        <w:jc w:val="both"/>
        <w:ind w:left="80" w:firstLine="648"/>
        <w:spacing w:after="0" w:line="263" w:lineRule="auto"/>
        <w:rPr>
          <w:sz w:val="20"/>
          <w:szCs w:val="20"/>
          <w:color w:val="auto"/>
        </w:rPr>
      </w:pPr>
      <w:r>
        <w:rPr>
          <w:rFonts w:ascii="Arial" w:cs="Arial" w:eastAsia="Arial" w:hAnsi="Arial"/>
          <w:sz w:val="18"/>
          <w:szCs w:val="18"/>
          <w:color w:val="auto"/>
        </w:rPr>
        <w:t>The following performance graph compares the cumulative total return on our Class A common stock with that of the S&amp;P 500 Index and the NASDAQ Computer Index. This chart assumes $100 was invested in our Class A common stock at the close of market on December 31, 2015, and in the S&amp;P 500 Index and the NASDAQ Computer Index, and assumes the reinvestment of any dividends.</w:t>
      </w:r>
    </w:p>
    <w:p>
      <w:pPr>
        <w:spacing w:after="0" w:line="76"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color w:val="auto"/>
        </w:rPr>
        <w:t>The comparisons in the graph below are based upon historical data and are not indicative of, nor intended to forecast,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40" w:top="1120" w:right="3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1090930</wp:posOffset>
            </wp:positionH>
            <wp:positionV relativeFrom="page">
              <wp:posOffset>765810</wp:posOffset>
            </wp:positionV>
            <wp:extent cx="5254625" cy="4114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This performance graph shall not be deemed “filed” for purposes of Section 18 of the Exchange Act or incorporated by reference into any of our other filings under the Securities Act or the Exchange Act, except as shall be expressly set forth by specific reference in such filing.</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Unregistered Sales of Equity Securities and Purchases of Equity Securities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tables present our historical selected consolidated financial data for the periods indicated. We have derived the selected Consolidated Statements of Operations data for the fiscal years ended December 31, 2020, 2019 and 2018 and the selected Consolidated Balance Sheet data at December 31, 2020 and 2019 from our audited Consolidated Financial Statements included elsewhere in this Annual Report. We have derived the selected Consolidated Statements of Operations data for the fiscal years ended December 31, 2017 and 2016 and the selected Consolidated Balance Sheet data at December 31, 2018, 2017 and 2016 from our audited Consolidated Financial Statements, which are not included in this Annual Report. Our historical results are not necessarily indicative of the results we expect in the future.</w:t>
      </w:r>
    </w:p>
    <w:p>
      <w:pPr>
        <w:spacing w:after="0" w:line="1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historical selected consolidated financial data should be read in conjunction with, and are qualified in their entirety by reference to, the section of this Annual Report entitled “Management’s Discussion and Analysis of Financial Condition and Results of Operations” and our Consolidated Financial Statements and the related notes included elsewhere in this Annual Report.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6"/>
          </w:tcPr>
          <w:p>
            <w:pPr>
              <w:jc w:val="center"/>
              <w:ind w:left="393"/>
              <w:spacing w:after="0"/>
              <w:rPr>
                <w:sz w:val="20"/>
                <w:szCs w:val="20"/>
                <w:color w:val="auto"/>
              </w:rPr>
            </w:pPr>
            <w:r>
              <w:rPr>
                <w:rFonts w:ascii="Arial" w:cs="Arial" w:eastAsia="Arial" w:hAnsi="Arial"/>
                <w:sz w:val="14"/>
                <w:szCs w:val="14"/>
                <w:b w:val="1"/>
                <w:bCs w:val="1"/>
                <w:color w:val="auto"/>
                <w:w w:val="93"/>
              </w:rPr>
              <w:t>Year Ended December 31,</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9"/>
        </w:trPr>
        <w:tc>
          <w:tcPr>
            <w:tcW w:w="52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0"/>
        </w:trPr>
        <w:tc>
          <w:tcPr>
            <w:tcW w:w="5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 xml:space="preserve">2020 </w:t>
            </w:r>
            <w:r>
              <w:rPr>
                <w:rFonts w:ascii="Arial" w:cs="Arial" w:eastAsia="Arial" w:hAnsi="Arial"/>
                <w:sz w:val="18"/>
                <w:szCs w:val="18"/>
                <w:b w:val="1"/>
                <w:bCs w:val="1"/>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 xml:space="preserve">2019 </w:t>
            </w:r>
            <w:r>
              <w:rPr>
                <w:rFonts w:ascii="Arial" w:cs="Arial" w:eastAsia="Arial" w:hAnsi="Arial"/>
                <w:sz w:val="18"/>
                <w:szCs w:val="18"/>
                <w:b w:val="1"/>
                <w:bCs w:val="1"/>
                <w:color w:val="auto"/>
                <w:vertAlign w:val="superscript"/>
              </w:rPr>
              <w:t>(2)</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1"/>
              <w:spacing w:after="0"/>
              <w:rPr>
                <w:sz w:val="20"/>
                <w:szCs w:val="20"/>
                <w:color w:val="auto"/>
              </w:rPr>
            </w:pPr>
            <w:r>
              <w:rPr>
                <w:rFonts w:ascii="Arial" w:cs="Arial" w:eastAsia="Arial" w:hAnsi="Arial"/>
                <w:sz w:val="14"/>
                <w:szCs w:val="14"/>
                <w:b w:val="1"/>
                <w:bCs w:val="1"/>
                <w:color w:val="auto"/>
                <w:w w:val="84"/>
              </w:rPr>
              <w:t xml:space="preserve">2018 </w:t>
            </w:r>
            <w:r>
              <w:rPr>
                <w:rFonts w:ascii="Arial" w:cs="Arial" w:eastAsia="Arial" w:hAnsi="Arial"/>
                <w:sz w:val="18"/>
                <w:szCs w:val="18"/>
                <w:b w:val="1"/>
                <w:bCs w:val="1"/>
                <w:color w:val="auto"/>
                <w:w w:val="84"/>
                <w:vertAlign w:val="superscript"/>
              </w:rPr>
              <w:t>(3)</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r>
      <w:tr>
        <w:trPr>
          <w:trHeight w:val="197"/>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6"/>
          </w:tcPr>
          <w:p>
            <w:pPr>
              <w:jc w:val="center"/>
              <w:ind w:left="413"/>
              <w:spacing w:after="0"/>
              <w:rPr>
                <w:sz w:val="20"/>
                <w:szCs w:val="20"/>
                <w:color w:val="auto"/>
              </w:rPr>
            </w:pPr>
            <w:r>
              <w:rPr>
                <w:rFonts w:ascii="Arial" w:cs="Arial" w:eastAsia="Arial" w:hAnsi="Arial"/>
                <w:sz w:val="14"/>
                <w:szCs w:val="14"/>
                <w:color w:val="auto"/>
                <w:w w:val="90"/>
              </w:rPr>
              <w:t>(in thousands, except per share data)</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2"/>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105,586</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 of revenue (exclusive of depreciation and amortization)</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44,630</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58,445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51,528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28,709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28,827</w:t>
            </w:r>
          </w:p>
        </w:tc>
      </w:tr>
      <w:tr>
        <w:trPr>
          <w:trHeight w:val="230"/>
        </w:trPr>
        <w:tc>
          <w:tcPr>
            <w:tcW w:w="5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Research and product development</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12,638</w:t>
            </w: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(4)</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47,480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24,891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21,199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17,979</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9,935</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operating expenses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300,273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134,468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114,009</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(8,423)</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188,897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196,831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(8,214)</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7"/>
        </w:trPr>
        <w:tc>
          <w:tcPr>
            <w:tcW w:w="5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 per common share: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35,562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35,151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33,561</w:t>
            </w:r>
          </w:p>
        </w:tc>
      </w:tr>
    </w:tbl>
    <w:p>
      <w:pPr>
        <w:spacing w:after="0" w:line="3" w:lineRule="exact"/>
        <w:rPr>
          <w:sz w:val="20"/>
          <w:szCs w:val="20"/>
          <w:color w:val="auto"/>
        </w:rPr>
      </w:pPr>
    </w:p>
    <w:p>
      <w:pPr>
        <w:jc w:val="both"/>
        <w:ind w:left="20" w:right="20" w:firstLine="6"/>
        <w:spacing w:after="0" w:line="221" w:lineRule="auto"/>
        <w:tabs>
          <w:tab w:leader="none" w:pos="195"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 xml:space="preserve">MyCase was divested on September 30, 2020. The results of MyCase have been included in our results of operations through the date of divestiture. Refer to Note 3, </w:t>
      </w:r>
      <w:r>
        <w:rPr>
          <w:rFonts w:ascii="Arial" w:cs="Arial" w:eastAsia="Arial" w:hAnsi="Arial"/>
          <w:sz w:val="15"/>
          <w:szCs w:val="15"/>
          <w:i w:val="1"/>
          <w:iCs w:val="1"/>
          <w:color w:val="auto"/>
        </w:rPr>
        <w:t xml:space="preserve">Divestitures and Business Combinations </w:t>
      </w:r>
      <w:r>
        <w:rPr>
          <w:rFonts w:ascii="Arial" w:cs="Arial" w:eastAsia="Arial" w:hAnsi="Arial"/>
          <w:sz w:val="15"/>
          <w:szCs w:val="15"/>
          <w:color w:val="auto"/>
        </w:rPr>
        <w:t>of our Consolidated Financial Statements included elsewhere in this Annual Report for additional information regarding this</w:t>
      </w:r>
      <w:r>
        <w:rPr>
          <w:rFonts w:ascii="Arial" w:cs="Arial" w:eastAsia="Arial" w:hAnsi="Arial"/>
          <w:sz w:val="15"/>
          <w:szCs w:val="15"/>
          <w:i w:val="1"/>
          <w:iCs w:val="1"/>
          <w:color w:val="auto"/>
        </w:rPr>
        <w:t xml:space="preserve"> </w:t>
      </w:r>
      <w:r>
        <w:rPr>
          <w:rFonts w:ascii="Arial" w:cs="Arial" w:eastAsia="Arial" w:hAnsi="Arial"/>
          <w:sz w:val="15"/>
          <w:szCs w:val="15"/>
          <w:color w:val="auto"/>
        </w:rPr>
        <w:t>transaction.</w:t>
      </w:r>
    </w:p>
    <w:p>
      <w:pPr>
        <w:spacing w:after="0" w:line="10" w:lineRule="exact"/>
        <w:rPr>
          <w:rFonts w:ascii="Arial" w:cs="Arial" w:eastAsia="Arial" w:hAnsi="Arial"/>
          <w:sz w:val="20"/>
          <w:szCs w:val="20"/>
          <w:color w:val="auto"/>
          <w:vertAlign w:val="superscript"/>
        </w:rPr>
      </w:pPr>
    </w:p>
    <w:p>
      <w:pPr>
        <w:jc w:val="both"/>
        <w:ind w:left="20" w:right="20" w:firstLine="6"/>
        <w:spacing w:after="0" w:line="208" w:lineRule="auto"/>
        <w:tabs>
          <w:tab w:leader="none" w:pos="211"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 xml:space="preserve">We acquired Dynasty on January 7, 2019. The results of Dynasty have been included in our results of operations from the date of acquisition. Refer to Note 3, </w:t>
      </w:r>
      <w:r>
        <w:rPr>
          <w:rFonts w:ascii="Arial" w:cs="Arial" w:eastAsia="Arial" w:hAnsi="Arial"/>
          <w:sz w:val="16"/>
          <w:szCs w:val="16"/>
          <w:i w:val="1"/>
          <w:iCs w:val="1"/>
          <w:color w:val="auto"/>
        </w:rPr>
        <w:t xml:space="preserve">Divestitures and Business Combinations </w:t>
      </w:r>
      <w:r>
        <w:rPr>
          <w:rFonts w:ascii="Arial" w:cs="Arial" w:eastAsia="Arial" w:hAnsi="Arial"/>
          <w:sz w:val="16"/>
          <w:szCs w:val="16"/>
          <w:color w:val="auto"/>
        </w:rPr>
        <w:t>of our Consolidated Financial Statements included elsewhere in this Annual Report for additional information regarding this</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w:t>
      </w:r>
    </w:p>
    <w:p>
      <w:pPr>
        <w:spacing w:after="0" w:line="11" w:lineRule="exact"/>
        <w:rPr>
          <w:rFonts w:ascii="Arial" w:cs="Arial" w:eastAsia="Arial" w:hAnsi="Arial"/>
          <w:sz w:val="21"/>
          <w:szCs w:val="21"/>
          <w:color w:val="auto"/>
          <w:vertAlign w:val="superscript"/>
        </w:rPr>
      </w:pPr>
    </w:p>
    <w:p>
      <w:pPr>
        <w:ind w:left="180" w:hanging="154"/>
        <w:spacing w:after="0"/>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We acquired WegoWise on August 31, 2018. The results of WegoWise have been included in our results of operations from the date of acquisition.</w:t>
      </w:r>
    </w:p>
    <w:p>
      <w:pPr>
        <w:spacing w:after="0" w:line="23" w:lineRule="exact"/>
        <w:rPr>
          <w:rFonts w:ascii="Arial" w:cs="Arial" w:eastAsia="Arial" w:hAnsi="Arial"/>
          <w:sz w:val="18"/>
          <w:szCs w:val="18"/>
          <w:color w:val="auto"/>
          <w:vertAlign w:val="superscript"/>
        </w:rPr>
      </w:pPr>
    </w:p>
    <w:p>
      <w:pPr>
        <w:ind w:left="180" w:hanging="154"/>
        <w:spacing w:after="0" w:line="223"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following table presents stock-based compensation expense included in each respective expense category: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r>
      <w:tr>
        <w:trPr>
          <w:trHeight w:val="177"/>
        </w:trPr>
        <w:tc>
          <w:tcPr>
            <w:tcW w:w="5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(in thousands)</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2"/>
        </w:trPr>
        <w:tc>
          <w:tcPr>
            <w:tcW w:w="5220" w:type="dxa"/>
            <w:vAlign w:val="bottom"/>
          </w:tcPr>
          <w:p>
            <w:pPr>
              <w:ind w:left="20"/>
              <w:spacing w:after="0" w:line="182" w:lineRule="exact"/>
              <w:rPr>
                <w:sz w:val="20"/>
                <w:szCs w:val="20"/>
                <w:color w:val="auto"/>
              </w:rPr>
            </w:pPr>
            <w:r>
              <w:rPr>
                <w:rFonts w:ascii="Arial" w:cs="Arial" w:eastAsia="Arial" w:hAnsi="Arial"/>
                <w:sz w:val="18"/>
                <w:szCs w:val="18"/>
                <w:b w:val="1"/>
                <w:bCs w:val="1"/>
                <w:color w:val="auto"/>
                <w:w w:val="88"/>
              </w:rPr>
              <w:t>Stock-based compensation expense included in costs and operating</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3,006</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513"/>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5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At December 31,</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7"/>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2018</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177"/>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center"/>
              <w:ind w:right="74"/>
              <w:spacing w:after="0"/>
              <w:rPr>
                <w:sz w:val="20"/>
                <w:szCs w:val="20"/>
                <w:color w:val="auto"/>
              </w:rPr>
            </w:pPr>
            <w:r>
              <w:rPr>
                <w:rFonts w:ascii="Arial" w:cs="Arial" w:eastAsia="Arial" w:hAnsi="Arial"/>
                <w:sz w:val="14"/>
                <w:szCs w:val="14"/>
                <w:color w:val="auto"/>
                <w:w w:val="92"/>
              </w:rPr>
              <w:t>(in thousands)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6"/>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investment securities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175,289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50,778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101,963</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68,310</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35,459</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30,023</w:t>
            </w:r>
          </w:p>
        </w:tc>
        <w:tc>
          <w:tcPr>
            <w:tcW w:w="22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20,485</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17,609</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15,539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389,480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260,102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175,741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110,248</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92,583</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2,262</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4,586</w:t>
            </w:r>
          </w:p>
        </w:tc>
        <w:tc>
          <w:tcPr>
            <w:tcW w:w="22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3,414</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7,080</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7,638</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41,991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36,138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Current and long-term debt, net</w:t>
            </w:r>
          </w:p>
        </w:tc>
        <w:tc>
          <w:tcPr>
            <w:tcW w:w="26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48,583</w:t>
            </w:r>
          </w:p>
        </w:tc>
        <w:tc>
          <w:tcPr>
            <w:tcW w:w="22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49,815</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285,920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131,950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91,846</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85,079</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69,682</w:t>
            </w:r>
          </w:p>
        </w:tc>
      </w:tr>
    </w:tbl>
    <w:p>
      <w:pPr>
        <w:spacing w:after="0" w:line="200" w:lineRule="exact"/>
        <w:rPr>
          <w:sz w:val="20"/>
          <w:szCs w:val="20"/>
          <w:color w:val="auto"/>
        </w:rPr>
      </w:pPr>
    </w:p>
    <w:p>
      <w:pPr>
        <w:spacing w:after="0" w:line="29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Consolidated Financial Statements and the related notes included elsewhere in this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of this Annual Report entitled "Risk Factors". See the section of this Annual Report entitled “Cautionary Note Regarding Forward-Looking Statements” for additional information.</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discusses 2020 and 2019 items and year-over-year comparisons between 2020 and 2019. For discussion of 2018 items and year-over-year comparisons between 2019 and 2018, refer to Part II. Item 7. “Management's Discussion and Analysis of Financial Condition and Results of Operations” of our Annual Report on Form 10-K for the year ended December 31, 2019.</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provide innovative software, services and data analytics to customers in the real estate industry. Our industry-specific, cloud-based solutions are used primarily by property managers, and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property management solutions and services provides our customers with a system of record to automate essential business processes, a system of engagement to enhance business interactions between our customers and a variety of users and a system of intelligence designed to leverage data to predict and optimize business workflows to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32" w:name="page33"/>
    <w:bookmarkEnd w:id="32"/>
    <w:p>
      <w:pPr>
        <w:jc w:val="both"/>
        <w:ind w:firstLine="648"/>
        <w:spacing w:after="0" w:line="253" w:lineRule="auto"/>
        <w:rPr>
          <w:sz w:val="20"/>
          <w:szCs w:val="20"/>
          <w:color w:val="auto"/>
        </w:rPr>
      </w:pPr>
      <w:r>
        <w:rPr>
          <w:rFonts w:ascii="Arial" w:cs="Arial" w:eastAsia="Arial" w:hAnsi="Arial"/>
          <w:sz w:val="18"/>
          <w:szCs w:val="18"/>
          <w:color w:val="auto"/>
        </w:rPr>
        <w:t>In 2008, we introduced APM, a property management solution designed to address the unique operational and business requirements of property management companies and their business ecosystems. Recognizing that our customers and their business ecosystems would benefit from additional business critical services, we launched a series of Value+ services beginning in 2009. Our Value+ services are tailored to the specific workflows of property management businesses and generally fall into the categories of marketing and leasing, electronic payment services, business optimization and risk mitigation. In 2018, we introduced APM PLUS, a tier of APM designed for larger businesses with more complex needs. APM PLUS builds upon the functionality of APM and additionally offers data analytics, configurable workflows, and revenue management and optimization functionality for our customers. In April 2019, we launched AppFolio Investment Management, which is designed to enable real estate investment managers to better manage their investor relationships by increasing transparency and streamlining certain business processes. We do not separately break out customer information at this time.</w:t>
      </w:r>
    </w:p>
    <w:p>
      <w:pPr>
        <w:spacing w:after="0" w:line="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APM and APM PLUS serve our property management customers, including third-party property managers and owner operators, who typically manage single- and multi-family residential, and others who manage community association, and commercial properties. Our solutions and services also serve other constituencies in the property management market, including property owners, rental prospects, tenants and service providers. Revenue generated from each customer varies based on the type of property, the number of units under management, and the level of adoption and utilization of Value+ services by the customer and users. Revenue per unit generated from each customer typically varies based on the type of property and the level of adoption and utilization of Value+ services by the customer and users. For example, revenue generated per community association unit, which represent a growing percentage of our overall units, is lower than revenue generated per residential unit given the unique and complex needs of the residential rental lifecycle and resulting impact on the adoption and utilization of V+ services.</w:t>
      </w:r>
    </w:p>
    <w:p>
      <w:pPr>
        <w:spacing w:after="0" w:line="7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Property management customer count and property management units under management are presented in the table below. We define property management customers as those paying for a subscription to our core solutions.</w:t>
      </w:r>
    </w:p>
    <w:p>
      <w:pPr>
        <w:spacing w:after="0" w:line="189" w:lineRule="exact"/>
        <w:rPr>
          <w:sz w:val="20"/>
          <w:szCs w:val="20"/>
          <w:color w:val="auto"/>
        </w:rPr>
      </w:pPr>
    </w:p>
    <w:p>
      <w:pPr>
        <w:ind w:left="6220"/>
        <w:spacing w:after="0"/>
        <w:rPr>
          <w:sz w:val="20"/>
          <w:szCs w:val="20"/>
          <w:color w:val="auto"/>
        </w:rPr>
      </w:pPr>
      <w:r>
        <w:rPr>
          <w:rFonts w:ascii="Arial" w:cs="Arial" w:eastAsia="Arial" w:hAnsi="Arial"/>
          <w:sz w:val="14"/>
          <w:szCs w:val="14"/>
          <w:b w:val="1"/>
          <w:bCs w:val="1"/>
          <w:color w:val="auto"/>
        </w:rPr>
        <w:t>Quarter Ended</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46"/>
        </w:trPr>
        <w:tc>
          <w:tcPr>
            <w:tcW w:w="2140" w:type="dxa"/>
            <w:vAlign w:val="bottom"/>
          </w:tcPr>
          <w:p>
            <w:pPr>
              <w:spacing w:after="0"/>
              <w:rPr>
                <w:sz w:val="12"/>
                <w:szCs w:val="12"/>
                <w:color w:val="auto"/>
              </w:rPr>
            </w:pPr>
          </w:p>
        </w:tc>
        <w:tc>
          <w:tcPr>
            <w:tcW w:w="1120" w:type="dxa"/>
            <w:vAlign w:val="bottom"/>
            <w:tcBorders>
              <w:top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December 31,</w:t>
            </w:r>
          </w:p>
        </w:tc>
        <w:tc>
          <w:tcPr>
            <w:tcW w:w="1340" w:type="dxa"/>
            <w:vAlign w:val="bottom"/>
            <w:tcBorders>
              <w:top w:val="single" w:sz="8" w:color="auto"/>
            </w:tcBorders>
          </w:tcPr>
          <w:p>
            <w:pPr>
              <w:jc w:val="right"/>
              <w:ind w:right="424"/>
              <w:spacing w:after="0"/>
              <w:rPr>
                <w:sz w:val="20"/>
                <w:szCs w:val="20"/>
                <w:color w:val="auto"/>
              </w:rPr>
            </w:pPr>
            <w:r>
              <w:rPr>
                <w:rFonts w:ascii="Arial" w:cs="Arial" w:eastAsia="Arial" w:hAnsi="Arial"/>
                <w:sz w:val="11"/>
                <w:szCs w:val="11"/>
                <w:b w:val="1"/>
                <w:bCs w:val="1"/>
                <w:color w:val="auto"/>
              </w:rPr>
              <w:t>September 30,</w:t>
            </w:r>
          </w:p>
        </w:tc>
        <w:tc>
          <w:tcPr>
            <w:tcW w:w="960" w:type="dxa"/>
            <w:vAlign w:val="bottom"/>
            <w:tcBorders>
              <w:top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w:t>
            </w:r>
          </w:p>
        </w:tc>
        <w:tc>
          <w:tcPr>
            <w:tcW w:w="1160" w:type="dxa"/>
            <w:vAlign w:val="bottom"/>
            <w:tcBorders>
              <w:top w:val="single" w:sz="8" w:color="auto"/>
            </w:tcBorders>
            <w:gridSpan w:val="2"/>
          </w:tcPr>
          <w:p>
            <w:pPr>
              <w:ind w:left="240"/>
              <w:spacing w:after="0"/>
              <w:rPr>
                <w:sz w:val="20"/>
                <w:szCs w:val="20"/>
                <w:color w:val="auto"/>
              </w:rPr>
            </w:pPr>
            <w:r>
              <w:rPr>
                <w:rFonts w:ascii="Arial" w:cs="Arial" w:eastAsia="Arial" w:hAnsi="Arial"/>
                <w:sz w:val="11"/>
                <w:szCs w:val="11"/>
                <w:b w:val="1"/>
                <w:bCs w:val="1"/>
                <w:color w:val="auto"/>
              </w:rPr>
              <w:t>March 31,</w:t>
            </w:r>
          </w:p>
        </w:tc>
        <w:tc>
          <w:tcPr>
            <w:tcW w:w="1120" w:type="dxa"/>
            <w:vAlign w:val="bottom"/>
            <w:tcBorders>
              <w:top w:val="single" w:sz="8" w:color="auto"/>
            </w:tcBorders>
          </w:tcPr>
          <w:p>
            <w:pPr>
              <w:jc w:val="right"/>
              <w:ind w:right="222"/>
              <w:spacing w:after="0"/>
              <w:rPr>
                <w:sz w:val="20"/>
                <w:szCs w:val="20"/>
                <w:color w:val="auto"/>
              </w:rPr>
            </w:pPr>
            <w:r>
              <w:rPr>
                <w:rFonts w:ascii="Arial" w:cs="Arial" w:eastAsia="Arial" w:hAnsi="Arial"/>
                <w:sz w:val="11"/>
                <w:szCs w:val="11"/>
                <w:b w:val="1"/>
                <w:bCs w:val="1"/>
                <w:color w:val="auto"/>
              </w:rPr>
              <w:t>December 31,</w:t>
            </w:r>
          </w:p>
        </w:tc>
        <w:tc>
          <w:tcPr>
            <w:tcW w:w="1340" w:type="dxa"/>
            <w:vAlign w:val="bottom"/>
            <w:tcBorders>
              <w:top w:val="single" w:sz="8" w:color="auto"/>
            </w:tcBorders>
          </w:tcPr>
          <w:p>
            <w:pPr>
              <w:jc w:val="right"/>
              <w:ind w:right="424"/>
              <w:spacing w:after="0"/>
              <w:rPr>
                <w:sz w:val="20"/>
                <w:szCs w:val="20"/>
                <w:color w:val="auto"/>
              </w:rPr>
            </w:pPr>
            <w:r>
              <w:rPr>
                <w:rFonts w:ascii="Arial" w:cs="Arial" w:eastAsia="Arial" w:hAnsi="Arial"/>
                <w:sz w:val="11"/>
                <w:szCs w:val="11"/>
                <w:b w:val="1"/>
                <w:bCs w:val="1"/>
                <w:color w:val="auto"/>
              </w:rPr>
              <w:t>September 30,</w:t>
            </w:r>
          </w:p>
        </w:tc>
        <w:tc>
          <w:tcPr>
            <w:tcW w:w="980" w:type="dxa"/>
            <w:vAlign w:val="bottom"/>
            <w:tcBorders>
              <w:top w:val="single" w:sz="8" w:color="auto"/>
            </w:tcBorders>
          </w:tcPr>
          <w:p>
            <w:pPr>
              <w:jc w:val="right"/>
              <w:ind w:right="402"/>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top w:val="single" w:sz="8" w:color="auto"/>
            </w:tcBorders>
          </w:tcPr>
          <w:p>
            <w:pPr>
              <w:jc w:val="right"/>
              <w:ind w:right="202"/>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1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management customers</w:t>
            </w: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15,724</w:t>
            </w:r>
          </w:p>
        </w:tc>
        <w:tc>
          <w:tcPr>
            <w:tcW w:w="1340" w:type="dxa"/>
            <w:vAlign w:val="bottom"/>
            <w:shd w:val="clear" w:color="auto" w:fill="CCEEFF"/>
          </w:tcPr>
          <w:p>
            <w:pPr>
              <w:jc w:val="right"/>
              <w:ind w:right="324"/>
              <w:spacing w:after="0"/>
              <w:rPr>
                <w:sz w:val="20"/>
                <w:szCs w:val="20"/>
                <w:color w:val="auto"/>
              </w:rPr>
            </w:pPr>
            <w:r>
              <w:rPr>
                <w:rFonts w:ascii="Arial" w:cs="Arial" w:eastAsia="Arial" w:hAnsi="Arial"/>
                <w:sz w:val="18"/>
                <w:szCs w:val="18"/>
                <w:color w:val="auto"/>
              </w:rPr>
              <w:t>15,352</w:t>
            </w:r>
          </w:p>
        </w:tc>
        <w:tc>
          <w:tcPr>
            <w:tcW w:w="96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15,011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14,385</w:t>
            </w:r>
          </w:p>
        </w:tc>
        <w:tc>
          <w:tcPr>
            <w:tcW w:w="1340" w:type="dxa"/>
            <w:vAlign w:val="bottom"/>
            <w:shd w:val="clear" w:color="auto" w:fill="CCEEFF"/>
          </w:tcPr>
          <w:p>
            <w:pPr>
              <w:jc w:val="right"/>
              <w:ind w:right="304"/>
              <w:spacing w:after="0"/>
              <w:rPr>
                <w:sz w:val="20"/>
                <w:szCs w:val="20"/>
                <w:color w:val="auto"/>
              </w:rPr>
            </w:pPr>
            <w:r>
              <w:rPr>
                <w:rFonts w:ascii="Arial" w:cs="Arial" w:eastAsia="Arial" w:hAnsi="Arial"/>
                <w:sz w:val="18"/>
                <w:szCs w:val="18"/>
                <w:color w:val="auto"/>
              </w:rPr>
              <w:t>14,034</w:t>
            </w:r>
          </w:p>
        </w:tc>
        <w:tc>
          <w:tcPr>
            <w:tcW w:w="98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13,737</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13,409</w:t>
            </w:r>
          </w:p>
        </w:tc>
        <w:tc>
          <w:tcPr>
            <w:tcW w:w="0" w:type="dxa"/>
            <w:vAlign w:val="bottom"/>
          </w:tcPr>
          <w:p>
            <w:pPr>
              <w:spacing w:after="0"/>
              <w:rPr>
                <w:sz w:val="1"/>
                <w:szCs w:val="1"/>
                <w:color w:val="auto"/>
              </w:rPr>
            </w:pPr>
          </w:p>
        </w:tc>
      </w:tr>
      <w:tr>
        <w:trPr>
          <w:trHeight w:val="135"/>
        </w:trPr>
        <w:tc>
          <w:tcPr>
            <w:tcW w:w="2140" w:type="dxa"/>
            <w:vAlign w:val="bottom"/>
          </w:tcPr>
          <w:p>
            <w:pPr>
              <w:ind w:left="20"/>
              <w:spacing w:after="0" w:line="135" w:lineRule="exact"/>
              <w:rPr>
                <w:sz w:val="20"/>
                <w:szCs w:val="20"/>
                <w:color w:val="auto"/>
              </w:rPr>
            </w:pPr>
            <w:r>
              <w:rPr>
                <w:rFonts w:ascii="Arial" w:cs="Arial" w:eastAsia="Arial" w:hAnsi="Arial"/>
                <w:sz w:val="14"/>
                <w:szCs w:val="14"/>
                <w:color w:val="auto"/>
                <w:w w:val="99"/>
              </w:rPr>
              <w:t>Property management units under</w:t>
            </w:r>
          </w:p>
        </w:tc>
        <w:tc>
          <w:tcPr>
            <w:tcW w:w="1120" w:type="dxa"/>
            <w:vAlign w:val="bottom"/>
            <w:vMerge w:val="restart"/>
          </w:tcPr>
          <w:p>
            <w:pPr>
              <w:jc w:val="right"/>
              <w:ind w:right="102"/>
              <w:spacing w:after="0"/>
              <w:rPr>
                <w:sz w:val="20"/>
                <w:szCs w:val="20"/>
                <w:color w:val="auto"/>
              </w:rPr>
            </w:pPr>
            <w:r>
              <w:rPr>
                <w:rFonts w:ascii="Arial" w:cs="Arial" w:eastAsia="Arial" w:hAnsi="Arial"/>
                <w:sz w:val="18"/>
                <w:szCs w:val="18"/>
                <w:color w:val="auto"/>
              </w:rPr>
              <w:t>5.36</w:t>
            </w:r>
          </w:p>
        </w:tc>
        <w:tc>
          <w:tcPr>
            <w:tcW w:w="1340" w:type="dxa"/>
            <w:vAlign w:val="bottom"/>
            <w:vMerge w:val="restart"/>
          </w:tcPr>
          <w:p>
            <w:pPr>
              <w:jc w:val="right"/>
              <w:ind w:right="324"/>
              <w:spacing w:after="0"/>
              <w:rPr>
                <w:sz w:val="20"/>
                <w:szCs w:val="20"/>
                <w:color w:val="auto"/>
              </w:rPr>
            </w:pPr>
            <w:r>
              <w:rPr>
                <w:rFonts w:ascii="Arial" w:cs="Arial" w:eastAsia="Arial" w:hAnsi="Arial"/>
                <w:sz w:val="18"/>
                <w:szCs w:val="18"/>
                <w:color w:val="auto"/>
              </w:rPr>
              <w:t>5.12</w:t>
            </w:r>
          </w:p>
        </w:tc>
        <w:tc>
          <w:tcPr>
            <w:tcW w:w="960" w:type="dxa"/>
            <w:vAlign w:val="bottom"/>
            <w:vMerge w:val="restart"/>
          </w:tcPr>
          <w:p>
            <w:pPr>
              <w:jc w:val="right"/>
              <w:ind w:right="142"/>
              <w:spacing w:after="0"/>
              <w:rPr>
                <w:sz w:val="20"/>
                <w:szCs w:val="20"/>
                <w:color w:val="auto"/>
              </w:rPr>
            </w:pPr>
            <w:r>
              <w:rPr>
                <w:rFonts w:ascii="Arial" w:cs="Arial" w:eastAsia="Arial" w:hAnsi="Arial"/>
                <w:sz w:val="18"/>
                <w:szCs w:val="18"/>
                <w:color w:val="auto"/>
              </w:rPr>
              <w:t>4.94</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1"/>
                <w:szCs w:val="11"/>
                <w:color w:val="auto"/>
              </w:rPr>
            </w:pPr>
          </w:p>
        </w:tc>
        <w:tc>
          <w:tcPr>
            <w:tcW w:w="1120" w:type="dxa"/>
            <w:vAlign w:val="bottom"/>
            <w:vMerge w:val="restart"/>
          </w:tcPr>
          <w:p>
            <w:pPr>
              <w:jc w:val="right"/>
              <w:ind w:right="102"/>
              <w:spacing w:after="0"/>
              <w:rPr>
                <w:sz w:val="20"/>
                <w:szCs w:val="20"/>
                <w:color w:val="auto"/>
              </w:rPr>
            </w:pPr>
            <w:r>
              <w:rPr>
                <w:rFonts w:ascii="Arial" w:cs="Arial" w:eastAsia="Arial" w:hAnsi="Arial"/>
                <w:sz w:val="18"/>
                <w:szCs w:val="18"/>
                <w:color w:val="auto"/>
              </w:rPr>
              <w:t>4.64</w:t>
            </w:r>
          </w:p>
        </w:tc>
        <w:tc>
          <w:tcPr>
            <w:tcW w:w="1340" w:type="dxa"/>
            <w:vAlign w:val="bottom"/>
            <w:vMerge w:val="restart"/>
          </w:tcPr>
          <w:p>
            <w:pPr>
              <w:jc w:val="right"/>
              <w:ind w:right="304"/>
              <w:spacing w:after="0"/>
              <w:rPr>
                <w:sz w:val="20"/>
                <w:szCs w:val="20"/>
                <w:color w:val="auto"/>
              </w:rPr>
            </w:pPr>
            <w:r>
              <w:rPr>
                <w:rFonts w:ascii="Arial" w:cs="Arial" w:eastAsia="Arial" w:hAnsi="Arial"/>
                <w:sz w:val="18"/>
                <w:szCs w:val="18"/>
                <w:color w:val="auto"/>
              </w:rPr>
              <w:t>4.41</w:t>
            </w:r>
          </w:p>
        </w:tc>
        <w:tc>
          <w:tcPr>
            <w:tcW w:w="980" w:type="dxa"/>
            <w:vAlign w:val="bottom"/>
            <w:vMerge w:val="restart"/>
          </w:tcPr>
          <w:p>
            <w:pPr>
              <w:jc w:val="right"/>
              <w:ind w:right="162"/>
              <w:spacing w:after="0"/>
              <w:rPr>
                <w:sz w:val="20"/>
                <w:szCs w:val="20"/>
                <w:color w:val="auto"/>
              </w:rPr>
            </w:pPr>
            <w:r>
              <w:rPr>
                <w:rFonts w:ascii="Arial" w:cs="Arial" w:eastAsia="Arial" w:hAnsi="Arial"/>
                <w:sz w:val="18"/>
                <w:szCs w:val="18"/>
                <w:color w:val="auto"/>
              </w:rPr>
              <w:t>4.23</w:t>
            </w:r>
          </w:p>
        </w:tc>
        <w:tc>
          <w:tcPr>
            <w:tcW w:w="980" w:type="dxa"/>
            <w:vAlign w:val="bottom"/>
            <w:vMerge w:val="restart"/>
          </w:tcPr>
          <w:p>
            <w:pPr>
              <w:jc w:val="right"/>
              <w:ind w:right="2"/>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4"/>
                <w:szCs w:val="14"/>
                <w:color w:val="auto"/>
              </w:rPr>
              <w:t>management (in millions)</w:t>
            </w:r>
          </w:p>
        </w:tc>
        <w:tc>
          <w:tcPr>
            <w:tcW w:w="11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date, we have experienced rapid revenue growth due to strong relationships with our customers, our investments in research and product development, sales and marketing, customer service and support, and infrastructure. We have invested, and intend to continue to invest, in our business to capitalize on our market opportunity by working closely with our customers, prospects, partners and other industry participants to inform our product strategy. Over the long-term, these investments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long-term, but this trend may be interrupted from time to time as a result of accelerated investment opportunities occurring in advance of realization of revenue.</w:t>
      </w:r>
    </w:p>
    <w:p>
      <w:pPr>
        <w:spacing w:after="0" w:line="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environment to motivate and develop our valuable human capital. Beginning in March 2020, in an effort to protect our employees and comply with applicable government orders, we transitioned our employees to a remote work environment and restricted non-essential employee travel. We currently expect the majority of our employees will continue working remotely at least through the second quarter of 2021. Our workforce has continued to effectively develop and support our software and services offerings notwithstanding the current environment. We take the health and welfare of our people very seriously, and have encouraged safe practices designed to stem the infection and spread of COVID-19 within our workforce and beyond and to maintain the mental health and well-being of our employees. However, if the COVID-19 pandemic requires remote working conditions for a prolonged period of time, it could have an adverse impact on the productivity of our employees, which would harm our business and impede our ability to achieve our strategic objectives. For example, certain employees with younger children have been required to respond to ongoing school closures and adapt to a distance learning environment, and may be required to continue to do so for the foreseeable future. Furthermore, we have a limited history of remote work and the long-term impact on, and the resulting types of continuing investments necessary for, our employee base is uncertain.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ind w:firstLine="648"/>
        <w:spacing w:after="0" w:line="301" w:lineRule="auto"/>
        <w:rPr>
          <w:sz w:val="20"/>
          <w:szCs w:val="20"/>
          <w:color w:val="auto"/>
        </w:rPr>
      </w:pPr>
      <w:r>
        <w:rPr>
          <w:rFonts w:ascii="Arial" w:cs="Arial" w:eastAsia="Arial" w:hAnsi="Arial"/>
          <w:sz w:val="16"/>
          <w:szCs w:val="16"/>
          <w:color w:val="auto"/>
        </w:rPr>
        <w:t>Moreover, the COVID-19 pandemic may have long-term effects on the nature of the office environment and remote working. This may present operational and workplace culture challenges that may adversely affect our business. However, we are committed to our employees returning to the workplace in the long-term, and have recently constructed a new office space in Santa Barbara, California, extended the lease for our office in Richardson, Texas and are seeking new office space to lease in San Diego, California to accommodate our employees' return to the workplace in the future.</w:t>
      </w:r>
    </w:p>
    <w:p>
      <w:pPr>
        <w:spacing w:after="0" w:line="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began fiscal year 2020 with healthy demand for our core solutions and Value+ services, many of which are designed to enable our customers to manage their businesses virtually. During the twelve months ended December 31, 2020, we experienced some variability in demand for certain Value+ services after lock-down measures were implemented. We expect demand variability could continue as a result of the COVID-19 pandemic, although it is presently unclear whether the cumulative impacts will be positive or negative.</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During certain periods covered by this Annual Report, we also provided software solutions and services to the legal vertical. As previously disclosed, we completed our divestiture of MyCase, Inc. on September 30, 2020. In connection with the MyCase Transaction, our Credit Agreement was terminated and all obligations outstanding under the Term Loan and Revolving Facility, including all guarantees and security interests granted with respect to such obligations, were satisfied in full with proceeds from the sale and extinguished. For additional details, see Note 1, </w:t>
      </w:r>
      <w:r>
        <w:rPr>
          <w:rFonts w:ascii="Arial" w:cs="Arial" w:eastAsia="Arial" w:hAnsi="Arial"/>
          <w:sz w:val="17"/>
          <w:szCs w:val="17"/>
          <w:i w:val="1"/>
          <w:iCs w:val="1"/>
          <w:color w:val="auto"/>
        </w:rPr>
        <w:t>Nature of Business</w:t>
      </w:r>
      <w:r>
        <w:rPr>
          <w:rFonts w:ascii="Arial" w:cs="Arial" w:eastAsia="Arial" w:hAnsi="Arial"/>
          <w:sz w:val="17"/>
          <w:szCs w:val="17"/>
          <w:color w:val="auto"/>
        </w:rPr>
        <w:t xml:space="preserve"> and Note 3, </w:t>
      </w:r>
      <w:r>
        <w:rPr>
          <w:rFonts w:ascii="Arial" w:cs="Arial" w:eastAsia="Arial" w:hAnsi="Arial"/>
          <w:sz w:val="17"/>
          <w:szCs w:val="17"/>
          <w:i w:val="1"/>
          <w:iCs w:val="1"/>
          <w:color w:val="auto"/>
        </w:rPr>
        <w:t xml:space="preserve">Divestitures and Business Combinations </w:t>
      </w:r>
      <w:r>
        <w:rPr>
          <w:rFonts w:ascii="Arial" w:cs="Arial" w:eastAsia="Arial" w:hAnsi="Arial"/>
          <w:sz w:val="17"/>
          <w:szCs w:val="17"/>
          <w:color w:val="auto"/>
        </w:rPr>
        <w:t>of our Consolidated Financial Statements in this Annual Report.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solutions and certain of our Value+ services are offered on a subscription basis. Our core solutions subscription fees vary by property type and are designed to scale to the size of our customers’ businesses. We recognize revenue for subscription-based services over time on a straight-line basis over the contract term beginning on the date that our service is made available. We generally invoice monthly or annually in advance of the subscription period.</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offer Value+ services that are not covered by subscription fees on per use basis. Usage-based fees are charged on a flat fee per transaction basis with no minimum usage commitments. We recognize revenue for usage-based services in the period the service is rendered. We generally invoice our usage-based services on a monthly basis or collect the fee at the time of service. A significant majority of our Value+ services revenue comes directly and indirectly from the use of our electronic payment services, tenant screening services, and insurance services. Usage-based fees are paid both by customers and users in our customers' business ecosystems.</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charge our customers for on-boarding assistance to our core solutions and certain other non-reoccurring services. We generally invoice for these other services in advance of the services being completed and recognize revenue upon completion of the related service. We generate revenue from RentLinx, WegoWise, and Dynasty standalone customers by providing services outside of our property management core solution platform. Revenue derived from these services is recorded in Other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Many of our Value+ services are facilitated by third-party service providers. Cost of revenue includes the fees paid to these third-party service providers (including legal fees and costs associated with the delivery and provision of those services, as well as loss reserves and other costs associated with our legal liability to landlord insurance services), which vary both in cost and as a percent of revenue for each Value+ service offering, personnel-related costs (including salaries, performance-based compensation, benefits, and stock-based compensation) for our employees focused on customer service and the support of our operations, platform infrastructure costs (such as data center operations and hosting-related costs), payment processing fees and allocated shared costs. Cost of revenue excludes depreciation of property and equipment, and amortization of capitalized software development costs and intangible assets.</w:t>
      </w:r>
    </w:p>
    <w:p>
      <w:pPr>
        <w:spacing w:after="0" w:line="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 consists of personnel-related costs (including salaries, sales commissions, performance-based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benefits, and stock-based compensation) for our employees focused on sales and marketing,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Research and Product Development. </w:t>
      </w:r>
      <w:r>
        <w:rPr>
          <w:rFonts w:ascii="Arial" w:cs="Arial" w:eastAsia="Arial" w:hAnsi="Arial"/>
          <w:sz w:val="17"/>
          <w:szCs w:val="17"/>
          <w:color w:val="auto"/>
        </w:rPr>
        <w:t>Research and product development expense consists of personnel-related costs (including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compensation, benefits, and stock-based compensation) for our employees focused on research and product development, fees for third-party development resources, and allocated shared and other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of personnel-related costs (including salaries, a majority of total</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performance-based compensation, benefits, and stock-based compensation) for employees in our executive, finance, information technology, human resources, legal, compliance, corporate development and administrative organizations.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costs.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includes gains and losses associated with the sale of businesses, property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investment securities and income from certain post-closing transition services to be provided by us to MyCase in connection with the MyCase Transaction.</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Interest expense includes interest paid on any outstanding borrowings. Interest income includes interest earned 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securities, amortization and accretion of the premium and discounts paid from the purchase of investment securities, and interest earned on notes receivable and on cash deposited in our bank accounts.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Provision for (Benefit from) Income Taxes. </w:t>
      </w:r>
      <w:r>
        <w:rPr>
          <w:rFonts w:ascii="Arial" w:cs="Arial" w:eastAsia="Arial" w:hAnsi="Arial"/>
          <w:sz w:val="17"/>
          <w:szCs w:val="17"/>
          <w:color w:val="auto"/>
        </w:rPr>
        <w:t>Provision for (benefit from) income taxes consists of federal and state income taxes in the United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 for the Years Ended December 31, 2020 and 2019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results of operations for the periods presented in dollars (in thousands) and as a percentage of revenue:</w:t>
      </w:r>
    </w:p>
    <w:p>
      <w:pPr>
        <w:spacing w:after="0" w:line="25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6"/>
              </w:rPr>
              <w:t>Year Ended December 31,</w:t>
            </w:r>
          </w:p>
        </w:tc>
        <w:tc>
          <w:tcPr>
            <w:tcW w:w="780" w:type="dxa"/>
            <w:vAlign w:val="bottom"/>
            <w:tcBorders>
              <w:bottom w:val="single" w:sz="8" w:color="auto"/>
            </w:tcBorders>
          </w:tcPr>
          <w:p>
            <w:pPr>
              <w:spacing w:after="0"/>
              <w:rPr>
                <w:sz w:val="16"/>
                <w:szCs w:val="16"/>
                <w:color w:val="auto"/>
              </w:rPr>
            </w:pPr>
          </w:p>
        </w:tc>
      </w:tr>
      <w:tr>
        <w:trPr>
          <w:trHeight w:val="187"/>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6"/>
                <w:szCs w:val="16"/>
                <w:color w:val="auto"/>
              </w:rPr>
            </w:pPr>
          </w:p>
        </w:tc>
      </w:tr>
      <w:tr>
        <w:trPr>
          <w:trHeight w:val="181"/>
        </w:trPr>
        <w:tc>
          <w:tcPr>
            <w:tcW w:w="6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35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371"/>
              <w:spacing w:after="0"/>
              <w:rPr>
                <w:sz w:val="20"/>
                <w:szCs w:val="20"/>
                <w:color w:val="auto"/>
              </w:rPr>
            </w:pPr>
            <w:r>
              <w:rPr>
                <w:rFonts w:ascii="Arial" w:cs="Arial" w:eastAsia="Arial" w:hAnsi="Arial"/>
                <w:sz w:val="14"/>
                <w:szCs w:val="14"/>
                <w:b w:val="1"/>
                <w:bCs w:val="1"/>
                <w:color w:val="auto"/>
              </w:rPr>
              <w:t>%</w:t>
            </w:r>
          </w:p>
        </w:tc>
      </w:tr>
      <w:tr>
        <w:trPr>
          <w:trHeight w:val="212"/>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13"/>
        </w:trPr>
        <w:tc>
          <w:tcPr>
            <w:tcW w:w="6800" w:type="dxa"/>
            <w:vAlign w:val="bottom"/>
          </w:tcPr>
          <w:p>
            <w:pPr>
              <w:ind w:left="20"/>
              <w:spacing w:after="0"/>
              <w:rPr>
                <w:sz w:val="20"/>
                <w:szCs w:val="20"/>
                <w:color w:val="auto"/>
              </w:rPr>
            </w:pPr>
            <w:r>
              <w:rPr>
                <w:rFonts w:ascii="Arial" w:cs="Arial" w:eastAsia="Arial" w:hAnsi="Arial"/>
                <w:sz w:val="16"/>
                <w:szCs w:val="16"/>
                <w:color w:val="auto"/>
              </w:rPr>
              <w:t>Costs and operating expenses: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3"/>
        </w:trPr>
        <w:tc>
          <w:tcPr>
            <w:tcW w:w="6800" w:type="dxa"/>
            <w:vAlign w:val="bottom"/>
            <w:shd w:val="clear" w:color="auto" w:fill="CCEEFF"/>
          </w:tcPr>
          <w:p>
            <w:pPr>
              <w:ind w:left="340"/>
              <w:spacing w:after="0" w:line="233" w:lineRule="exact"/>
              <w:rPr>
                <w:sz w:val="20"/>
                <w:szCs w:val="20"/>
                <w:color w:val="auto"/>
              </w:rPr>
            </w:pPr>
            <w:r>
              <w:rPr>
                <w:rFonts w:ascii="Arial" w:cs="Arial" w:eastAsia="Arial" w:hAnsi="Arial"/>
                <w:sz w:val="16"/>
                <w:szCs w:val="16"/>
                <w:color w:val="auto"/>
              </w:rPr>
              <w:t>Cost of revenue (exclusive of depreciation and amortization)</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39.7</w:t>
            </w:r>
          </w:p>
        </w:tc>
      </w:tr>
      <w:tr>
        <w:trPr>
          <w:trHeight w:val="229"/>
        </w:trPr>
        <w:tc>
          <w:tcPr>
            <w:tcW w:w="6800" w:type="dxa"/>
            <w:vAlign w:val="bottom"/>
          </w:tcPr>
          <w:p>
            <w:pPr>
              <w:ind w:left="340"/>
              <w:spacing w:after="0" w:line="230" w:lineRule="exact"/>
              <w:rPr>
                <w:sz w:val="20"/>
                <w:szCs w:val="20"/>
                <w:color w:val="auto"/>
              </w:rPr>
            </w:pPr>
            <w:r>
              <w:rPr>
                <w:rFonts w:ascii="Arial" w:cs="Arial" w:eastAsia="Arial" w:hAnsi="Arial"/>
                <w:sz w:val="16"/>
                <w:szCs w:val="16"/>
                <w:color w:val="auto"/>
              </w:rPr>
              <w:t>Sales and marketing</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58,445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51,528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20.1</w:t>
            </w:r>
          </w:p>
        </w:tc>
      </w:tr>
      <w:tr>
        <w:trPr>
          <w:trHeight w:val="230"/>
        </w:trPr>
        <w:tc>
          <w:tcPr>
            <w:tcW w:w="6800" w:type="dxa"/>
            <w:vAlign w:val="bottom"/>
            <w:shd w:val="clear" w:color="auto" w:fill="CCEEFF"/>
          </w:tcPr>
          <w:p>
            <w:pPr>
              <w:ind w:left="340"/>
              <w:spacing w:after="0" w:line="230" w:lineRule="exact"/>
              <w:rPr>
                <w:sz w:val="20"/>
                <w:szCs w:val="20"/>
                <w:color w:val="auto"/>
              </w:rPr>
            </w:pPr>
            <w:r>
              <w:rPr>
                <w:rFonts w:ascii="Arial" w:cs="Arial" w:eastAsia="Arial" w:hAnsi="Arial"/>
                <w:sz w:val="16"/>
                <w:szCs w:val="16"/>
                <w:color w:val="auto"/>
              </w:rPr>
              <w:t>Research and product development</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15.4</w:t>
            </w:r>
          </w:p>
        </w:tc>
      </w:tr>
      <w:tr>
        <w:trPr>
          <w:trHeight w:val="229"/>
        </w:trPr>
        <w:tc>
          <w:tcPr>
            <w:tcW w:w="6800" w:type="dxa"/>
            <w:vAlign w:val="bottom"/>
          </w:tcPr>
          <w:p>
            <w:pPr>
              <w:ind w:left="340"/>
              <w:spacing w:after="0" w:line="230" w:lineRule="exact"/>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34,478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13.5</w:t>
            </w:r>
          </w:p>
        </w:tc>
      </w:tr>
      <w:tr>
        <w:trPr>
          <w:trHeight w:val="229"/>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8.7</w:t>
            </w:r>
          </w:p>
        </w:tc>
      </w:tr>
      <w:tr>
        <w:trPr>
          <w:trHeight w:val="223"/>
        </w:trPr>
        <w:tc>
          <w:tcPr>
            <w:tcW w:w="68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costs and operating expenses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97.5</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29"/>
        </w:trPr>
        <w:tc>
          <w:tcPr>
            <w:tcW w:w="680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188,897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r>
      <w:tr>
        <w:trPr>
          <w:trHeight w:val="223"/>
        </w:trPr>
        <w:tc>
          <w:tcPr>
            <w:tcW w:w="6800" w:type="dxa"/>
            <w:vAlign w:val="bottom"/>
          </w:tcPr>
          <w:p>
            <w:pPr>
              <w:ind w:left="340"/>
              <w:spacing w:after="0"/>
              <w:rPr>
                <w:sz w:val="20"/>
                <w:szCs w:val="20"/>
                <w:color w:val="auto"/>
              </w:rPr>
            </w:pPr>
            <w:r>
              <w:rPr>
                <w:rFonts w:ascii="Arial" w:cs="Arial" w:eastAsia="Arial" w:hAnsi="Arial"/>
                <w:sz w:val="16"/>
                <w:szCs w:val="16"/>
                <w:color w:val="auto"/>
              </w:rPr>
              <w:t>Income before provision for (benefit from) income taxes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196,831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ind w:right="131"/>
              <w:spacing w:after="0"/>
              <w:rPr>
                <w:sz w:val="20"/>
                <w:szCs w:val="20"/>
                <w:color w:val="auto"/>
              </w:rPr>
            </w:pPr>
            <w:r>
              <w:rPr>
                <w:rFonts w:ascii="Arial" w:cs="Arial" w:eastAsia="Arial" w:hAnsi="Arial"/>
                <w:sz w:val="18"/>
                <w:szCs w:val="18"/>
                <w:color w:val="auto"/>
              </w:rPr>
              <w:t>1.9</w:t>
            </w: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r>
      <w:tr>
        <w:trPr>
          <w:trHeight w:val="223"/>
        </w:trPr>
        <w:tc>
          <w:tcPr>
            <w:tcW w:w="6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51.1 %</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14.2 %</w:t>
            </w:r>
          </w:p>
        </w:tc>
      </w:tr>
      <w:tr>
        <w:trPr>
          <w:trHeight w:val="20"/>
        </w:trPr>
        <w:tc>
          <w:tcPr>
            <w:tcW w:w="6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65" w:lineRule="exact"/>
        <w:rPr>
          <w:sz w:val="20"/>
          <w:szCs w:val="20"/>
          <w:color w:val="auto"/>
        </w:rPr>
      </w:pPr>
    </w:p>
    <w:p>
      <w:pPr>
        <w:ind w:left="600" w:hanging="187"/>
        <w:spacing w:after="0"/>
        <w:tabs>
          <w:tab w:leader="none" w:pos="60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following table presents stock-based compensation expense included in each respective expense category:</w:t>
      </w: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w w:val="96"/>
              </w:rPr>
              <w:t>Year Ended December 31,</w:t>
            </w:r>
          </w:p>
        </w:tc>
      </w:tr>
      <w:tr>
        <w:trPr>
          <w:trHeight w:val="187"/>
        </w:trPr>
        <w:tc>
          <w:tcPr>
            <w:tcW w:w="9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2019</w:t>
            </w:r>
          </w:p>
        </w:tc>
      </w:tr>
      <w:tr>
        <w:trPr>
          <w:trHeight w:val="211"/>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Cost of revenue (exclusive of depreciation and amortization)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1,466</w:t>
            </w:r>
          </w:p>
        </w:tc>
      </w:tr>
      <w:tr>
        <w:trPr>
          <w:trHeight w:val="230"/>
        </w:trPr>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r>
      <w:tr>
        <w:trPr>
          <w:trHeight w:val="230"/>
        </w:trPr>
        <w:tc>
          <w:tcPr>
            <w:tcW w:w="9060" w:type="dxa"/>
            <w:vAlign w:val="bottom"/>
          </w:tcPr>
          <w:p>
            <w:pPr>
              <w:ind w:left="200"/>
              <w:spacing w:after="0"/>
              <w:rPr>
                <w:sz w:val="20"/>
                <w:szCs w:val="20"/>
                <w:color w:val="auto"/>
              </w:rPr>
            </w:pPr>
            <w:r>
              <w:rPr>
                <w:rFonts w:ascii="Arial" w:cs="Arial" w:eastAsia="Arial" w:hAnsi="Arial"/>
                <w:sz w:val="18"/>
                <w:szCs w:val="18"/>
                <w:color w:val="auto"/>
              </w:rPr>
              <w:t>Research and product development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1,411</w:t>
            </w:r>
          </w:p>
        </w:tc>
      </w:tr>
      <w:tr>
        <w:trPr>
          <w:trHeight w:val="230"/>
        </w:trPr>
        <w:tc>
          <w:tcPr>
            <w:tcW w:w="9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7,309</w:t>
            </w:r>
          </w:p>
        </w:tc>
      </w:tr>
      <w:tr>
        <w:trPr>
          <w:trHeight w:val="20"/>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23" w:right="35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42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r>
      <w:tr>
        <w:trPr>
          <w:trHeight w:val="196"/>
        </w:trPr>
        <w:tc>
          <w:tcPr>
            <w:tcW w:w="6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r>
      <w:tr>
        <w:trPr>
          <w:trHeight w:val="187"/>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6"/>
          </w:tcPr>
          <w:p>
            <w:pPr>
              <w:ind w:left="320"/>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6"/>
                <w:szCs w:val="16"/>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41,152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23"/>
        </w:trPr>
        <w:tc>
          <w:tcPr>
            <w:tcW w:w="62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310,056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256,012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54,044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1"/>
        </w:trPr>
        <w:tc>
          <w:tcPr>
            <w:tcW w:w="6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derived from our software and solutions offered to the real estate vertical for the years ended December 31, 2020 and 2019 was $284.7 million and $231.1 million, respectively, an increase of $53.6 million, or 23%. This increase was primarily attributable to the growth in the number of property management customers and units under management utilizing our software and services. The remaining revenue was attributed to our legacy legal vertical.</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Core solutions revenue derived from our real estate vertical for the years ended December 31, 2020 and 2019 was $86.5 million and $72.6 million, respectively, an increase of $13.9 million or 19%. Value+ services revenue derived from our real estate vertical for the years ended December 31, 2020 and 2019 was $184.2 million and $145.2 million, respectively, an increase of $39.1 million or 27%. The increase in core solutions and Value+ services revenue was mainly attributable to growth in our base of property management customers and growth in users of our subscription and usage-based services. During this period we experienced growth of 17% in the average number of property management units under management resulting from 10% growth in the average number of property management customers during the period.</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electronic payment services experienced increased demand during the current year as residents, property managers, owners and customers transacted more business online, which we attribute in part to the response to the COVID-19 pandemic. It is unclear whether the trend will continue over the long-term. During the comparative period, we also introduced new Value+ services and expanded the functionality of others, which resulted in incremental revenue. A significant majority of our Value+ services revenue comes directly and indirectly from the use of our electronic payment services, tenant screening services, and the insurance services we make available to customers.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r>
      <w:tr>
        <w:trPr>
          <w:trHeight w:val="250"/>
        </w:trPr>
        <w:tc>
          <w:tcPr>
            <w:tcW w:w="60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r>
      <w:tr>
        <w:trPr>
          <w:trHeight w:val="187"/>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1039"/>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6"/>
                <w:szCs w:val="16"/>
                <w:color w:val="auto"/>
              </w:rPr>
            </w:pPr>
          </w:p>
        </w:tc>
      </w:tr>
      <w:tr>
        <w:trPr>
          <w:trHeight w:val="231"/>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(exclusive of 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119,029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101,642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17,387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38.4 %</w:t>
            </w: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1,506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40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related to our software and solutions offered to the real estate vertical for the years ended December 31, 2020 and 2019 was $109.7 million and $93.0 million, respectively, an increase of $16.7 million, or 18%. This increase was primarily attributable to increased costs associated with servicing the incremental $53.6 million in revenue over the same period, partially offset by third-party service provider incentives earned of $2.0 million. The remaining cost of revenue was attributed to our legacy legal vertical.</w:t>
      </w:r>
    </w:p>
    <w:p>
      <w:pPr>
        <w:spacing w:after="0" w:line="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Expenditures to third-party service providers related to the delivery of our Value+ services to the real estate vertical increased $6.9 million, which was directly associated with the increased adoption and utilization of our Value+ services, as evidenced by the $39.1 million increase in Value+ services revenue to the real estate vertical. Partially offsetting this increase was $2.0 million of annual maximum incentives earned during the period from third-party service providers related to programs intended to increase adoption and utilization of online payments. Personnel-related costs, including performance-based compensation, necessary to support growth and key investments, increased $7.8 million. Allocated shared costs increased by $2.1 million primarily driven by an increase in platform infrastructure costs, partially offset by a reduction of allocated expenses attributed to a decrease in workplace-related and other expenditures in response to the impact of the COVID-19 pandemic.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7" w:name="page38"/>
    <w:bookmarkEnd w:id="37"/>
    <w:p>
      <w:pPr>
        <w:jc w:val="both"/>
        <w:ind w:firstLine="648"/>
        <w:spacing w:after="0" w:line="257" w:lineRule="auto"/>
        <w:rPr>
          <w:sz w:val="20"/>
          <w:szCs w:val="20"/>
          <w:color w:val="auto"/>
        </w:rPr>
      </w:pPr>
      <w:r>
        <w:rPr>
          <w:rFonts w:ascii="Arial" w:cs="Arial" w:eastAsia="Arial" w:hAnsi="Arial"/>
          <w:sz w:val="18"/>
          <w:szCs w:val="18"/>
          <w:color w:val="auto"/>
        </w:rPr>
        <w:t>As a percentage of revenue, cost of revenue (exclusive of depreciation and amortization) fluctuates primarily based on the mix of Value+ services revenue in the period, given the varying percentage of revenue we pay to third-party service providers, and investments made in advance of expected revenue generation. Excluding the third-party service provider incentives earned during the period, cost of revenue (exclusive of depreciation and amortization), as a percentage of revenue decreased to 39.2% from 40.2%. This decrease in cost as a percentage of revenue was primarily driven by the mix of Value+ services revenue with varying underlying costs.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2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r>
      <w:tr>
        <w:trPr>
          <w:trHeight w:val="183"/>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80" w:type="dxa"/>
            <w:vAlign w:val="bottom"/>
            <w:gridSpan w:val="4"/>
          </w:tcPr>
          <w:p>
            <w:pPr>
              <w:jc w:val="right"/>
              <w:ind w:right="999"/>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5"/>
                <w:szCs w:val="15"/>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58,445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51,528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6,917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60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18.8 %</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1,415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144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Sales and marketing expense related to our software and solutions offered to the real estate vertical for the years ended December 31, 2020 and 2019 was $52.5 million and $44.5 million, respectively, an increase of $8.0 million, or 18%. This increase was primarily due to a $6.7 million increase in personnel-related costs, including performance-based compensation, necessary to support growth and key investments in the business. Advertising and promotion costs increased by $2.4 million due to increased online advertising and virtual marketing events aimed at increasing revenue and supporting growth in the business. In addition, there was a decrease in allocated and other costs of $1.1 million related to the elimination of event-related travel from cancelled or postponed events and the reduction of workplace-related and other non-essential expenditures in response to the impact of the COVID-19 pandemic.</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percentage of revenue, sales and marketing expense decreased to 18.4% from 19.2% for fiscal 2020 compared to fiscal 2019. This leverage in cost as a percentage of revenue was primarily driven by the reduction of event related travel and other non-essential expenditures as a result of the COVID-19 pandemic. Notwithstanding the leverage in cost as a percentage of revenue, we intend to continue to invest in sales and marketing to increase our customer base and increase the adoption and utilization of Value+ services over time.</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440" w:type="dxa"/>
            <w:vAlign w:val="bottom"/>
          </w:tcPr>
          <w:p>
            <w:pPr>
              <w:jc w:val="right"/>
              <w:ind w:right="79"/>
              <w:spacing w:after="0"/>
              <w:rPr>
                <w:sz w:val="20"/>
                <w:szCs w:val="20"/>
                <w:color w:val="auto"/>
              </w:rPr>
            </w:pPr>
            <w:r>
              <w:rPr>
                <w:rFonts w:ascii="Arial" w:cs="Arial" w:eastAsia="Arial" w:hAnsi="Arial"/>
                <w:sz w:val="14"/>
                <w:szCs w:val="14"/>
                <w:b w:val="1"/>
                <w:bCs w:val="1"/>
                <w:color w:val="auto"/>
              </w:rPr>
              <w:t>Change</w:t>
            </w:r>
          </w:p>
        </w:tc>
        <w:tc>
          <w:tcPr>
            <w:tcW w:w="840" w:type="dxa"/>
            <w:vAlign w:val="bottom"/>
          </w:tcPr>
          <w:p>
            <w:pPr>
              <w:spacing w:after="0"/>
              <w:rPr>
                <w:sz w:val="16"/>
                <w:szCs w:val="16"/>
                <w:color w:val="auto"/>
              </w:rPr>
            </w:pPr>
          </w:p>
        </w:tc>
      </w:tr>
      <w:tr>
        <w:trPr>
          <w:trHeight w:val="187"/>
        </w:trPr>
        <w:tc>
          <w:tcPr>
            <w:tcW w:w="602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Amount</w:t>
            </w:r>
          </w:p>
        </w:tc>
        <w:tc>
          <w:tcPr>
            <w:tcW w:w="84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w:t>
            </w:r>
          </w:p>
        </w:tc>
      </w:tr>
      <w:tr>
        <w:trPr>
          <w:trHeight w:val="183"/>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right"/>
              <w:ind w:right="1019"/>
              <w:spacing w:after="0"/>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5"/>
                <w:szCs w:val="15"/>
                <w:color w:val="auto"/>
              </w:rPr>
            </w:pPr>
          </w:p>
        </w:tc>
      </w:tr>
      <w:tr>
        <w:trPr>
          <w:trHeight w:val="231"/>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product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48,529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39,508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9,021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15.7 %</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1,818</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407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r>
    </w:tbl>
    <w:p>
      <w:pPr>
        <w:spacing w:after="0" w:line="16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Research and product development expense related to our software and solutions offered to the real estate vertical for the years ended December 31, 2020 and 2019 was $43.8 million and $34.0 million, respectively, an increase of $9.8 million, or 29%. This increase was the result of an increase in personnel-related costs, net of capitalized software development costs, of $11.3 million due to investments in headcount growth within our research and product development organization. This increase was partially offset by a decrease in allocated and other costs of $1.4 million primarily related to the reduction of workplace-related and other non-essential expenditures in response to the impact of the COVID-19 pandemic.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r>
      <w:tr>
        <w:trPr>
          <w:trHeight w:val="187"/>
        </w:trPr>
        <w:tc>
          <w:tcPr>
            <w:tcW w:w="43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w:t>
            </w:r>
          </w:p>
        </w:tc>
      </w:tr>
      <w:tr>
        <w:trPr>
          <w:trHeight w:val="183"/>
        </w:trPr>
        <w:tc>
          <w:tcPr>
            <w:tcW w:w="43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4"/>
          </w:tcPr>
          <w:p>
            <w:pPr>
              <w:jc w:val="right"/>
              <w:ind w:right="1039"/>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5"/>
                <w:szCs w:val="15"/>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47,480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34,478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13,002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15.3 %</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included above</w:t>
            </w:r>
          </w:p>
        </w:tc>
        <w:tc>
          <w:tcPr>
            <w:tcW w:w="1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4,286</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3,161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rPr>
              <w:t>1,125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r>
      <w:tr>
        <w:trPr>
          <w:trHeight w:val="864"/>
        </w:trPr>
        <w:tc>
          <w:tcPr>
            <w:tcW w:w="4340" w:type="dxa"/>
            <w:vAlign w:val="bottom"/>
          </w:tcPr>
          <w:p>
            <w:pPr>
              <w:spacing w:after="0"/>
              <w:rPr>
                <w:sz w:val="24"/>
                <w:szCs w:val="24"/>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8" w:name="page39"/>
    <w:bookmarkEnd w:id="38"/>
    <w:p>
      <w:pPr>
        <w:jc w:val="both"/>
        <w:ind w:firstLine="648"/>
        <w:spacing w:after="0" w:line="290" w:lineRule="auto"/>
        <w:rPr>
          <w:sz w:val="20"/>
          <w:szCs w:val="20"/>
          <w:color w:val="auto"/>
        </w:rPr>
      </w:pPr>
      <w:r>
        <w:rPr>
          <w:rFonts w:ascii="Arial" w:cs="Arial" w:eastAsia="Arial" w:hAnsi="Arial"/>
          <w:sz w:val="16"/>
          <w:szCs w:val="16"/>
          <w:color w:val="auto"/>
        </w:rPr>
        <w:t xml:space="preserve">General and administrative expense related to our software and solutions offered to the real estate vertical and general corporate overhead expenses for the years ended December 31, 2020 and 2019 was $46.1 million and $33.4 million, respectively, an increase of $12.7 million, or 38%. The increase in general and administrative expense was primarily due to a $7.4 million increase in personnel-related costs, including performance-based compensation, due to investments in headcount growth within our general and administrative organizations. In addition, there was a $4.3 million legal settlement expense recorded during the current period related to our compliance with certain regulations in our tenant screening business. For additional information regarding this legal settlement, refer to Note 11,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of our Consolidated Financial Statements. There was also an increase in professional services fees and other costs of $2.3 million related to the MyCase Transaction. Allocated and other costs decreased $1.4 million primarily due to the reduction of workplace-related and other non-essential expenditures in response to the impact of the COVID-19 pandemic.</w:t>
      </w:r>
    </w:p>
    <w:p>
      <w:pPr>
        <w:spacing w:after="0" w:line="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expect stock-based compensation expense will continue to decrease for certain executives in light of our adoption of the Long-Term Cash Bonus Plan in 2018. No accrual has yet been made under this plan as a result of the high degree of uncertainty regarding potential future payments under the plan.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6"/>
                <w:szCs w:val="16"/>
                <w:color w:val="auto"/>
              </w:rPr>
            </w:pPr>
          </w:p>
        </w:tc>
        <w:tc>
          <w:tcPr>
            <w:tcW w:w="1420" w:type="dxa"/>
            <w:vAlign w:val="bottom"/>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60" w:type="dxa"/>
            <w:vAlign w:val="bottom"/>
          </w:tcPr>
          <w:p>
            <w:pPr>
              <w:spacing w:after="0"/>
              <w:rPr>
                <w:sz w:val="16"/>
                <w:szCs w:val="16"/>
                <w:color w:val="auto"/>
              </w:rPr>
            </w:pPr>
          </w:p>
        </w:tc>
      </w:tr>
      <w:tr>
        <w:trPr>
          <w:trHeight w:val="187"/>
        </w:trPr>
        <w:tc>
          <w:tcPr>
            <w:tcW w:w="59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w:t>
            </w:r>
          </w:p>
        </w:tc>
      </w:tr>
      <w:tr>
        <w:trPr>
          <w:trHeight w:val="183"/>
        </w:trPr>
        <w:tc>
          <w:tcPr>
            <w:tcW w:w="5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20" w:type="dxa"/>
            <w:vAlign w:val="bottom"/>
            <w:gridSpan w:val="4"/>
          </w:tcPr>
          <w:p>
            <w:pPr>
              <w:jc w:val="right"/>
              <w:ind w:right="1042"/>
              <w:spacing w:after="0"/>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5"/>
                <w:szCs w:val="15"/>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26,790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22,395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rPr>
              <w:t>4,395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8.6 %</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6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Depreciation and amortization expense related to our software and solutions offered to the real estate vertical for the years ended December 31, 2020 and 2019 was $25.0 million and $20.0 million, respectively, an increase of $5.0 million, or 25%. This increase in depreciation and amortization expense was primarily due to increased amortization expense associated with higher accumulated capitalized software development balances.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r>
      <w:tr>
        <w:trPr>
          <w:trHeight w:val="183"/>
        </w:trPr>
        <w:tc>
          <w:tcPr>
            <w:tcW w:w="6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5"/>
                <w:szCs w:val="15"/>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188,897</w:t>
            </w:r>
          </w:p>
        </w:tc>
        <w:tc>
          <w:tcPr>
            <w:tcW w:w="880" w:type="dxa"/>
            <w:vAlign w:val="bottom"/>
            <w:shd w:val="clear" w:color="auto" w:fill="CCEEFF"/>
          </w:tcPr>
          <w:p>
            <w:pPr>
              <w:jc w:val="right"/>
              <w:ind w:right="64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188,881</w:t>
            </w:r>
          </w:p>
        </w:tc>
        <w:tc>
          <w:tcPr>
            <w:tcW w:w="8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60.9 %</w:t>
            </w:r>
          </w:p>
        </w:tc>
        <w:tc>
          <w:tcPr>
            <w:tcW w:w="880" w:type="dxa"/>
            <w:vAlign w:val="bottom"/>
          </w:tcPr>
          <w:p>
            <w:pPr>
              <w:spacing w:after="0"/>
              <w:rPr>
                <w:sz w:val="20"/>
                <w:szCs w:val="20"/>
                <w:color w:val="auto"/>
              </w:rPr>
            </w:pP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*Percentage not meaningful</w:t>
      </w:r>
    </w:p>
    <w:p>
      <w:pPr>
        <w:spacing w:after="0" w:line="19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other income, net was primarily due to the gain of $187.7 million associated with the MyCase Transaction. Additionally, there was $1.1 million in other income recorded during the fourth quarter of fiscal 2020 related to certain post-closing transition services provided to MyCase.</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80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82"/>
              <w:spacing w:after="0"/>
              <w:rPr>
                <w:sz w:val="20"/>
                <w:szCs w:val="20"/>
                <w:color w:val="auto"/>
              </w:rPr>
            </w:pPr>
            <w:r>
              <w:rPr>
                <w:rFonts w:ascii="Arial" w:cs="Arial" w:eastAsia="Arial" w:hAnsi="Arial"/>
                <w:sz w:val="14"/>
                <w:szCs w:val="14"/>
                <w:b w:val="1"/>
                <w:bCs w:val="1"/>
                <w:color w:val="auto"/>
              </w:rPr>
              <w:t>Amount</w:t>
            </w:r>
          </w:p>
        </w:tc>
        <w:tc>
          <w:tcPr>
            <w:tcW w:w="8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w:t>
            </w:r>
          </w:p>
        </w:tc>
      </w:tr>
      <w:tr>
        <w:trPr>
          <w:trHeight w:val="183"/>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80" w:type="dxa"/>
            <w:vAlign w:val="bottom"/>
            <w:gridSpan w:val="3"/>
          </w:tcPr>
          <w:p>
            <w:pPr>
              <w:ind w:left="220"/>
              <w:spacing w:after="0"/>
              <w:rPr>
                <w:sz w:val="20"/>
                <w:szCs w:val="20"/>
                <w:color w:val="auto"/>
              </w:rPr>
            </w:pPr>
            <w:r>
              <w:rPr>
                <w:rFonts w:ascii="Arial" w:cs="Arial" w:eastAsia="Arial" w:hAnsi="Arial"/>
                <w:sz w:val="14"/>
                <w:szCs w:val="14"/>
                <w:b w:val="1"/>
                <w:bCs w:val="1"/>
                <w:color w:val="auto"/>
              </w:rPr>
              <w:t>(dollars in thousands)</w:t>
            </w:r>
          </w:p>
        </w:tc>
        <w:tc>
          <w:tcPr>
            <w:tcW w:w="800" w:type="dxa"/>
            <w:vAlign w:val="bottom"/>
          </w:tcPr>
          <w:p>
            <w:pPr>
              <w:spacing w:after="0"/>
              <w:rPr>
                <w:sz w:val="15"/>
                <w:szCs w:val="15"/>
                <w:color w:val="auto"/>
              </w:rPr>
            </w:pPr>
          </w:p>
        </w:tc>
      </w:tr>
      <w:tr>
        <w:trPr>
          <w:trHeight w:val="231"/>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38,428</w:t>
            </w:r>
          </w:p>
        </w:tc>
        <w:tc>
          <w:tcPr>
            <w:tcW w:w="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(31,459)</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rPr>
              <w:t>69,887</w:t>
            </w:r>
          </w:p>
        </w:tc>
        <w:tc>
          <w:tcPr>
            <w:tcW w:w="80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Percentage of revenue</w:t>
            </w:r>
          </w:p>
        </w:tc>
        <w:tc>
          <w:tcPr>
            <w:tcW w:w="3520" w:type="dxa"/>
            <w:vAlign w:val="bottom"/>
          </w:tcPr>
          <w:p>
            <w:pPr>
              <w:jc w:val="right"/>
              <w:ind w:right="310"/>
              <w:spacing w:after="0"/>
              <w:rPr>
                <w:sz w:val="20"/>
                <w:szCs w:val="20"/>
                <w:color w:val="auto"/>
              </w:rPr>
            </w:pPr>
            <w:r>
              <w:rPr>
                <w:rFonts w:ascii="Arial" w:cs="Arial" w:eastAsia="Arial" w:hAnsi="Arial"/>
                <w:sz w:val="18"/>
                <w:szCs w:val="18"/>
                <w:color w:val="auto"/>
              </w:rPr>
              <w:t>12.4 %</w:t>
            </w:r>
          </w:p>
        </w:tc>
        <w:tc>
          <w:tcPr>
            <w:tcW w:w="102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*Percentage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9" w:name="page40"/>
    <w:bookmarkEnd w:id="39"/>
    <w:p>
      <w:pPr>
        <w:jc w:val="both"/>
        <w:ind w:firstLine="648"/>
        <w:spacing w:after="0" w:line="293" w:lineRule="auto"/>
        <w:rPr>
          <w:sz w:val="20"/>
          <w:szCs w:val="20"/>
          <w:color w:val="auto"/>
        </w:rPr>
      </w:pPr>
      <w:r>
        <w:rPr>
          <w:rFonts w:ascii="Arial" w:cs="Arial" w:eastAsia="Arial" w:hAnsi="Arial"/>
          <w:sz w:val="16"/>
          <w:szCs w:val="16"/>
          <w:color w:val="auto"/>
        </w:rPr>
        <w:t xml:space="preserve">For the year ended December 31, 2020, we recorded income tax expense of $38.4 million. </w:t>
      </w:r>
      <w:r>
        <w:rPr>
          <w:rFonts w:ascii="Arial" w:cs="Arial" w:eastAsia="Arial" w:hAnsi="Arial"/>
          <w:sz w:val="16"/>
          <w:szCs w:val="16"/>
          <w:color w:val="202124"/>
        </w:rPr>
        <w:t>The tax provision for the year ended</w:t>
      </w:r>
      <w:r>
        <w:rPr>
          <w:rFonts w:ascii="Arial" w:cs="Arial" w:eastAsia="Arial" w:hAnsi="Arial"/>
          <w:sz w:val="16"/>
          <w:szCs w:val="16"/>
          <w:color w:val="auto"/>
        </w:rPr>
        <w:t xml:space="preserve"> December 31, 2020 </w:t>
      </w:r>
      <w:r>
        <w:rPr>
          <w:rFonts w:ascii="Arial" w:cs="Arial" w:eastAsia="Arial" w:hAnsi="Arial"/>
          <w:sz w:val="16"/>
          <w:szCs w:val="16"/>
          <w:color w:val="202124"/>
        </w:rPr>
        <w:t>includes tax expense of $51.3 million relating to the MyCase Transaction which includes</w:t>
      </w:r>
      <w:r>
        <w:rPr>
          <w:rFonts w:ascii="Arial" w:cs="Arial" w:eastAsia="Arial" w:hAnsi="Arial"/>
          <w:sz w:val="16"/>
          <w:szCs w:val="16"/>
          <w:color w:val="auto"/>
        </w:rPr>
        <w:t xml:space="preserve"> $52.3 million </w:t>
      </w:r>
      <w:r>
        <w:rPr>
          <w:rFonts w:ascii="Arial" w:cs="Arial" w:eastAsia="Arial" w:hAnsi="Arial"/>
          <w:sz w:val="16"/>
          <w:szCs w:val="16"/>
          <w:color w:val="202124"/>
        </w:rPr>
        <w:t>of current tax expense on the gain on the sale</w:t>
      </w:r>
      <w:r>
        <w:rPr>
          <w:rFonts w:ascii="Arial" w:cs="Arial" w:eastAsia="Arial" w:hAnsi="Arial"/>
          <w:sz w:val="16"/>
          <w:szCs w:val="16"/>
          <w:color w:val="auto"/>
        </w:rPr>
        <w:t xml:space="preserve"> </w:t>
      </w:r>
      <w:r>
        <w:rPr>
          <w:rFonts w:ascii="Arial" w:cs="Arial" w:eastAsia="Arial" w:hAnsi="Arial"/>
          <w:sz w:val="16"/>
          <w:szCs w:val="16"/>
          <w:color w:val="202124"/>
        </w:rPr>
        <w:t xml:space="preserve">of MyCase, less a $1.0 million benefit on the reversal of deferred tax liabilities relating to MyCase. For tax purposes, we plan to file an election to treat the transaction as a sale of assets. As such, the tax impact takes into consideration the tax basis of the assets on the date of sale and the availability of net operating losses and research and development tax credits. </w:t>
      </w:r>
      <w:r>
        <w:rPr>
          <w:rFonts w:ascii="Arial" w:cs="Arial" w:eastAsia="Arial" w:hAnsi="Arial"/>
          <w:sz w:val="16"/>
          <w:szCs w:val="16"/>
          <w:color w:val="000000"/>
        </w:rPr>
        <w:t>The effective tax rate as compared to the U.S. federal statutory rate of 21% differs primarily due</w:t>
      </w:r>
      <w:r>
        <w:rPr>
          <w:rFonts w:ascii="Arial" w:cs="Arial" w:eastAsia="Arial" w:hAnsi="Arial"/>
          <w:sz w:val="16"/>
          <w:szCs w:val="16"/>
          <w:color w:val="202124"/>
        </w:rPr>
        <w:t xml:space="preserve"> </w:t>
      </w:r>
      <w:r>
        <w:rPr>
          <w:rFonts w:ascii="Arial" w:cs="Arial" w:eastAsia="Arial" w:hAnsi="Arial"/>
          <w:sz w:val="16"/>
          <w:szCs w:val="16"/>
          <w:color w:val="000000"/>
        </w:rPr>
        <w:t>to state income taxes and the benefits associated with stock-based compensation expense and research and development tax credits.</w:t>
      </w:r>
    </w:p>
    <w:p>
      <w:pPr>
        <w:spacing w:after="0" w:line="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year ended December 31, 2019, we recorded an income tax benefit of $31.5 million. During the second quarter of 2019, we evaluated all available positive and negative evidence, including our sustained profitability in 2018 and 2019, and the impact of recent acquisitions and future projections of profitability. As a result, we determined that all of our deferred tax assets were more likely than not to be realized and reversed the valuation allowance against those deferred tax assets accordingly.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following table presents selected unaudited quarterly consolidated statements of operations data for each of the eight quarters during the years ended December 31, 2020 and December 31, 2019. We have prepared the unaudited quarterly consolidated statements of operations data on a basis consistent with the audited annual Consolidated Financial Statements included elsewhere in this Annual Report. In management's opinion, the financial information in this table reflects all normal and recurring adjustments necessary for the fair statement of this data. This information should be read in conjunction with the Consolidated Financial Statements and related notes included elsewhere in this Annual Report. The results of historical periods are not necessarily indicative of the results for any future periods.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12"/>
                <w:szCs w:val="1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w w:val="90"/>
              </w:rPr>
              <w:t>September 30,</w:t>
            </w:r>
          </w:p>
        </w:tc>
        <w:tc>
          <w:tcPr>
            <w:tcW w:w="1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12"/>
                <w:szCs w:val="12"/>
                <w:color w:val="auto"/>
              </w:rPr>
            </w:pP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12"/>
                <w:szCs w:val="12"/>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w:t>
            </w:r>
          </w:p>
        </w:tc>
        <w:tc>
          <w:tcPr>
            <w:tcW w:w="18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June 30,</w:t>
            </w:r>
          </w:p>
        </w:tc>
        <w:tc>
          <w:tcPr>
            <w:tcW w:w="160" w:type="dxa"/>
            <w:vAlign w:val="bottom"/>
          </w:tcPr>
          <w:p>
            <w:pPr>
              <w:spacing w:after="0"/>
              <w:rPr>
                <w:sz w:val="12"/>
                <w:szCs w:val="12"/>
                <w:color w:val="auto"/>
              </w:rPr>
            </w:pPr>
          </w:p>
        </w:tc>
        <w:tc>
          <w:tcPr>
            <w:tcW w:w="760" w:type="dxa"/>
            <w:vAlign w:val="bottom"/>
          </w:tcPr>
          <w:p>
            <w:pPr>
              <w:jc w:val="right"/>
              <w:ind w:right="149"/>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22"/>
        </w:trPr>
        <w:tc>
          <w:tcPr>
            <w:tcW w:w="3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9"/>
          </w:tcPr>
          <w:p>
            <w:pPr>
              <w:jc w:val="center"/>
              <w:ind w:left="489"/>
              <w:spacing w:after="0"/>
              <w:rPr>
                <w:sz w:val="20"/>
                <w:szCs w:val="20"/>
                <w:color w:val="auto"/>
              </w:rPr>
            </w:pPr>
            <w:r>
              <w:rPr>
                <w:rFonts w:ascii="Arial" w:cs="Arial" w:eastAsia="Arial" w:hAnsi="Arial"/>
                <w:sz w:val="14"/>
                <w:szCs w:val="14"/>
                <w:b w:val="1"/>
                <w:bCs w:val="1"/>
                <w:color w:val="auto"/>
                <w:w w:val="91"/>
              </w:rPr>
              <w:t>(in thousands, except per share data)</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w w:val="99"/>
              </w:rPr>
              <w:t>Consolidated Statements of Operations Data:</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72,432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81,043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72,495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67,935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57,091</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Costs and operating expenses: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04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Cost of revenue (exclusive of depreciation</w:t>
            </w:r>
          </w:p>
        </w:tc>
        <w:tc>
          <w:tcPr>
            <w:tcW w:w="1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32,752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27,411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28,961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25,930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24,181</w:t>
            </w: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and amortization) (1)</w:t>
            </w:r>
          </w:p>
        </w:tc>
        <w:tc>
          <w:tcPr>
            <w:tcW w:w="1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4"/>
                <w:szCs w:val="14"/>
                <w:color w:val="auto"/>
              </w:rPr>
              <w:t>Sales and marketing (1)</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15,328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14,506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14,441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12,636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13,232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11,219</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product development (1)</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11,735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9,339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8,481</w:t>
            </w:r>
          </w:p>
        </w:tc>
        <w:tc>
          <w:tcPr>
            <w:tcW w:w="0" w:type="dxa"/>
            <w:vAlign w:val="bottom"/>
          </w:tcPr>
          <w:p>
            <w:pPr>
              <w:spacing w:after="0"/>
              <w:rPr>
                <w:sz w:val="1"/>
                <w:szCs w:val="1"/>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4"/>
                <w:szCs w:val="14"/>
                <w:color w:val="auto"/>
              </w:rPr>
              <w:t>General and administrative (1)</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11,177</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14,785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8,572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8,214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8,192</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7,039</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6,680</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6,414</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6,226</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5,678</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5,076</w:t>
            </w:r>
          </w:p>
        </w:tc>
        <w:tc>
          <w:tcPr>
            <w:tcW w:w="0" w:type="dxa"/>
            <w:vAlign w:val="bottom"/>
          </w:tcPr>
          <w:p>
            <w:pPr>
              <w:spacing w:after="0"/>
              <w:rPr>
                <w:sz w:val="1"/>
                <w:szCs w:val="1"/>
                <w:color w:val="auto"/>
              </w:rPr>
            </w:pPr>
          </w:p>
        </w:tc>
      </w:tr>
      <w:tr>
        <w:trPr>
          <w:trHeight w:val="179"/>
        </w:trPr>
        <w:tc>
          <w:tcPr>
            <w:tcW w:w="304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costs and operating expenses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75,184</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80,726</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74,698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69,665</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67,273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61,328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57,149</w:t>
            </w:r>
          </w:p>
        </w:tc>
        <w:tc>
          <w:tcPr>
            <w:tcW w:w="0" w:type="dxa"/>
            <w:vAlign w:val="bottom"/>
          </w:tcPr>
          <w:p>
            <w:pPr>
              <w:spacing w:after="0"/>
              <w:rPr>
                <w:sz w:val="1"/>
                <w:szCs w:val="1"/>
                <w:color w:val="auto"/>
              </w:rPr>
            </w:pPr>
          </w:p>
        </w:tc>
      </w:tr>
      <w:tr>
        <w:trPr>
          <w:trHeight w:val="186"/>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from operations</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1,138</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187,747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(expense), net</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15"/>
        </w:trPr>
        <w:tc>
          <w:tcPr>
            <w:tcW w:w="3040" w:type="dxa"/>
            <w:vAlign w:val="bottom"/>
          </w:tcPr>
          <w:p>
            <w:pPr>
              <w:ind w:left="20"/>
              <w:spacing w:after="0" w:line="115" w:lineRule="exact"/>
              <w:rPr>
                <w:sz w:val="20"/>
                <w:szCs w:val="20"/>
                <w:color w:val="auto"/>
              </w:rPr>
            </w:pPr>
            <w:r>
              <w:rPr>
                <w:rFonts w:ascii="Arial" w:cs="Arial" w:eastAsia="Arial" w:hAnsi="Arial"/>
                <w:sz w:val="13"/>
                <w:szCs w:val="13"/>
                <w:color w:val="auto"/>
              </w:rPr>
              <w:t>(Loss) income before (benefit from) provision for</w:t>
            </w: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(1,554)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190,254</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5,773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2,358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3,723</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1,813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52,578</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(13,484)</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(4,585)</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(21,338)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186"/>
        </w:trPr>
        <w:tc>
          <w:tcPr>
            <w:tcW w:w="304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16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137,676</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19,257</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1,983</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23,151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Net (loss) income per common share:</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040" w:type="dxa"/>
            <w:vAlign w:val="bottom"/>
          </w:tcPr>
          <w:p>
            <w:pPr>
              <w:ind w:left="36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(0.01)</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0.06</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0.15</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0.68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92"/>
        </w:trPr>
        <w:tc>
          <w:tcPr>
            <w:tcW w:w="30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00" w:hanging="172"/>
        <w:spacing w:after="0"/>
        <w:tabs>
          <w:tab w:leader="none" w:pos="40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The following table presents stock-based compensation expense included in each respective expense category:</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0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6"/>
              </w:rPr>
              <w:t>Quarter Ended</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w:t>
            </w:r>
          </w:p>
        </w:tc>
        <w:tc>
          <w:tcPr>
            <w:tcW w:w="12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w:t>
            </w:r>
          </w:p>
        </w:tc>
        <w:tc>
          <w:tcPr>
            <w:tcW w:w="1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March 31,</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December 31,</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September 30,</w:t>
            </w:r>
          </w:p>
        </w:tc>
        <w:tc>
          <w:tcPr>
            <w:tcW w:w="160" w:type="dxa"/>
            <w:vAlign w:val="bottom"/>
          </w:tcPr>
          <w:p>
            <w:pPr>
              <w:spacing w:after="0"/>
              <w:rPr>
                <w:sz w:val="12"/>
                <w:szCs w:val="12"/>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June 30,</w:t>
            </w:r>
          </w:p>
        </w:tc>
        <w:tc>
          <w:tcPr>
            <w:tcW w:w="140" w:type="dxa"/>
            <w:vAlign w:val="bottom"/>
          </w:tcPr>
          <w:p>
            <w:pPr>
              <w:spacing w:after="0"/>
              <w:rPr>
                <w:sz w:val="12"/>
                <w:szCs w:val="12"/>
                <w:color w:val="auto"/>
              </w:rPr>
            </w:pPr>
          </w:p>
        </w:tc>
        <w:tc>
          <w:tcPr>
            <w:tcW w:w="740" w:type="dxa"/>
            <w:vAlign w:val="bottom"/>
          </w:tcPr>
          <w:p>
            <w:pPr>
              <w:jc w:val="right"/>
              <w:ind w:right="131"/>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22"/>
        </w:trPr>
        <w:tc>
          <w:tcPr>
            <w:tcW w:w="3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0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080" w:type="dxa"/>
            <w:vAlign w:val="bottom"/>
          </w:tcPr>
          <w:p>
            <w:pPr>
              <w:spacing w:after="0" w:line="145" w:lineRule="exact"/>
              <w:rPr>
                <w:sz w:val="20"/>
                <w:szCs w:val="20"/>
                <w:color w:val="auto"/>
              </w:rPr>
            </w:pPr>
            <w:r>
              <w:rPr>
                <w:rFonts w:ascii="Arial" w:cs="Arial" w:eastAsia="Arial" w:hAnsi="Arial"/>
                <w:sz w:val="14"/>
                <w:szCs w:val="14"/>
                <w:b w:val="1"/>
                <w:bCs w:val="1"/>
                <w:color w:val="auto"/>
                <w:w w:val="95"/>
              </w:rPr>
              <w:t>Stock-based compensation expense included in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080" w:type="dxa"/>
            <w:vAlign w:val="bottom"/>
          </w:tcPr>
          <w:p>
            <w:pPr>
              <w:spacing w:after="0"/>
              <w:rPr>
                <w:sz w:val="20"/>
                <w:szCs w:val="20"/>
                <w:color w:val="auto"/>
              </w:rPr>
            </w:pPr>
            <w:r>
              <w:rPr>
                <w:rFonts w:ascii="Arial" w:cs="Arial" w:eastAsia="Arial" w:hAnsi="Arial"/>
                <w:sz w:val="14"/>
                <w:szCs w:val="14"/>
                <w:b w:val="1"/>
                <w:bCs w:val="1"/>
                <w:color w:val="auto"/>
              </w:rPr>
              <w:t>costs and operating expenses: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080" w:type="dxa"/>
            <w:vAlign w:val="bottom"/>
            <w:shd w:val="clear" w:color="auto" w:fill="CCEEFF"/>
          </w:tcPr>
          <w:p>
            <w:pPr>
              <w:spacing w:after="0" w:line="137" w:lineRule="exact"/>
              <w:rPr>
                <w:sz w:val="20"/>
                <w:szCs w:val="20"/>
                <w:color w:val="auto"/>
              </w:rPr>
            </w:pPr>
            <w:r>
              <w:rPr>
                <w:rFonts w:ascii="Arial" w:cs="Arial" w:eastAsia="Arial" w:hAnsi="Arial"/>
                <w:sz w:val="14"/>
                <w:szCs w:val="14"/>
                <w:color w:val="auto"/>
              </w:rPr>
              <w:t>Cost of revenue (exclusive of depreciation and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334</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89"/>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20"/>
                <w:szCs w:val="20"/>
                <w:color w:val="auto"/>
              </w:rPr>
            </w:pPr>
            <w:r>
              <w:rPr>
                <w:rFonts w:ascii="Arial" w:cs="Arial" w:eastAsia="Arial" w:hAnsi="Arial"/>
                <w:sz w:val="14"/>
                <w:szCs w:val="14"/>
                <w:color w:val="auto"/>
              </w:rPr>
              <w:t>Sales and marketing</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192"/>
        </w:trPr>
        <w:tc>
          <w:tcPr>
            <w:tcW w:w="3080" w:type="dxa"/>
            <w:vAlign w:val="bottom"/>
            <w:shd w:val="clear" w:color="auto" w:fill="CCEEFF"/>
          </w:tcPr>
          <w:p>
            <w:pPr>
              <w:spacing w:after="0"/>
              <w:rPr>
                <w:sz w:val="20"/>
                <w:szCs w:val="20"/>
                <w:color w:val="auto"/>
              </w:rPr>
            </w:pPr>
            <w:r>
              <w:rPr>
                <w:rFonts w:ascii="Arial" w:cs="Arial" w:eastAsia="Arial" w:hAnsi="Arial"/>
                <w:sz w:val="14"/>
                <w:szCs w:val="14"/>
                <w:color w:val="auto"/>
              </w:rPr>
              <w:t>Research and product development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6"/>
        </w:trPr>
        <w:tc>
          <w:tcPr>
            <w:tcW w:w="30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1,803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0" w:type="dxa"/>
            <w:vAlign w:val="bottom"/>
          </w:tcPr>
          <w:p>
            <w:pPr>
              <w:spacing w:after="0"/>
              <w:rPr>
                <w:sz w:val="1"/>
                <w:szCs w:val="1"/>
                <w:color w:val="auto"/>
              </w:rPr>
            </w:pPr>
          </w:p>
        </w:tc>
      </w:tr>
      <w:tr>
        <w:trPr>
          <w:trHeight w:val="211"/>
        </w:trPr>
        <w:tc>
          <w:tcPr>
            <w:tcW w:w="3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3,096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1" w:name="page42"/>
    <w:bookmarkEnd w:id="41"/>
    <w:p>
      <w:pPr>
        <w:jc w:val="both"/>
        <w:ind w:right="20" w:firstLine="445"/>
        <w:spacing w:after="0" w:line="277" w:lineRule="auto"/>
        <w:rPr>
          <w:sz w:val="20"/>
          <w:szCs w:val="20"/>
          <w:color w:val="auto"/>
        </w:rPr>
      </w:pPr>
      <w:r>
        <w:rPr>
          <w:rFonts w:ascii="Arial" w:cs="Arial" w:eastAsia="Arial" w:hAnsi="Arial"/>
          <w:sz w:val="18"/>
          <w:szCs w:val="18"/>
          <w:color w:val="auto"/>
        </w:rPr>
        <w:t>The following table presents selected consolidated statements of operations data for the specified periods as a percentage of our revenue for those periods: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46"/>
              <w:spacing w:after="0"/>
              <w:rPr>
                <w:sz w:val="20"/>
                <w:szCs w:val="20"/>
                <w:color w:val="auto"/>
              </w:rPr>
            </w:pPr>
            <w:r>
              <w:rPr>
                <w:rFonts w:ascii="Arial" w:cs="Arial" w:eastAsia="Arial" w:hAnsi="Arial"/>
                <w:sz w:val="14"/>
                <w:szCs w:val="14"/>
                <w:b w:val="1"/>
                <w:bCs w:val="1"/>
                <w:color w:val="auto"/>
              </w:rPr>
              <w:t>Quarter Ended</w:t>
            </w:r>
          </w:p>
        </w:tc>
        <w:tc>
          <w:tcPr>
            <w:tcW w:w="1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660" w:type="dxa"/>
            <w:vAlign w:val="bottom"/>
          </w:tcPr>
          <w:p>
            <w:pPr>
              <w:spacing w:after="0"/>
              <w:rPr>
                <w:sz w:val="12"/>
                <w:szCs w:val="12"/>
                <w:color w:val="auto"/>
              </w:rPr>
            </w:pPr>
          </w:p>
        </w:tc>
        <w:tc>
          <w:tcPr>
            <w:tcW w:w="1060" w:type="dxa"/>
            <w:vAlign w:val="bottom"/>
          </w:tcPr>
          <w:p>
            <w:pPr>
              <w:jc w:val="right"/>
              <w:ind w:right="229"/>
              <w:spacing w:after="0"/>
              <w:rPr>
                <w:sz w:val="20"/>
                <w:szCs w:val="20"/>
                <w:color w:val="auto"/>
              </w:rPr>
            </w:pPr>
            <w:r>
              <w:rPr>
                <w:rFonts w:ascii="Arial" w:cs="Arial" w:eastAsia="Arial" w:hAnsi="Arial"/>
                <w:sz w:val="11"/>
                <w:szCs w:val="11"/>
                <w:b w:val="1"/>
                <w:bCs w:val="1"/>
                <w:color w:val="auto"/>
              </w:rPr>
              <w:t>December 31,</w:t>
            </w:r>
          </w:p>
        </w:tc>
        <w:tc>
          <w:tcPr>
            <w:tcW w:w="1300" w:type="dxa"/>
            <w:vAlign w:val="bottom"/>
            <w:gridSpan w:val="2"/>
          </w:tcPr>
          <w:p>
            <w:pPr>
              <w:jc w:val="right"/>
              <w:ind w:right="460"/>
              <w:spacing w:after="0"/>
              <w:rPr>
                <w:sz w:val="20"/>
                <w:szCs w:val="20"/>
                <w:color w:val="auto"/>
              </w:rPr>
            </w:pPr>
            <w:r>
              <w:rPr>
                <w:rFonts w:ascii="Arial" w:cs="Arial" w:eastAsia="Arial" w:hAnsi="Arial"/>
                <w:sz w:val="11"/>
                <w:szCs w:val="11"/>
                <w:b w:val="1"/>
                <w:bCs w:val="1"/>
                <w:color w:val="auto"/>
              </w:rPr>
              <w:t>September 30,</w:t>
            </w:r>
          </w:p>
        </w:tc>
        <w:tc>
          <w:tcPr>
            <w:tcW w:w="940" w:type="dxa"/>
            <w:vAlign w:val="bottom"/>
          </w:tcPr>
          <w:p>
            <w:pPr>
              <w:jc w:val="right"/>
              <w:ind w:right="369"/>
              <w:spacing w:after="0"/>
              <w:rPr>
                <w:sz w:val="20"/>
                <w:szCs w:val="20"/>
                <w:color w:val="auto"/>
              </w:rPr>
            </w:pPr>
            <w:r>
              <w:rPr>
                <w:rFonts w:ascii="Arial" w:cs="Arial" w:eastAsia="Arial" w:hAnsi="Arial"/>
                <w:sz w:val="11"/>
                <w:szCs w:val="11"/>
                <w:b w:val="1"/>
                <w:bCs w:val="1"/>
                <w:color w:val="auto"/>
              </w:rPr>
              <w:t>June 30,</w:t>
            </w:r>
          </w:p>
        </w:tc>
        <w:tc>
          <w:tcPr>
            <w:tcW w:w="880" w:type="dxa"/>
            <w:vAlign w:val="bottom"/>
          </w:tcPr>
          <w:p>
            <w:pPr>
              <w:jc w:val="right"/>
              <w:ind w:right="169"/>
              <w:spacing w:after="0"/>
              <w:rPr>
                <w:sz w:val="20"/>
                <w:szCs w:val="20"/>
                <w:color w:val="auto"/>
              </w:rPr>
            </w:pPr>
            <w:r>
              <w:rPr>
                <w:rFonts w:ascii="Arial" w:cs="Arial" w:eastAsia="Arial" w:hAnsi="Arial"/>
                <w:sz w:val="11"/>
                <w:szCs w:val="11"/>
                <w:b w:val="1"/>
                <w:bCs w:val="1"/>
                <w:color w:val="auto"/>
              </w:rPr>
              <w:t>March 31,</w:t>
            </w:r>
          </w:p>
        </w:tc>
        <w:tc>
          <w:tcPr>
            <w:tcW w:w="140" w:type="dxa"/>
            <w:vAlign w:val="bottom"/>
          </w:tcPr>
          <w:p>
            <w:pPr>
              <w:spacing w:after="0"/>
              <w:rPr>
                <w:sz w:val="12"/>
                <w:szCs w:val="12"/>
                <w:color w:val="auto"/>
              </w:rPr>
            </w:pPr>
          </w:p>
        </w:tc>
        <w:tc>
          <w:tcPr>
            <w:tcW w:w="1120" w:type="dxa"/>
            <w:vAlign w:val="bottom"/>
          </w:tcPr>
          <w:p>
            <w:pPr>
              <w:jc w:val="right"/>
              <w:ind w:right="266"/>
              <w:spacing w:after="0"/>
              <w:rPr>
                <w:sz w:val="20"/>
                <w:szCs w:val="20"/>
                <w:color w:val="auto"/>
              </w:rPr>
            </w:pPr>
            <w:r>
              <w:rPr>
                <w:rFonts w:ascii="Arial" w:cs="Arial" w:eastAsia="Arial" w:hAnsi="Arial"/>
                <w:sz w:val="11"/>
                <w:szCs w:val="11"/>
                <w:b w:val="1"/>
                <w:bCs w:val="1"/>
                <w:color w:val="auto"/>
              </w:rPr>
              <w:t>December 31,</w:t>
            </w:r>
          </w:p>
        </w:tc>
        <w:tc>
          <w:tcPr>
            <w:tcW w:w="1260" w:type="dxa"/>
            <w:vAlign w:val="bottom"/>
          </w:tcPr>
          <w:p>
            <w:pPr>
              <w:jc w:val="right"/>
              <w:ind w:right="369"/>
              <w:spacing w:after="0"/>
              <w:rPr>
                <w:sz w:val="20"/>
                <w:szCs w:val="20"/>
                <w:color w:val="auto"/>
              </w:rPr>
            </w:pPr>
            <w:r>
              <w:rPr>
                <w:rFonts w:ascii="Arial" w:cs="Arial" w:eastAsia="Arial" w:hAnsi="Arial"/>
                <w:sz w:val="11"/>
                <w:szCs w:val="11"/>
                <w:b w:val="1"/>
                <w:bCs w:val="1"/>
                <w:color w:val="auto"/>
              </w:rPr>
              <w:t>September 30,</w:t>
            </w:r>
          </w:p>
        </w:tc>
        <w:tc>
          <w:tcPr>
            <w:tcW w:w="960" w:type="dxa"/>
            <w:vAlign w:val="bottom"/>
          </w:tcPr>
          <w:p>
            <w:pPr>
              <w:jc w:val="right"/>
              <w:ind w:right="369"/>
              <w:spacing w:after="0"/>
              <w:rPr>
                <w:sz w:val="20"/>
                <w:szCs w:val="20"/>
                <w:color w:val="auto"/>
              </w:rPr>
            </w:pPr>
            <w:r>
              <w:rPr>
                <w:rFonts w:ascii="Arial" w:cs="Arial" w:eastAsia="Arial" w:hAnsi="Arial"/>
                <w:sz w:val="11"/>
                <w:szCs w:val="11"/>
                <w:b w:val="1"/>
                <w:bCs w:val="1"/>
                <w:color w:val="auto"/>
              </w:rPr>
              <w:t>June 30,</w:t>
            </w:r>
          </w:p>
        </w:tc>
        <w:tc>
          <w:tcPr>
            <w:tcW w:w="900" w:type="dxa"/>
            <w:vAlign w:val="bottom"/>
          </w:tcPr>
          <w:p>
            <w:pPr>
              <w:jc w:val="right"/>
              <w:ind w:right="169"/>
              <w:spacing w:after="0"/>
              <w:rPr>
                <w:sz w:val="20"/>
                <w:szCs w:val="20"/>
                <w:color w:val="auto"/>
              </w:rPr>
            </w:pPr>
            <w:r>
              <w:rPr>
                <w:rFonts w:ascii="Arial" w:cs="Arial" w:eastAsia="Arial" w:hAnsi="Arial"/>
                <w:sz w:val="11"/>
                <w:szCs w:val="11"/>
                <w:b w:val="1"/>
                <w:bCs w:val="1"/>
                <w:color w:val="auto"/>
              </w:rPr>
              <w:t>March 31,</w:t>
            </w:r>
          </w:p>
        </w:tc>
        <w:tc>
          <w:tcPr>
            <w:tcW w:w="0" w:type="dxa"/>
            <w:vAlign w:val="bottom"/>
          </w:tcPr>
          <w:p>
            <w:pPr>
              <w:spacing w:after="0"/>
              <w:rPr>
                <w:sz w:val="1"/>
                <w:szCs w:val="1"/>
                <w:color w:val="auto"/>
              </w:rPr>
            </w:pPr>
          </w:p>
        </w:tc>
      </w:tr>
      <w:tr>
        <w:trPr>
          <w:trHeight w:val="22"/>
        </w:trPr>
        <w:tc>
          <w:tcPr>
            <w:tcW w:w="26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jc w:val="right"/>
              <w:ind w:right="49"/>
              <w:spacing w:after="0"/>
              <w:rPr>
                <w:sz w:val="20"/>
                <w:szCs w:val="20"/>
                <w:color w:val="auto"/>
              </w:rPr>
            </w:pPr>
            <w:r>
              <w:rPr>
                <w:rFonts w:ascii="Arial" w:cs="Arial" w:eastAsia="Arial" w:hAnsi="Arial"/>
                <w:sz w:val="14"/>
                <w:szCs w:val="14"/>
                <w:b w:val="1"/>
                <w:bCs w:val="1"/>
                <w:color w:val="auto"/>
              </w:rPr>
              <w:t>2019</w:t>
            </w: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 Statements of Operations Data:</w:t>
            </w:r>
          </w:p>
        </w:tc>
        <w:tc>
          <w:tcPr>
            <w:tcW w:w="10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0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100.0 %</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100.0 %</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60" w:type="dxa"/>
            <w:vAlign w:val="bottom"/>
            <w:gridSpan w:val="2"/>
            <w:shd w:val="clear" w:color="auto" w:fill="CCEEFF"/>
          </w:tcPr>
          <w:p>
            <w:pPr>
              <w:jc w:val="right"/>
              <w:ind w:right="86"/>
              <w:spacing w:after="0"/>
              <w:rPr>
                <w:sz w:val="20"/>
                <w:szCs w:val="20"/>
                <w:color w:val="auto"/>
              </w:rPr>
            </w:pPr>
            <w:r>
              <w:rPr>
                <w:rFonts w:ascii="Arial" w:cs="Arial" w:eastAsia="Arial" w:hAnsi="Arial"/>
                <w:sz w:val="14"/>
                <w:szCs w:val="14"/>
                <w:color w:val="auto"/>
              </w:rPr>
              <w:t>100.0 %</w:t>
            </w:r>
          </w:p>
        </w:tc>
        <w:tc>
          <w:tcPr>
            <w:tcW w:w="12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100.0 %</w:t>
            </w:r>
          </w:p>
        </w:tc>
        <w:tc>
          <w:tcPr>
            <w:tcW w:w="9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100.0 %</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6"/>
        </w:trPr>
        <w:tc>
          <w:tcPr>
            <w:tcW w:w="2660" w:type="dxa"/>
            <w:vAlign w:val="bottom"/>
          </w:tcPr>
          <w:p>
            <w:pPr>
              <w:ind w:left="20"/>
              <w:spacing w:after="0"/>
              <w:rPr>
                <w:sz w:val="20"/>
                <w:szCs w:val="20"/>
                <w:color w:val="auto"/>
              </w:rPr>
            </w:pPr>
            <w:r>
              <w:rPr>
                <w:rFonts w:ascii="Arial" w:cs="Arial" w:eastAsia="Arial" w:hAnsi="Arial"/>
                <w:sz w:val="14"/>
                <w:szCs w:val="14"/>
                <w:color w:val="auto"/>
              </w:rPr>
              <w:t>Costs and operating expenses:</w:t>
            </w:r>
          </w:p>
        </w:tc>
        <w:tc>
          <w:tcPr>
            <w:tcW w:w="1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660" w:type="dxa"/>
            <w:vAlign w:val="bottom"/>
            <w:shd w:val="clear" w:color="auto" w:fill="CCEEFF"/>
          </w:tcPr>
          <w:p>
            <w:pPr>
              <w:ind w:left="360"/>
              <w:spacing w:after="0" w:line="139" w:lineRule="exact"/>
              <w:rPr>
                <w:sz w:val="20"/>
                <w:szCs w:val="20"/>
                <w:color w:val="auto"/>
              </w:rPr>
            </w:pPr>
            <w:r>
              <w:rPr>
                <w:rFonts w:ascii="Arial" w:cs="Arial" w:eastAsia="Arial" w:hAnsi="Arial"/>
                <w:sz w:val="14"/>
                <w:szCs w:val="14"/>
                <w:color w:val="auto"/>
              </w:rPr>
              <w:t>Cost of revenue (exclusive of</w:t>
            </w:r>
          </w:p>
        </w:tc>
        <w:tc>
          <w:tcPr>
            <w:tcW w:w="1060" w:type="dxa"/>
            <w:vAlign w:val="bottom"/>
            <w:vMerge w:val="restart"/>
            <w:shd w:val="clear" w:color="auto" w:fill="CCEEFF"/>
          </w:tcPr>
          <w:p>
            <w:pPr>
              <w:jc w:val="right"/>
              <w:ind w:right="269"/>
              <w:spacing w:after="0"/>
              <w:rPr>
                <w:sz w:val="20"/>
                <w:szCs w:val="20"/>
                <w:color w:val="auto"/>
              </w:rPr>
            </w:pPr>
            <w:r>
              <w:rPr>
                <w:rFonts w:ascii="Arial" w:cs="Arial" w:eastAsia="Arial" w:hAnsi="Arial"/>
                <w:sz w:val="14"/>
                <w:szCs w:val="14"/>
                <w:color w:val="auto"/>
              </w:rPr>
              <w:t>41.3</w:t>
            </w:r>
          </w:p>
        </w:tc>
        <w:tc>
          <w:tcPr>
            <w:tcW w:w="104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39.0</w:t>
            </w:r>
          </w:p>
        </w:tc>
        <w:tc>
          <w:tcPr>
            <w:tcW w:w="2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69"/>
              <w:spacing w:after="0"/>
              <w:rPr>
                <w:sz w:val="20"/>
                <w:szCs w:val="20"/>
                <w:color w:val="auto"/>
              </w:rPr>
            </w:pPr>
            <w:r>
              <w:rPr>
                <w:rFonts w:ascii="Arial" w:cs="Arial" w:eastAsia="Arial" w:hAnsi="Arial"/>
                <w:sz w:val="14"/>
                <w:szCs w:val="14"/>
                <w:color w:val="auto"/>
              </w:rPr>
              <w:t>33.8</w:t>
            </w:r>
          </w:p>
        </w:tc>
        <w:tc>
          <w:tcPr>
            <w:tcW w:w="880" w:type="dxa"/>
            <w:vAlign w:val="bottom"/>
            <w:vMerge w:val="restart"/>
            <w:shd w:val="clear" w:color="auto" w:fill="CCEEFF"/>
          </w:tcPr>
          <w:p>
            <w:pPr>
              <w:jc w:val="right"/>
              <w:ind w:right="109"/>
              <w:spacing w:after="0"/>
              <w:rPr>
                <w:sz w:val="20"/>
                <w:szCs w:val="20"/>
                <w:color w:val="auto"/>
              </w:rPr>
            </w:pPr>
            <w:r>
              <w:rPr>
                <w:rFonts w:ascii="Arial" w:cs="Arial" w:eastAsia="Arial" w:hAnsi="Arial"/>
                <w:sz w:val="14"/>
                <w:szCs w:val="14"/>
                <w:color w:val="auto"/>
              </w:rPr>
              <w:t>39.9</w:t>
            </w:r>
          </w:p>
        </w:tc>
        <w:tc>
          <w:tcPr>
            <w:tcW w:w="1260" w:type="dxa"/>
            <w:vAlign w:val="bottom"/>
            <w:gridSpan w:val="2"/>
            <w:vMerge w:val="restart"/>
            <w:shd w:val="clear" w:color="auto" w:fill="CCEEFF"/>
          </w:tcPr>
          <w:p>
            <w:pPr>
              <w:jc w:val="right"/>
              <w:ind w:right="266"/>
              <w:spacing w:after="0"/>
              <w:rPr>
                <w:sz w:val="20"/>
                <w:szCs w:val="20"/>
                <w:color w:val="auto"/>
              </w:rPr>
            </w:pPr>
            <w:r>
              <w:rPr>
                <w:rFonts w:ascii="Arial" w:cs="Arial" w:eastAsia="Arial" w:hAnsi="Arial"/>
                <w:sz w:val="14"/>
                <w:szCs w:val="14"/>
                <w:color w:val="auto"/>
              </w:rPr>
              <w:t>39.2</w:t>
            </w:r>
          </w:p>
        </w:tc>
        <w:tc>
          <w:tcPr>
            <w:tcW w:w="1260" w:type="dxa"/>
            <w:vAlign w:val="bottom"/>
            <w:vMerge w:val="restart"/>
            <w:shd w:val="clear" w:color="auto" w:fill="CCEEFF"/>
          </w:tcPr>
          <w:p>
            <w:pPr>
              <w:jc w:val="right"/>
              <w:ind w:right="369"/>
              <w:spacing w:after="0"/>
              <w:rPr>
                <w:sz w:val="20"/>
                <w:szCs w:val="20"/>
                <w:color w:val="auto"/>
              </w:rPr>
            </w:pPr>
            <w:r>
              <w:rPr>
                <w:rFonts w:ascii="Arial" w:cs="Arial" w:eastAsia="Arial" w:hAnsi="Arial"/>
                <w:sz w:val="14"/>
                <w:szCs w:val="14"/>
                <w:color w:val="auto"/>
              </w:rPr>
              <w:t>38.2</w:t>
            </w:r>
          </w:p>
        </w:tc>
        <w:tc>
          <w:tcPr>
            <w:tcW w:w="960" w:type="dxa"/>
            <w:vAlign w:val="bottom"/>
            <w:vMerge w:val="restart"/>
            <w:shd w:val="clear" w:color="auto" w:fill="CCEEFF"/>
          </w:tcPr>
          <w:p>
            <w:pPr>
              <w:jc w:val="right"/>
              <w:ind w:right="269"/>
              <w:spacing w:after="0"/>
              <w:rPr>
                <w:sz w:val="20"/>
                <w:szCs w:val="20"/>
                <w:color w:val="auto"/>
              </w:rPr>
            </w:pPr>
            <w:r>
              <w:rPr>
                <w:rFonts w:ascii="Arial" w:cs="Arial" w:eastAsia="Arial" w:hAnsi="Arial"/>
                <w:sz w:val="14"/>
                <w:szCs w:val="14"/>
                <w:color w:val="auto"/>
              </w:rPr>
              <w:t>39.5</w:t>
            </w:r>
          </w:p>
        </w:tc>
        <w:tc>
          <w:tcPr>
            <w:tcW w:w="900" w:type="dxa"/>
            <w:vAlign w:val="bottom"/>
            <w:vMerge w:val="restart"/>
            <w:shd w:val="clear" w:color="auto" w:fill="CCEEFF"/>
          </w:tcPr>
          <w:p>
            <w:pPr>
              <w:jc w:val="right"/>
              <w:ind w:right="129"/>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060" w:type="dxa"/>
            <w:vAlign w:val="bottom"/>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1060" w:type="dxa"/>
            <w:vAlign w:val="bottom"/>
          </w:tcPr>
          <w:p>
            <w:pPr>
              <w:jc w:val="right"/>
              <w:ind w:right="269"/>
              <w:spacing w:after="0"/>
              <w:rPr>
                <w:sz w:val="20"/>
                <w:szCs w:val="20"/>
                <w:color w:val="auto"/>
              </w:rPr>
            </w:pPr>
            <w:r>
              <w:rPr>
                <w:rFonts w:ascii="Arial" w:cs="Arial" w:eastAsia="Arial" w:hAnsi="Arial"/>
                <w:sz w:val="14"/>
                <w:szCs w:val="14"/>
                <w:color w:val="auto"/>
              </w:rPr>
              <w:t>21.2</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17.7</w:t>
            </w:r>
          </w:p>
        </w:tc>
        <w:tc>
          <w:tcPr>
            <w:tcW w:w="260" w:type="dxa"/>
            <w:vAlign w:val="bottom"/>
          </w:tcPr>
          <w:p>
            <w:pPr>
              <w:spacing w:after="0"/>
              <w:rPr>
                <w:sz w:val="16"/>
                <w:szCs w:val="16"/>
                <w:color w:val="auto"/>
              </w:rPr>
            </w:pPr>
          </w:p>
        </w:tc>
        <w:tc>
          <w:tcPr>
            <w:tcW w:w="940" w:type="dxa"/>
            <w:vAlign w:val="bottom"/>
          </w:tcPr>
          <w:p>
            <w:pPr>
              <w:jc w:val="right"/>
              <w:ind w:right="269"/>
              <w:spacing w:after="0"/>
              <w:rPr>
                <w:sz w:val="20"/>
                <w:szCs w:val="20"/>
                <w:color w:val="auto"/>
              </w:rPr>
            </w:pPr>
            <w:r>
              <w:rPr>
                <w:rFonts w:ascii="Arial" w:cs="Arial" w:eastAsia="Arial" w:hAnsi="Arial"/>
                <w:sz w:val="14"/>
                <w:szCs w:val="14"/>
                <w:color w:val="auto"/>
              </w:rPr>
              <w:t>16.9</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20.0</w:t>
            </w:r>
          </w:p>
        </w:tc>
        <w:tc>
          <w:tcPr>
            <w:tcW w:w="1260" w:type="dxa"/>
            <w:vAlign w:val="bottom"/>
            <w:gridSpan w:val="2"/>
          </w:tcPr>
          <w:p>
            <w:pPr>
              <w:jc w:val="right"/>
              <w:ind w:right="266"/>
              <w:spacing w:after="0"/>
              <w:rPr>
                <w:sz w:val="20"/>
                <w:szCs w:val="20"/>
                <w:color w:val="auto"/>
              </w:rPr>
            </w:pPr>
            <w:r>
              <w:rPr>
                <w:rFonts w:ascii="Arial" w:cs="Arial" w:eastAsia="Arial" w:hAnsi="Arial"/>
                <w:sz w:val="14"/>
                <w:szCs w:val="14"/>
                <w:color w:val="auto"/>
              </w:rPr>
              <w:t>21.4</w:t>
            </w:r>
          </w:p>
        </w:tc>
        <w:tc>
          <w:tcPr>
            <w:tcW w:w="1260" w:type="dxa"/>
            <w:vAlign w:val="bottom"/>
          </w:tcPr>
          <w:p>
            <w:pPr>
              <w:jc w:val="right"/>
              <w:ind w:right="369"/>
              <w:spacing w:after="0"/>
              <w:rPr>
                <w:sz w:val="20"/>
                <w:szCs w:val="20"/>
                <w:color w:val="auto"/>
              </w:rPr>
            </w:pPr>
            <w:r>
              <w:rPr>
                <w:rFonts w:ascii="Arial" w:cs="Arial" w:eastAsia="Arial" w:hAnsi="Arial"/>
                <w:sz w:val="14"/>
                <w:szCs w:val="14"/>
                <w:color w:val="auto"/>
              </w:rPr>
              <w:t>18.6</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20.8</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product development</w:t>
            </w:r>
          </w:p>
        </w:tc>
        <w:tc>
          <w:tcPr>
            <w:tcW w:w="10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16.2</w:t>
            </w:r>
          </w:p>
        </w:tc>
        <w:tc>
          <w:tcPr>
            <w:tcW w:w="10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16.0</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15.0</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15.5</w:t>
            </w:r>
          </w:p>
        </w:tc>
        <w:tc>
          <w:tcPr>
            <w:tcW w:w="1260" w:type="dxa"/>
            <w:vAlign w:val="bottom"/>
            <w:gridSpan w:val="2"/>
            <w:shd w:val="clear" w:color="auto" w:fill="CCEEFF"/>
          </w:tcPr>
          <w:p>
            <w:pPr>
              <w:jc w:val="right"/>
              <w:ind w:right="266"/>
              <w:spacing w:after="0"/>
              <w:rPr>
                <w:sz w:val="20"/>
                <w:szCs w:val="20"/>
                <w:color w:val="auto"/>
              </w:rPr>
            </w:pPr>
            <w:r>
              <w:rPr>
                <w:rFonts w:ascii="Arial" w:cs="Arial" w:eastAsia="Arial" w:hAnsi="Arial"/>
                <w:sz w:val="14"/>
                <w:szCs w:val="14"/>
                <w:color w:val="auto"/>
              </w:rPr>
              <w:t>16.5</w:t>
            </w:r>
          </w:p>
        </w:tc>
        <w:tc>
          <w:tcPr>
            <w:tcW w:w="12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15.6</w:t>
            </w:r>
          </w:p>
        </w:tc>
        <w:tc>
          <w:tcPr>
            <w:tcW w:w="9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14.7</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6"/>
        </w:trPr>
        <w:tc>
          <w:tcPr>
            <w:tcW w:w="2660" w:type="dxa"/>
            <w:vAlign w:val="bottom"/>
          </w:tcPr>
          <w:p>
            <w:pPr>
              <w:ind w:left="360"/>
              <w:spacing w:after="0"/>
              <w:rPr>
                <w:sz w:val="20"/>
                <w:szCs w:val="20"/>
                <w:color w:val="auto"/>
              </w:rPr>
            </w:pPr>
            <w:r>
              <w:rPr>
                <w:rFonts w:ascii="Arial" w:cs="Arial" w:eastAsia="Arial" w:hAnsi="Arial"/>
                <w:sz w:val="14"/>
                <w:szCs w:val="14"/>
                <w:color w:val="auto"/>
              </w:rPr>
              <w:t>General and administrative</w:t>
            </w:r>
          </w:p>
        </w:tc>
        <w:tc>
          <w:tcPr>
            <w:tcW w:w="1060" w:type="dxa"/>
            <w:vAlign w:val="bottom"/>
          </w:tcPr>
          <w:p>
            <w:pPr>
              <w:jc w:val="right"/>
              <w:ind w:right="269"/>
              <w:spacing w:after="0"/>
              <w:rPr>
                <w:sz w:val="20"/>
                <w:szCs w:val="20"/>
                <w:color w:val="auto"/>
              </w:rPr>
            </w:pPr>
            <w:r>
              <w:rPr>
                <w:rFonts w:ascii="Arial" w:cs="Arial" w:eastAsia="Arial" w:hAnsi="Arial"/>
                <w:sz w:val="14"/>
                <w:szCs w:val="14"/>
                <w:color w:val="auto"/>
              </w:rPr>
              <w:t>15.4</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15.4</w:t>
            </w:r>
          </w:p>
        </w:tc>
        <w:tc>
          <w:tcPr>
            <w:tcW w:w="260" w:type="dxa"/>
            <w:vAlign w:val="bottom"/>
          </w:tcPr>
          <w:p>
            <w:pPr>
              <w:spacing w:after="0"/>
              <w:rPr>
                <w:sz w:val="16"/>
                <w:szCs w:val="16"/>
                <w:color w:val="auto"/>
              </w:rPr>
            </w:pPr>
          </w:p>
        </w:tc>
        <w:tc>
          <w:tcPr>
            <w:tcW w:w="940" w:type="dxa"/>
            <w:vAlign w:val="bottom"/>
          </w:tcPr>
          <w:p>
            <w:pPr>
              <w:jc w:val="right"/>
              <w:ind w:right="269"/>
              <w:spacing w:after="0"/>
              <w:rPr>
                <w:sz w:val="20"/>
                <w:szCs w:val="20"/>
                <w:color w:val="auto"/>
              </w:rPr>
            </w:pPr>
            <w:r>
              <w:rPr>
                <w:rFonts w:ascii="Arial" w:cs="Arial" w:eastAsia="Arial" w:hAnsi="Arial"/>
                <w:sz w:val="14"/>
                <w:szCs w:val="14"/>
                <w:color w:val="auto"/>
              </w:rPr>
              <w:t>18.2</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11.8</w:t>
            </w:r>
          </w:p>
        </w:tc>
        <w:tc>
          <w:tcPr>
            <w:tcW w:w="1260" w:type="dxa"/>
            <w:vAlign w:val="bottom"/>
            <w:gridSpan w:val="2"/>
          </w:tcPr>
          <w:p>
            <w:pPr>
              <w:jc w:val="right"/>
              <w:ind w:right="266"/>
              <w:spacing w:after="0"/>
              <w:rPr>
                <w:sz w:val="20"/>
                <w:szCs w:val="20"/>
                <w:color w:val="auto"/>
              </w:rPr>
            </w:pPr>
            <w:r>
              <w:rPr>
                <w:rFonts w:ascii="Arial" w:cs="Arial" w:eastAsia="Arial" w:hAnsi="Arial"/>
                <w:sz w:val="14"/>
                <w:szCs w:val="14"/>
                <w:color w:val="auto"/>
              </w:rPr>
              <w:t>13.5</w:t>
            </w:r>
          </w:p>
        </w:tc>
        <w:tc>
          <w:tcPr>
            <w:tcW w:w="1260" w:type="dxa"/>
            <w:vAlign w:val="bottom"/>
          </w:tcPr>
          <w:p>
            <w:pPr>
              <w:jc w:val="right"/>
              <w:ind w:right="369"/>
              <w:spacing w:after="0"/>
              <w:rPr>
                <w:sz w:val="20"/>
                <w:szCs w:val="20"/>
                <w:color w:val="auto"/>
              </w:rPr>
            </w:pPr>
            <w:r>
              <w:rPr>
                <w:rFonts w:ascii="Arial" w:cs="Arial" w:eastAsia="Arial" w:hAnsi="Arial"/>
                <w:sz w:val="14"/>
                <w:szCs w:val="14"/>
                <w:color w:val="auto"/>
              </w:rPr>
              <w:t>13.2</w:t>
            </w:r>
          </w:p>
        </w:tc>
        <w:tc>
          <w:tcPr>
            <w:tcW w:w="960" w:type="dxa"/>
            <w:vAlign w:val="bottom"/>
          </w:tcPr>
          <w:p>
            <w:pPr>
              <w:jc w:val="right"/>
              <w:ind w:right="269"/>
              <w:spacing w:after="0"/>
              <w:rPr>
                <w:sz w:val="20"/>
                <w:szCs w:val="20"/>
                <w:color w:val="auto"/>
              </w:rPr>
            </w:pPr>
            <w:r>
              <w:rPr>
                <w:rFonts w:ascii="Arial" w:cs="Arial" w:eastAsia="Arial" w:hAnsi="Arial"/>
                <w:sz w:val="14"/>
                <w:szCs w:val="14"/>
                <w:color w:val="auto"/>
              </w:rPr>
              <w:t>12.9</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Depreciation and amortization</w:t>
            </w:r>
          </w:p>
        </w:tc>
        <w:tc>
          <w:tcPr>
            <w:tcW w:w="10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9.7</w:t>
            </w:r>
          </w:p>
        </w:tc>
        <w:tc>
          <w:tcPr>
            <w:tcW w:w="10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7.9</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8.2</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8.8</w:t>
            </w:r>
          </w:p>
        </w:tc>
        <w:tc>
          <w:tcPr>
            <w:tcW w:w="1260" w:type="dxa"/>
            <w:vAlign w:val="bottom"/>
            <w:gridSpan w:val="2"/>
            <w:shd w:val="clear" w:color="auto" w:fill="CCEEFF"/>
          </w:tcPr>
          <w:p>
            <w:pPr>
              <w:jc w:val="right"/>
              <w:ind w:right="266"/>
              <w:spacing w:after="0"/>
              <w:rPr>
                <w:sz w:val="20"/>
                <w:szCs w:val="20"/>
                <w:color w:val="auto"/>
              </w:rPr>
            </w:pPr>
            <w:r>
              <w:rPr>
                <w:rFonts w:ascii="Arial" w:cs="Arial" w:eastAsia="Arial" w:hAnsi="Arial"/>
                <w:sz w:val="14"/>
                <w:szCs w:val="14"/>
                <w:color w:val="auto"/>
              </w:rPr>
              <w:t>9.2</w:t>
            </w:r>
          </w:p>
        </w:tc>
        <w:tc>
          <w:tcPr>
            <w:tcW w:w="12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8.4</w:t>
            </w:r>
          </w:p>
        </w:tc>
        <w:tc>
          <w:tcPr>
            <w:tcW w:w="9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8.5</w:t>
            </w:r>
          </w:p>
        </w:tc>
        <w:tc>
          <w:tcPr>
            <w:tcW w:w="9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35"/>
        </w:trPr>
        <w:tc>
          <w:tcPr>
            <w:tcW w:w="2660" w:type="dxa"/>
            <w:vAlign w:val="bottom"/>
          </w:tcPr>
          <w:p>
            <w:pPr>
              <w:ind w:left="680"/>
              <w:spacing w:after="0" w:line="135" w:lineRule="exact"/>
              <w:rPr>
                <w:sz w:val="20"/>
                <w:szCs w:val="20"/>
                <w:color w:val="auto"/>
              </w:rPr>
            </w:pPr>
            <w:r>
              <w:rPr>
                <w:rFonts w:ascii="Arial" w:cs="Arial" w:eastAsia="Arial" w:hAnsi="Arial"/>
                <w:sz w:val="14"/>
                <w:szCs w:val="14"/>
                <w:color w:val="auto"/>
              </w:rPr>
              <w:t>Total costs and operating</w:t>
            </w:r>
          </w:p>
        </w:tc>
        <w:tc>
          <w:tcPr>
            <w:tcW w:w="1060" w:type="dxa"/>
            <w:vAlign w:val="bottom"/>
            <w:vMerge w:val="restart"/>
          </w:tcPr>
          <w:p>
            <w:pPr>
              <w:jc w:val="right"/>
              <w:ind w:right="269"/>
              <w:spacing w:after="0"/>
              <w:rPr>
                <w:sz w:val="20"/>
                <w:szCs w:val="20"/>
                <w:color w:val="auto"/>
              </w:rPr>
            </w:pPr>
            <w:r>
              <w:rPr>
                <w:rFonts w:ascii="Arial" w:cs="Arial" w:eastAsia="Arial" w:hAnsi="Arial"/>
                <w:sz w:val="14"/>
                <w:szCs w:val="14"/>
                <w:color w:val="auto"/>
              </w:rPr>
              <w:t>103.8</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96.0</w:t>
            </w:r>
          </w:p>
        </w:tc>
        <w:tc>
          <w:tcPr>
            <w:tcW w:w="260" w:type="dxa"/>
            <w:vAlign w:val="bottom"/>
          </w:tcPr>
          <w:p>
            <w:pPr>
              <w:spacing w:after="0"/>
              <w:rPr>
                <w:sz w:val="11"/>
                <w:szCs w:val="11"/>
                <w:color w:val="auto"/>
              </w:rPr>
            </w:pPr>
          </w:p>
        </w:tc>
        <w:tc>
          <w:tcPr>
            <w:tcW w:w="940" w:type="dxa"/>
            <w:vAlign w:val="bottom"/>
            <w:vMerge w:val="restart"/>
          </w:tcPr>
          <w:p>
            <w:pPr>
              <w:jc w:val="right"/>
              <w:ind w:right="269"/>
              <w:spacing w:after="0"/>
              <w:rPr>
                <w:sz w:val="20"/>
                <w:szCs w:val="20"/>
                <w:color w:val="auto"/>
              </w:rPr>
            </w:pPr>
            <w:r>
              <w:rPr>
                <w:rFonts w:ascii="Arial" w:cs="Arial" w:eastAsia="Arial" w:hAnsi="Arial"/>
                <w:sz w:val="14"/>
                <w:szCs w:val="14"/>
                <w:color w:val="auto"/>
              </w:rPr>
              <w:t>92.2</w:t>
            </w:r>
          </w:p>
        </w:tc>
        <w:tc>
          <w:tcPr>
            <w:tcW w:w="880" w:type="dxa"/>
            <w:vAlign w:val="bottom"/>
            <w:vMerge w:val="restart"/>
          </w:tcPr>
          <w:p>
            <w:pPr>
              <w:jc w:val="right"/>
              <w:ind w:right="109"/>
              <w:spacing w:after="0"/>
              <w:rPr>
                <w:sz w:val="20"/>
                <w:szCs w:val="20"/>
                <w:color w:val="auto"/>
              </w:rPr>
            </w:pPr>
            <w:r>
              <w:rPr>
                <w:rFonts w:ascii="Arial" w:cs="Arial" w:eastAsia="Arial" w:hAnsi="Arial"/>
                <w:sz w:val="14"/>
                <w:szCs w:val="14"/>
                <w:color w:val="auto"/>
              </w:rPr>
              <w:t>96.1</w:t>
            </w:r>
          </w:p>
        </w:tc>
        <w:tc>
          <w:tcPr>
            <w:tcW w:w="1260" w:type="dxa"/>
            <w:vAlign w:val="bottom"/>
            <w:gridSpan w:val="2"/>
            <w:vMerge w:val="restart"/>
          </w:tcPr>
          <w:p>
            <w:pPr>
              <w:jc w:val="right"/>
              <w:ind w:right="266"/>
              <w:spacing w:after="0"/>
              <w:rPr>
                <w:sz w:val="20"/>
                <w:szCs w:val="20"/>
                <w:color w:val="auto"/>
              </w:rPr>
            </w:pPr>
            <w:r>
              <w:rPr>
                <w:rFonts w:ascii="Arial" w:cs="Arial" w:eastAsia="Arial" w:hAnsi="Arial"/>
                <w:sz w:val="14"/>
                <w:szCs w:val="14"/>
                <w:color w:val="auto"/>
              </w:rPr>
              <w:t>99.9</w:t>
            </w:r>
          </w:p>
        </w:tc>
        <w:tc>
          <w:tcPr>
            <w:tcW w:w="1260" w:type="dxa"/>
            <w:vAlign w:val="bottom"/>
            <w:vMerge w:val="restart"/>
          </w:tcPr>
          <w:p>
            <w:pPr>
              <w:jc w:val="right"/>
              <w:ind w:right="369"/>
              <w:spacing w:after="0"/>
              <w:rPr>
                <w:sz w:val="20"/>
                <w:szCs w:val="20"/>
                <w:color w:val="auto"/>
              </w:rPr>
            </w:pPr>
            <w:r>
              <w:rPr>
                <w:rFonts w:ascii="Arial" w:cs="Arial" w:eastAsia="Arial" w:hAnsi="Arial"/>
                <w:sz w:val="14"/>
                <w:szCs w:val="14"/>
                <w:color w:val="auto"/>
              </w:rPr>
              <w:t>93.9</w:t>
            </w:r>
          </w:p>
        </w:tc>
        <w:tc>
          <w:tcPr>
            <w:tcW w:w="960" w:type="dxa"/>
            <w:vAlign w:val="bottom"/>
            <w:vMerge w:val="restart"/>
          </w:tcPr>
          <w:p>
            <w:pPr>
              <w:jc w:val="right"/>
              <w:ind w:right="269"/>
              <w:spacing w:after="0"/>
              <w:rPr>
                <w:sz w:val="20"/>
                <w:szCs w:val="20"/>
                <w:color w:val="auto"/>
              </w:rPr>
            </w:pPr>
            <w:r>
              <w:rPr>
                <w:rFonts w:ascii="Arial" w:cs="Arial" w:eastAsia="Arial" w:hAnsi="Arial"/>
                <w:sz w:val="14"/>
                <w:szCs w:val="14"/>
                <w:color w:val="auto"/>
              </w:rPr>
              <w:t>96.4</w:t>
            </w:r>
          </w:p>
        </w:tc>
        <w:tc>
          <w:tcPr>
            <w:tcW w:w="900" w:type="dxa"/>
            <w:vAlign w:val="bottom"/>
            <w:vMerge w:val="restart"/>
          </w:tcPr>
          <w:p>
            <w:pPr>
              <w:jc w:val="right"/>
              <w:ind w:right="129"/>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86"/>
        </w:trPr>
        <w:tc>
          <w:tcPr>
            <w:tcW w:w="2660" w:type="dxa"/>
            <w:vAlign w:val="bottom"/>
          </w:tcPr>
          <w:p>
            <w:pPr>
              <w:ind w:left="680"/>
              <w:spacing w:after="0"/>
              <w:rPr>
                <w:sz w:val="20"/>
                <w:szCs w:val="20"/>
                <w:color w:val="auto"/>
              </w:rPr>
            </w:pPr>
            <w:r>
              <w:rPr>
                <w:rFonts w:ascii="Arial" w:cs="Arial" w:eastAsia="Arial" w:hAnsi="Arial"/>
                <w:sz w:val="14"/>
                <w:szCs w:val="14"/>
                <w:color w:val="auto"/>
              </w:rPr>
              <w:t>expenses</w:t>
            </w:r>
          </w:p>
        </w:tc>
        <w:tc>
          <w:tcPr>
            <w:tcW w:w="10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income from operations</w:t>
            </w:r>
          </w:p>
        </w:tc>
        <w:tc>
          <w:tcPr>
            <w:tcW w:w="10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(3.8)</w:t>
            </w:r>
          </w:p>
        </w:tc>
        <w:tc>
          <w:tcPr>
            <w:tcW w:w="10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4.0</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7.8</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3.9</w:t>
            </w:r>
          </w:p>
        </w:tc>
        <w:tc>
          <w:tcPr>
            <w:tcW w:w="1260" w:type="dxa"/>
            <w:vAlign w:val="bottom"/>
            <w:gridSpan w:val="2"/>
            <w:shd w:val="clear" w:color="auto" w:fill="CCEEFF"/>
          </w:tcPr>
          <w:p>
            <w:pPr>
              <w:jc w:val="right"/>
              <w:ind w:right="266"/>
              <w:spacing w:after="0"/>
              <w:rPr>
                <w:sz w:val="20"/>
                <w:szCs w:val="20"/>
                <w:color w:val="auto"/>
              </w:rPr>
            </w:pPr>
            <w:r>
              <w:rPr>
                <w:rFonts w:ascii="Arial" w:cs="Arial" w:eastAsia="Arial" w:hAnsi="Arial"/>
                <w:sz w:val="14"/>
                <w:szCs w:val="14"/>
                <w:color w:val="auto"/>
              </w:rPr>
              <w:t>0.1</w:t>
            </w:r>
          </w:p>
        </w:tc>
        <w:tc>
          <w:tcPr>
            <w:tcW w:w="126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6.1</w:t>
            </w:r>
          </w:p>
        </w:tc>
        <w:tc>
          <w:tcPr>
            <w:tcW w:w="9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3.6</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266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60" w:type="dxa"/>
            <w:vAlign w:val="bottom"/>
          </w:tcPr>
          <w:p>
            <w:pPr>
              <w:jc w:val="right"/>
              <w:ind w:right="269"/>
              <w:spacing w:after="0"/>
              <w:rPr>
                <w:sz w:val="20"/>
                <w:szCs w:val="20"/>
                <w:color w:val="auto"/>
              </w:rPr>
            </w:pPr>
            <w:r>
              <w:rPr>
                <w:rFonts w:ascii="Arial" w:cs="Arial" w:eastAsia="Arial" w:hAnsi="Arial"/>
                <w:sz w:val="14"/>
                <w:szCs w:val="14"/>
                <w:color w:val="auto"/>
              </w:rPr>
              <w:t>1.6</w:t>
            </w:r>
          </w:p>
        </w:tc>
        <w:tc>
          <w:tcPr>
            <w:tcW w:w="1040" w:type="dxa"/>
            <w:vAlign w:val="bottom"/>
          </w:tcPr>
          <w:p>
            <w:pPr>
              <w:jc w:val="right"/>
              <w:ind w:right="109"/>
              <w:spacing w:after="0"/>
              <w:rPr>
                <w:sz w:val="20"/>
                <w:szCs w:val="20"/>
                <w:color w:val="auto"/>
              </w:rPr>
            </w:pPr>
            <w:r>
              <w:rPr>
                <w:rFonts w:ascii="Arial" w:cs="Arial" w:eastAsia="Arial" w:hAnsi="Arial"/>
                <w:sz w:val="14"/>
                <w:szCs w:val="14"/>
                <w:color w:val="auto"/>
              </w:rPr>
              <w:t>223.3</w:t>
            </w:r>
          </w:p>
        </w:tc>
        <w:tc>
          <w:tcPr>
            <w:tcW w:w="260" w:type="dxa"/>
            <w:vAlign w:val="bottom"/>
          </w:tcPr>
          <w:p>
            <w:pPr>
              <w:spacing w:after="0"/>
              <w:rPr>
                <w:sz w:val="16"/>
                <w:szCs w:val="16"/>
                <w:color w:val="auto"/>
              </w:rPr>
            </w:pPr>
          </w:p>
        </w:tc>
        <w:tc>
          <w:tcPr>
            <w:tcW w:w="940" w:type="dxa"/>
            <w:vAlign w:val="bottom"/>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66"/>
              <w:spacing w:after="0"/>
              <w:rPr>
                <w:sz w:val="20"/>
                <w:szCs w:val="20"/>
                <w:color w:val="auto"/>
              </w:rPr>
            </w:pPr>
            <w:r>
              <w:rPr>
                <w:rFonts w:ascii="Arial" w:cs="Arial" w:eastAsia="Arial" w:hAnsi="Arial"/>
                <w:sz w:val="14"/>
                <w:szCs w:val="14"/>
                <w:color w:val="auto"/>
              </w:rPr>
              <w:t>0.1</w:t>
            </w:r>
          </w:p>
        </w:tc>
        <w:tc>
          <w:tcPr>
            <w:tcW w:w="1260" w:type="dxa"/>
            <w:vAlign w:val="bottom"/>
          </w:tcPr>
          <w:p>
            <w:pPr>
              <w:jc w:val="right"/>
              <w:ind w:right="369"/>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29"/>
              <w:spacing w:after="0"/>
              <w:rPr>
                <w:sz w:val="20"/>
                <w:szCs w:val="20"/>
                <w:color w:val="auto"/>
              </w:rPr>
            </w:pPr>
            <w:r>
              <w:rPr>
                <w:rFonts w:ascii="Arial" w:cs="Arial" w:eastAsia="Arial" w:hAnsi="Arial"/>
                <w:sz w:val="14"/>
                <w:szCs w:val="14"/>
                <w:color w:val="auto"/>
              </w:rPr>
              <w:t>(0.1)</w:t>
            </w:r>
          </w:p>
        </w:tc>
        <w:tc>
          <w:tcPr>
            <w:tcW w:w="9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 (expense), net</w:t>
            </w:r>
          </w:p>
        </w:tc>
        <w:tc>
          <w:tcPr>
            <w:tcW w:w="106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0.1</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(0.7)</w:t>
            </w: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(0.7)</w:t>
            </w:r>
          </w:p>
        </w:tc>
        <w:tc>
          <w:tcPr>
            <w:tcW w:w="1260" w:type="dxa"/>
            <w:vAlign w:val="bottom"/>
            <w:gridSpan w:val="2"/>
            <w:shd w:val="clear" w:color="auto" w:fill="CCEEFF"/>
          </w:tcPr>
          <w:p>
            <w:pPr>
              <w:jc w:val="right"/>
              <w:ind w:right="226"/>
              <w:spacing w:after="0"/>
              <w:rPr>
                <w:sz w:val="20"/>
                <w:szCs w:val="20"/>
                <w:color w:val="auto"/>
              </w:rPr>
            </w:pPr>
            <w:r>
              <w:rPr>
                <w:rFonts w:ascii="Arial" w:cs="Arial" w:eastAsia="Arial" w:hAnsi="Arial"/>
                <w:sz w:val="14"/>
                <w:szCs w:val="14"/>
                <w:color w:val="auto"/>
              </w:rPr>
              <w:t>(0.5)</w:t>
            </w:r>
          </w:p>
        </w:tc>
        <w:tc>
          <w:tcPr>
            <w:tcW w:w="126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(0.6)</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(0.7)</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5"/>
        </w:trPr>
        <w:tc>
          <w:tcPr>
            <w:tcW w:w="2660" w:type="dxa"/>
            <w:vAlign w:val="bottom"/>
          </w:tcPr>
          <w:p>
            <w:pPr>
              <w:ind w:left="20"/>
              <w:spacing w:after="0" w:line="135" w:lineRule="exact"/>
              <w:rPr>
                <w:sz w:val="20"/>
                <w:szCs w:val="20"/>
                <w:color w:val="auto"/>
              </w:rPr>
            </w:pPr>
            <w:r>
              <w:rPr>
                <w:rFonts w:ascii="Arial" w:cs="Arial" w:eastAsia="Arial" w:hAnsi="Arial"/>
                <w:sz w:val="14"/>
                <w:szCs w:val="14"/>
                <w:color w:val="auto"/>
              </w:rPr>
              <w:t>(Loss) income before (benefit from)</w:t>
            </w:r>
          </w:p>
        </w:tc>
        <w:tc>
          <w:tcPr>
            <w:tcW w:w="1060" w:type="dxa"/>
            <w:vAlign w:val="bottom"/>
            <w:vMerge w:val="restart"/>
          </w:tcPr>
          <w:p>
            <w:pPr>
              <w:jc w:val="right"/>
              <w:ind w:right="229"/>
              <w:spacing w:after="0"/>
              <w:rPr>
                <w:sz w:val="20"/>
                <w:szCs w:val="20"/>
                <w:color w:val="auto"/>
              </w:rPr>
            </w:pPr>
            <w:r>
              <w:rPr>
                <w:rFonts w:ascii="Arial" w:cs="Arial" w:eastAsia="Arial" w:hAnsi="Arial"/>
                <w:sz w:val="14"/>
                <w:szCs w:val="14"/>
                <w:color w:val="auto"/>
              </w:rPr>
              <w:t>(2.1)</w:t>
            </w:r>
          </w:p>
        </w:tc>
        <w:tc>
          <w:tcPr>
            <w:tcW w:w="1040" w:type="dxa"/>
            <w:vAlign w:val="bottom"/>
            <w:vMerge w:val="restart"/>
          </w:tcPr>
          <w:p>
            <w:pPr>
              <w:jc w:val="right"/>
              <w:ind w:right="109"/>
              <w:spacing w:after="0"/>
              <w:rPr>
                <w:sz w:val="20"/>
                <w:szCs w:val="20"/>
                <w:color w:val="auto"/>
              </w:rPr>
            </w:pPr>
            <w:r>
              <w:rPr>
                <w:rFonts w:ascii="Arial" w:cs="Arial" w:eastAsia="Arial" w:hAnsi="Arial"/>
                <w:sz w:val="14"/>
                <w:szCs w:val="14"/>
                <w:color w:val="auto"/>
              </w:rPr>
              <w:t>226.3</w:t>
            </w:r>
          </w:p>
        </w:tc>
        <w:tc>
          <w:tcPr>
            <w:tcW w:w="260" w:type="dxa"/>
            <w:vAlign w:val="bottom"/>
          </w:tcPr>
          <w:p>
            <w:pPr>
              <w:spacing w:after="0"/>
              <w:rPr>
                <w:sz w:val="11"/>
                <w:szCs w:val="11"/>
                <w:color w:val="auto"/>
              </w:rPr>
            </w:pPr>
          </w:p>
        </w:tc>
        <w:tc>
          <w:tcPr>
            <w:tcW w:w="940" w:type="dxa"/>
            <w:vAlign w:val="bottom"/>
            <w:vMerge w:val="restart"/>
          </w:tcPr>
          <w:p>
            <w:pPr>
              <w:jc w:val="right"/>
              <w:ind w:right="269"/>
              <w:spacing w:after="0"/>
              <w:rPr>
                <w:sz w:val="20"/>
                <w:szCs w:val="20"/>
                <w:color w:val="auto"/>
              </w:rPr>
            </w:pPr>
            <w:r>
              <w:rPr>
                <w:rFonts w:ascii="Arial" w:cs="Arial" w:eastAsia="Arial" w:hAnsi="Arial"/>
                <w:sz w:val="14"/>
                <w:szCs w:val="14"/>
                <w:color w:val="auto"/>
              </w:rPr>
              <w:t>7.1</w:t>
            </w:r>
          </w:p>
        </w:tc>
        <w:tc>
          <w:tcPr>
            <w:tcW w:w="880" w:type="dxa"/>
            <w:vAlign w:val="bottom"/>
            <w:vMerge w:val="restart"/>
          </w:tcPr>
          <w:p>
            <w:pPr>
              <w:jc w:val="right"/>
              <w:ind w:right="109"/>
              <w:spacing w:after="0"/>
              <w:rPr>
                <w:sz w:val="20"/>
                <w:szCs w:val="20"/>
                <w:color w:val="auto"/>
              </w:rPr>
            </w:pPr>
            <w:r>
              <w:rPr>
                <w:rFonts w:ascii="Arial" w:cs="Arial" w:eastAsia="Arial" w:hAnsi="Arial"/>
                <w:sz w:val="14"/>
                <w:szCs w:val="14"/>
                <w:color w:val="auto"/>
              </w:rPr>
              <w:t>3.3</w:t>
            </w:r>
          </w:p>
        </w:tc>
        <w:tc>
          <w:tcPr>
            <w:tcW w:w="1260" w:type="dxa"/>
            <w:vAlign w:val="bottom"/>
            <w:gridSpan w:val="2"/>
            <w:vMerge w:val="restart"/>
          </w:tcPr>
          <w:p>
            <w:pPr>
              <w:jc w:val="right"/>
              <w:ind w:right="226"/>
              <w:spacing w:after="0"/>
              <w:rPr>
                <w:sz w:val="20"/>
                <w:szCs w:val="20"/>
                <w:color w:val="auto"/>
              </w:rPr>
            </w:pPr>
            <w:r>
              <w:rPr>
                <w:rFonts w:ascii="Arial" w:cs="Arial" w:eastAsia="Arial" w:hAnsi="Arial"/>
                <w:sz w:val="14"/>
                <w:szCs w:val="14"/>
                <w:color w:val="auto"/>
              </w:rPr>
              <w:t>(0.2)</w:t>
            </w:r>
          </w:p>
        </w:tc>
        <w:tc>
          <w:tcPr>
            <w:tcW w:w="1260" w:type="dxa"/>
            <w:vAlign w:val="bottom"/>
            <w:vMerge w:val="restart"/>
          </w:tcPr>
          <w:p>
            <w:pPr>
              <w:jc w:val="right"/>
              <w:ind w:right="369"/>
              <w:spacing w:after="0"/>
              <w:rPr>
                <w:sz w:val="20"/>
                <w:szCs w:val="20"/>
                <w:color w:val="auto"/>
              </w:rPr>
            </w:pPr>
            <w:r>
              <w:rPr>
                <w:rFonts w:ascii="Arial" w:cs="Arial" w:eastAsia="Arial" w:hAnsi="Arial"/>
                <w:sz w:val="14"/>
                <w:szCs w:val="14"/>
                <w:color w:val="auto"/>
              </w:rPr>
              <w:t>5.5</w:t>
            </w:r>
          </w:p>
        </w:tc>
        <w:tc>
          <w:tcPr>
            <w:tcW w:w="960" w:type="dxa"/>
            <w:vAlign w:val="bottom"/>
            <w:vMerge w:val="restart"/>
          </w:tcPr>
          <w:p>
            <w:pPr>
              <w:jc w:val="right"/>
              <w:ind w:right="269"/>
              <w:spacing w:after="0"/>
              <w:rPr>
                <w:sz w:val="20"/>
                <w:szCs w:val="20"/>
                <w:color w:val="auto"/>
              </w:rPr>
            </w:pPr>
            <w:r>
              <w:rPr>
                <w:rFonts w:ascii="Arial" w:cs="Arial" w:eastAsia="Arial" w:hAnsi="Arial"/>
                <w:sz w:val="14"/>
                <w:szCs w:val="14"/>
                <w:color w:val="auto"/>
              </w:rPr>
              <w:t>2.8</w:t>
            </w:r>
          </w:p>
        </w:tc>
        <w:tc>
          <w:tcPr>
            <w:tcW w:w="900" w:type="dxa"/>
            <w:vAlign w:val="bottom"/>
            <w:vMerge w:val="restart"/>
          </w:tcPr>
          <w:p>
            <w:pPr>
              <w:jc w:val="right"/>
              <w:ind w:right="8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6"/>
        </w:trPr>
        <w:tc>
          <w:tcPr>
            <w:tcW w:w="26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10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 from) provision for income taxes</w:t>
            </w:r>
          </w:p>
        </w:tc>
        <w:tc>
          <w:tcPr>
            <w:tcW w:w="10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(1.4)</w:t>
            </w:r>
          </w:p>
        </w:tc>
        <w:tc>
          <w:tcPr>
            <w:tcW w:w="104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62.5</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(16.6)</w:t>
            </w:r>
          </w:p>
        </w:tc>
        <w:tc>
          <w:tcPr>
            <w:tcW w:w="8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0.5</w:t>
            </w:r>
          </w:p>
        </w:tc>
        <w:tc>
          <w:tcPr>
            <w:tcW w:w="1260" w:type="dxa"/>
            <w:vAlign w:val="bottom"/>
            <w:gridSpan w:val="2"/>
            <w:shd w:val="clear" w:color="auto" w:fill="CCEEFF"/>
          </w:tcPr>
          <w:p>
            <w:pPr>
              <w:jc w:val="right"/>
              <w:ind w:right="226"/>
              <w:spacing w:after="0"/>
              <w:rPr>
                <w:sz w:val="20"/>
                <w:szCs w:val="20"/>
                <w:color w:val="auto"/>
              </w:rPr>
            </w:pPr>
            <w:r>
              <w:rPr>
                <w:rFonts w:ascii="Arial" w:cs="Arial" w:eastAsia="Arial" w:hAnsi="Arial"/>
                <w:sz w:val="14"/>
                <w:szCs w:val="14"/>
                <w:color w:val="auto"/>
              </w:rPr>
              <w:t>(6.8)</w:t>
            </w:r>
          </w:p>
        </w:tc>
        <w:tc>
          <w:tcPr>
            <w:tcW w:w="126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rPr>
              <w:t>(1.8)</w:t>
            </w:r>
          </w:p>
        </w:tc>
        <w:tc>
          <w:tcPr>
            <w:tcW w:w="96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(33.5)</w:t>
            </w:r>
          </w:p>
        </w:tc>
        <w:tc>
          <w:tcPr>
            <w:tcW w:w="9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2"/>
        </w:trPr>
        <w:tc>
          <w:tcPr>
            <w:tcW w:w="266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1060" w:type="dxa"/>
            <w:vAlign w:val="bottom"/>
          </w:tcPr>
          <w:p>
            <w:pPr>
              <w:jc w:val="right"/>
              <w:ind w:right="89"/>
              <w:spacing w:after="0"/>
              <w:rPr>
                <w:sz w:val="20"/>
                <w:szCs w:val="20"/>
                <w:color w:val="auto"/>
              </w:rPr>
            </w:pPr>
            <w:r>
              <w:rPr>
                <w:rFonts w:ascii="Arial" w:cs="Arial" w:eastAsia="Arial" w:hAnsi="Arial"/>
                <w:sz w:val="14"/>
                <w:szCs w:val="14"/>
                <w:color w:val="auto"/>
              </w:rPr>
              <w:t>(0.7)%</w:t>
            </w:r>
          </w:p>
        </w:tc>
        <w:tc>
          <w:tcPr>
            <w:tcW w:w="1040" w:type="dxa"/>
            <w:vAlign w:val="bottom"/>
          </w:tcPr>
          <w:p>
            <w:pPr>
              <w:jc w:val="right"/>
              <w:spacing w:after="0"/>
              <w:rPr>
                <w:sz w:val="20"/>
                <w:szCs w:val="20"/>
                <w:color w:val="auto"/>
              </w:rPr>
            </w:pPr>
            <w:r>
              <w:rPr>
                <w:rFonts w:ascii="Arial" w:cs="Arial" w:eastAsia="Arial" w:hAnsi="Arial"/>
                <w:sz w:val="14"/>
                <w:szCs w:val="14"/>
                <w:color w:val="auto"/>
              </w:rPr>
              <w:t>163.7 %</w:t>
            </w:r>
          </w:p>
        </w:tc>
        <w:tc>
          <w:tcPr>
            <w:tcW w:w="26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4"/>
                <w:szCs w:val="14"/>
                <w:color w:val="auto"/>
              </w:rPr>
              <w:t>23.8 %</w:t>
            </w:r>
          </w:p>
        </w:tc>
        <w:tc>
          <w:tcPr>
            <w:tcW w:w="880" w:type="dxa"/>
            <w:vAlign w:val="bottom"/>
          </w:tcPr>
          <w:p>
            <w:pPr>
              <w:jc w:val="right"/>
              <w:spacing w:after="0"/>
              <w:rPr>
                <w:sz w:val="20"/>
                <w:szCs w:val="20"/>
                <w:color w:val="auto"/>
              </w:rPr>
            </w:pPr>
            <w:r>
              <w:rPr>
                <w:rFonts w:ascii="Arial" w:cs="Arial" w:eastAsia="Arial" w:hAnsi="Arial"/>
                <w:sz w:val="14"/>
                <w:szCs w:val="14"/>
                <w:color w:val="auto"/>
              </w:rPr>
              <w:t>2.7 %</w:t>
            </w:r>
          </w:p>
        </w:tc>
        <w:tc>
          <w:tcPr>
            <w:tcW w:w="1260" w:type="dxa"/>
            <w:vAlign w:val="bottom"/>
            <w:gridSpan w:val="2"/>
          </w:tcPr>
          <w:p>
            <w:pPr>
              <w:jc w:val="right"/>
              <w:ind w:right="86"/>
              <w:spacing w:after="0"/>
              <w:rPr>
                <w:sz w:val="20"/>
                <w:szCs w:val="20"/>
                <w:color w:val="auto"/>
              </w:rPr>
            </w:pPr>
            <w:r>
              <w:rPr>
                <w:rFonts w:ascii="Arial" w:cs="Arial" w:eastAsia="Arial" w:hAnsi="Arial"/>
                <w:sz w:val="14"/>
                <w:szCs w:val="14"/>
                <w:color w:val="auto"/>
              </w:rPr>
              <w:t>6.6 %</w:t>
            </w:r>
          </w:p>
        </w:tc>
        <w:tc>
          <w:tcPr>
            <w:tcW w:w="1260" w:type="dxa"/>
            <w:vAlign w:val="bottom"/>
          </w:tcPr>
          <w:p>
            <w:pPr>
              <w:jc w:val="right"/>
              <w:ind w:right="209"/>
              <w:spacing w:after="0"/>
              <w:rPr>
                <w:sz w:val="20"/>
                <w:szCs w:val="20"/>
                <w:color w:val="auto"/>
              </w:rPr>
            </w:pPr>
            <w:r>
              <w:rPr>
                <w:rFonts w:ascii="Arial" w:cs="Arial" w:eastAsia="Arial" w:hAnsi="Arial"/>
                <w:sz w:val="14"/>
                <w:szCs w:val="14"/>
                <w:color w:val="auto"/>
              </w:rPr>
              <w:t>7.3 %</w:t>
            </w:r>
          </w:p>
        </w:tc>
        <w:tc>
          <w:tcPr>
            <w:tcW w:w="960" w:type="dxa"/>
            <w:vAlign w:val="bottom"/>
          </w:tcPr>
          <w:p>
            <w:pPr>
              <w:jc w:val="right"/>
              <w:ind w:right="109"/>
              <w:spacing w:after="0"/>
              <w:rPr>
                <w:sz w:val="20"/>
                <w:szCs w:val="20"/>
                <w:color w:val="auto"/>
              </w:rPr>
            </w:pPr>
            <w:r>
              <w:rPr>
                <w:rFonts w:ascii="Arial" w:cs="Arial" w:eastAsia="Arial" w:hAnsi="Arial"/>
                <w:sz w:val="14"/>
                <w:szCs w:val="14"/>
                <w:color w:val="auto"/>
              </w:rPr>
              <w:t>36.3 %</w:t>
            </w:r>
          </w:p>
        </w:tc>
        <w:tc>
          <w:tcPr>
            <w:tcW w:w="900" w:type="dxa"/>
            <w:vAlign w:val="bottom"/>
          </w:tcPr>
          <w:p>
            <w:pPr>
              <w:jc w:val="right"/>
              <w:spacing w:after="0"/>
              <w:rPr>
                <w:sz w:val="20"/>
                <w:szCs w:val="20"/>
                <w:color w:val="auto"/>
              </w:rPr>
            </w:pPr>
            <w:r>
              <w:rPr>
                <w:rFonts w:ascii="Arial" w:cs="Arial" w:eastAsia="Arial" w:hAnsi="Arial"/>
                <w:sz w:val="14"/>
                <w:szCs w:val="14"/>
                <w:color w:val="auto"/>
              </w:rPr>
              <w:t>6.5 %</w:t>
            </w: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experience limited seasonality in our Value+ services revenue, primarily with respect to certain leasing-related services we provide to our property management customers, including our tenant screening services for rental prospects which also impact electronic payment services revenue. Our property management customers historically have processed fewer applications for rental prospects during the fourth quarter. As a result of this seasonal decline in activity, we have typically experienced overall slower sequential revenue growth or a sequential decline in revenue in the fourth quarter of each of our most recent fiscal years. We expect this seasonality to continue in the foreseeable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principal sources of liquidity continue to be comprised of our cash, cash equivalents, and investment securities, as well as cash flows generated from our operations. At December 31, 2020, our cash and cash equivalents and investment securities had an aggregate balance of $175.3 million. During the year ended December 31, 2020, our cash and cash equivalents increased primarily as a result of the proceeds from the MyCase Transaction.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December 31, 2020, we had working capital of $149.5 million, compared to working capital of $14.3 million at December 31, 2019. The increase in our working capital was primarily due to an increase in cash and cash equivalents as a result of the net proceeds from the MyCase Transaction, a decrease in other current liabilities due to the payment of contingent consideration related to the Dynasty acquisition, an increase in investment securities-current, an increase in accounts receivable primarily driven by increased usage of our Value+ services, and a decrease in deferred revenue. The increase in our working capital was partially offset by an increase in income taxes payable related to the MyCase Transaction, and increases in accrued expenses, and accrued employee expenses.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Requirements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12 months.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b w:val="1"/>
          <w:bCs w:val="1"/>
          <w:i w:val="1"/>
          <w:iCs w:val="1"/>
          <w:color w:val="auto"/>
        </w:rPr>
        <w:t>Capital Requirements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Our future capital requirements will depend on many factors, including continued market acceptance of our software solutions, changes in the number of our customers, adoption and utilization of our Value+ services by new and existing customers, the timing and extent of the introduction of new core functionality, products and Value+ services, the timing and extent of our expansion into adjacent or new markets, the timing and extent of our investments across our organization, and the impact of the COVID-19 pandemic on the customers we serve and on our business. In addition, we have in the past entered into, and may in the future enter into, arrangements to acquire or invest in new technologies or markets adjacent to those we serve today or entirely new verticals. Furthermore, our Board of Directors has authorized the repurchase of up to $100.0 million of shares of our Class A common stock from time to time, as directed by a committee consisting of three directors. To date, we have repurchased $4.2 million of our Class A common stock under the Share Repurchase Program. For additional information regarding our share repurchase program, refer to Note 12, </w:t>
      </w:r>
      <w:r>
        <w:rPr>
          <w:rFonts w:ascii="Arial" w:cs="Arial" w:eastAsia="Arial" w:hAnsi="Arial"/>
          <w:sz w:val="16"/>
          <w:szCs w:val="16"/>
          <w:i w:val="1"/>
          <w:iCs w:val="1"/>
          <w:color w:val="auto"/>
        </w:rPr>
        <w:t>Stockholders' Equity</w:t>
      </w:r>
      <w:r>
        <w:rPr>
          <w:rFonts w:ascii="Arial" w:cs="Arial" w:eastAsia="Arial" w:hAnsi="Arial"/>
          <w:sz w:val="16"/>
          <w:szCs w:val="16"/>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the periods indicated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4"/>
                <w:szCs w:val="14"/>
                <w:b w:val="1"/>
                <w:bCs w:val="1"/>
                <w:color w:val="auto"/>
                <w:w w:val="97"/>
              </w:rPr>
              <w:t>Year Ended December 31,</w:t>
            </w:r>
          </w:p>
        </w:tc>
      </w:tr>
      <w:tr>
        <w:trPr>
          <w:trHeight w:val="187"/>
        </w:trPr>
        <w:tc>
          <w:tcPr>
            <w:tcW w:w="89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2019</w:t>
            </w:r>
          </w:p>
        </w:tc>
      </w:tr>
      <w:tr>
        <w:trPr>
          <w:trHeight w:val="224"/>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38,887</w:t>
            </w:r>
          </w:p>
        </w:tc>
      </w:tr>
      <w:tr>
        <w:trPr>
          <w:trHeight w:val="229"/>
        </w:trPr>
        <w:tc>
          <w:tcPr>
            <w:tcW w:w="89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(89,874)</w:t>
            </w: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(7,272)</w:t>
            </w:r>
          </w:p>
        </w:tc>
      </w:tr>
      <w:tr>
        <w:trPr>
          <w:trHeight w:val="223"/>
        </w:trPr>
        <w:tc>
          <w:tcPr>
            <w:tcW w:w="894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(58,259)</w:t>
            </w:r>
          </w:p>
        </w:tc>
      </w:tr>
      <w:tr>
        <w:trPr>
          <w:trHeight w:val="21"/>
        </w:trPr>
        <w:tc>
          <w:tcPr>
            <w:tcW w:w="8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year ended December 31, 2020, cash provided by operating activities was $48.3 million resulting from our net income of $158.4 million, adjusted by the gain related to the MyCase Transaction of $187.7 million, non-cash charges of $68.6 million and a net increase in our operating assets and liabilities of $8.9 million. The non-cash charges primarily consist of a decrease in deferred taxes of $29.0 million, depreciation and amortization costs of $26.8 million, stock-based compensation expense of $9.0 million, and amortization of operating lease right-of-use assets of $3.7 million. The net increase in our operating assets and liabilities was mostly attributable to a $9.4 million increase in other liabilities primarily driven by income taxes payable due to the MyCase Transaction, a $6.9 million increase in accrued expenses which includes a $4.3 million accrual related to legal loss reserves, a $2.8 million increase in accrued employee expenses related to an overall increase in personnel-related costs, and a $0.5 million increase in deferred revenue. These increases were partially offset by a $2.8 million increase in accounts receivable primarily driven by growth of our Value+ services, an increase in prepaid expenses and other current assets of $5.9 million primarily driven by an increase in prepaid expenses to support the growth in our business, an increase in deposits held with a third party related to requirements to maintain collateral for our insurance services, and an increase in deferred costs, and a $0.9 million decrease in accounts payable due to timing of payments.</w:t>
      </w:r>
    </w:p>
    <w:p>
      <w:pPr>
        <w:spacing w:after="0" w:line="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year ended December 31, 2019, cash provided by operating activities was $38.9 million resulting from our net income of $36.3 million, adjusted by non-cash charges of $2.4 million and a net increase in our operating assets and liabilities of $0.2 million. The non-cash charges primarily consist of a one-time benefit of $31.5 million related to the release of the valuation allowance for our deferred tax assets, offset by $22.4 million of depreciation and amortization of our property and equipment, intangible assets, and capitalized software development costs, $7.3 million of stock-based compensation and $4.1 million of amortization of operating lease right-of-use ("ROU") assets. The net increase in our operating assets and liabilities was primarily attributable to an increase of $4.5 million in accrued employee expenses related to an overall increase in personnel-related costs, a $1.4 million decrease in other assets, a $1.2 million increase in other liabilities and a $1.2 million increase in deferred revenue. The increase in our operating assets and liabilities was partially offset by a $4.0 million increase in prepaid expenses and other current assets, a $2.7 million decrease in operating lease liabilities, and a $2.0 million increase in accounts receivable primarily driven by the growth in sales of our Value+ services.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Cash provided by (used in) investing activities is generally comprised of proceeds from divestitures, purchases, maturities and sales of investment securities, purchases of property and equipment, additions to capitalized software development, and cash paid for business acquisitions.</w:t>
      </w:r>
    </w:p>
    <w:p>
      <w:pPr>
        <w:spacing w:after="0" w:line="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year ended December 31, 2020, investing activities provided $146.5 million in cash primarily due to net proceeds from the MyCase Transaction of $191.4 million and the proceeds from maturities and sales of investment securities of $27.3 million and $16.7 million, respectively. These sources of cash were partially offset by purchases of investment securities of $43.9 million, capitalized software development costs of $26.0 million, and capital expenditures of $19.0 million to purchase property and equipment primarily related to the growth and expansion of our headquarters in Santa Barbara, CA, a portion of which was reimbursed through tenant improvement allowances.</w:t>
      </w:r>
    </w:p>
    <w:p>
      <w:pPr>
        <w:spacing w:after="0" w:line="6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year ended December 31, 2019, investing activities used $89.9 million in cash primarily due to $54.0 million used to acquire Dynasty, as well as purchases of investment securities of $25.2 million, capitalized software development costs of $21.0 million for the continued investment in our software development, and capital expenditures of $8.1 million to purchase property, equipment and intangible assets for the continued growth and expansion of our business. These uses were partially offset by sales and maturities of investment securities of $2.8 million and $15.7 million, respectively.</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Cash used in financing activities is generally comprised of proceeds from the exercise of stock options, net share settlements for employee tax withholdings associated with the vesting of RSUs, the payment of contingent consideration under acquisition arrangements, activities associated with our former Credit Facility, and activities related to the repurchase of our Class A common stock.</w:t>
      </w:r>
    </w:p>
    <w:p>
      <w:pPr>
        <w:spacing w:after="0" w:line="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year ended December 31, 2020, financing activities used $70.4 million in cash primarily as a result of the payment of all outstanding amounts due under the Credit Facility of $99.6 million, net share settlements for employee tax withholdings associated with the vesting of RSUs of $12.2 million, payment of contingent consideration related to the Dynasty acquisition of $6.0 million, and the repurchase of outstanding shares of Class A common stock in the amount of $4.2 million. These uses of cash were partially offset by net proceeds from the Revolving Facility of $50.8 million.</w:t>
      </w:r>
    </w:p>
    <w:p>
      <w:pPr>
        <w:spacing w:after="0" w:line="4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For the year ended December 31, 2019, financing activities used $7.3 million in cash primarily as a result of net share settlements for employee tax withholdings associated with the vesting of RSUs of $6.2 million, as well as principal payments on debt of $3.4 million, and payments of debt issuance costs of $0.4 million, partially offset by proceeds from issuance of debt of $2.2 million and proceeds from stock option exercises of $0.6 million.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2020, we did not have any off-balance sheet arrangements.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contractual obligations and other commitments at December 31,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2"/>
              </w:rPr>
              <w:t>Payments Due by Period</w:t>
            </w:r>
          </w:p>
        </w:tc>
        <w:tc>
          <w:tcPr>
            <w:tcW w:w="1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188"/>
        </w:trPr>
        <w:tc>
          <w:tcPr>
            <w:tcW w:w="4620" w:type="dxa"/>
            <w:vAlign w:val="bottom"/>
          </w:tcPr>
          <w:p>
            <w:pPr>
              <w:spacing w:after="0"/>
              <w:rPr>
                <w:sz w:val="16"/>
                <w:szCs w:val="16"/>
                <w:color w:val="auto"/>
              </w:rPr>
            </w:pPr>
          </w:p>
        </w:tc>
        <w:tc>
          <w:tcPr>
            <w:tcW w:w="12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4"/>
                <w:szCs w:val="14"/>
                <w:b w:val="1"/>
                <w:bCs w:val="1"/>
                <w:color w:val="auto"/>
                <w:w w:val="98"/>
              </w:rPr>
              <w:t>Less than 1 year</w:t>
            </w:r>
            <w:r>
              <w:rPr>
                <w:rFonts w:ascii="Arial" w:cs="Arial" w:eastAsia="Arial" w:hAnsi="Arial"/>
                <w:sz w:val="18"/>
                <w:szCs w:val="18"/>
                <w:b w:val="1"/>
                <w:bCs w:val="1"/>
                <w:color w:val="auto"/>
                <w:w w:val="98"/>
                <w:vertAlign w:val="superscript"/>
              </w:rPr>
              <w:t>(1)</w:t>
            </w:r>
          </w:p>
        </w:tc>
        <w:tc>
          <w:tcPr>
            <w:tcW w:w="16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1 to 3 years</w:t>
            </w: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3 to 5 years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More than 5 years</w:t>
            </w:r>
          </w:p>
        </w:tc>
      </w:tr>
      <w:tr>
        <w:trPr>
          <w:trHeight w:val="181"/>
        </w:trPr>
        <w:tc>
          <w:tcPr>
            <w:tcW w:w="4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2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(in thousands)</w:t>
            </w:r>
          </w:p>
        </w:tc>
        <w:tc>
          <w:tcPr>
            <w:tcW w:w="1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1"/>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obligations</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52,692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62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rPr>
              <w:t>9,327</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10,172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34,468</w:t>
            </w:r>
          </w:p>
        </w:tc>
      </w:tr>
    </w:tbl>
    <w:p>
      <w:pPr>
        <w:spacing w:after="0" w:line="150"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Operating lease obligations for the year ending December 31, 2021 are presented net of tenant improvement allowances of $5.2 million.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December 31, 2020, liabilities for unrecognized tax benefits of $6.1 million were not included in our contractual obligations in the table above because, due to their nature, there is a high degree of uncertainty regarding the timing of future cash outflows and other events that would extinguish these liabilities.</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additional information regarding our contractual obligations, commitments and indemnification arrangements, refer to Note 9,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Note 11,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of our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31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Consolidated Financial Statements and the related notes included elsewhere in this Annual Report are prepared in accordance with generally accepted accounting principles in the United States. The preparation of our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 Actual results could differ materially from those estimates.</w:t>
      </w:r>
    </w:p>
    <w:p>
      <w:pPr>
        <w:spacing w:after="0" w:line="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believe that the following critical accounting policies involve a greater degree of judgment or complexity than our other accounting policies. Accordingly, these are the policies we believe are the most critical to a full understanding and evaluation of our Consolidated Financial Statements. For additional information,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Consolidated Financial Statements included elsewhere in this Annual Report.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generate revenue from our customers primarily through subscriptions to access our core solutions and Value+ services for our cloud-based software solutions.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core solutions, implementation services, and customer support. Access and use of our core solutions and implementation services are considered distinct.</w:t>
      </w:r>
    </w:p>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Software development cost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or lease our software, to third parties. We believe there are two key estimates within the capitalized software balance, which are the determination of the useful life of the software and the determination of the amounts to be capitalized.</w:t>
      </w:r>
    </w:p>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 in subsequent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results of a business acquired in a business combination are included in our Consolidated Financial Statements from the date of acquisition. We allocate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We engage the assistance of valuation specialists in concluding on fair value measurements in connection with determining fair values of assets acquired and liabilities assumed in a business combination.</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Acquisition-related transaction costs are not included as a component of consideration transferred, but are accounted for as an operating expense in the period in which the costs are incurred.</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management considers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spacing w:after="0" w:line="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Judgment is required to measure the amount of tax benefits that can be recognized associated with uncertain tax positions. We recognize the tax benefit from an uncertain tax position only if it is more likely than not that the tax position will be sustained on examination by the taxing authorities, based on the technical merits of the position. The tax benefits recognized in our Consolidated Financial Statements from such positions are then measured based on the largest benefit that has a greater than 50% likelihood of being realized. We recognize interest and penalties accrued with respect to uncertain tax positions, if any, in our provision for income taxes in the Consolidated Statements of Operations.</w:t>
      </w:r>
    </w:p>
    <w:p>
      <w:pPr>
        <w:spacing w:after="0" w:line="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determine if an arrangement is a lease at inception. Operating leases are included in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w:t>
      </w:r>
      <w:r>
        <w:rPr>
          <w:rFonts w:ascii="Arial" w:cs="Arial" w:eastAsia="Arial" w:hAnsi="Arial"/>
          <w:sz w:val="17"/>
          <w:szCs w:val="17"/>
          <w:i w:val="1"/>
          <w:iCs w:val="1"/>
          <w:color w:val="auto"/>
        </w:rPr>
        <w:t>operating lease</w:t>
      </w:r>
      <w:r>
        <w:rPr>
          <w:rFonts w:ascii="Arial" w:cs="Arial" w:eastAsia="Arial" w:hAnsi="Arial"/>
          <w:sz w:val="17"/>
          <w:szCs w:val="17"/>
          <w:color w:val="auto"/>
        </w:rPr>
        <w:t xml:space="preserve"> </w:t>
      </w:r>
      <w:r>
        <w:rPr>
          <w:rFonts w:ascii="Arial" w:cs="Arial" w:eastAsia="Arial" w:hAnsi="Arial"/>
          <w:sz w:val="17"/>
          <w:szCs w:val="17"/>
          <w:i w:val="1"/>
          <w:iCs w:val="1"/>
          <w:color w:val="auto"/>
        </w:rPr>
        <w:t>right of use ("ROU") assets</w:t>
      </w:r>
      <w:r>
        <w:rPr>
          <w:rFonts w:ascii="Arial" w:cs="Arial" w:eastAsia="Arial" w:hAnsi="Arial"/>
          <w:sz w:val="17"/>
          <w:szCs w:val="17"/>
          <w:color w:val="auto"/>
        </w:rPr>
        <w:t>,</w:t>
      </w:r>
      <w:r>
        <w:rPr>
          <w:rFonts w:ascii="Arial" w:cs="Arial" w:eastAsia="Arial" w:hAnsi="Arial"/>
          <w:sz w:val="17"/>
          <w:szCs w:val="17"/>
          <w:i w:val="1"/>
          <w:iCs w:val="1"/>
          <w:color w:val="auto"/>
        </w:rPr>
        <w:t xml:space="preserve"> other current liabilities</w:t>
      </w:r>
      <w:r>
        <w:rPr>
          <w:rFonts w:ascii="Arial" w:cs="Arial" w:eastAsia="Arial" w:hAnsi="Arial"/>
          <w:sz w:val="17"/>
          <w:szCs w:val="17"/>
          <w:color w:val="auto"/>
        </w:rPr>
        <w:t>, and</w:t>
      </w:r>
      <w:r>
        <w:rPr>
          <w:rFonts w:ascii="Arial" w:cs="Arial" w:eastAsia="Arial" w:hAnsi="Arial"/>
          <w:sz w:val="17"/>
          <w:szCs w:val="17"/>
          <w:i w:val="1"/>
          <w:iCs w:val="1"/>
          <w:color w:val="auto"/>
        </w:rPr>
        <w:t xml:space="preserve"> operating lease liabilities </w:t>
      </w:r>
      <w:r>
        <w:rPr>
          <w:rFonts w:ascii="Arial" w:cs="Arial" w:eastAsia="Arial" w:hAnsi="Arial"/>
          <w:sz w:val="17"/>
          <w:szCs w:val="17"/>
          <w:color w:val="auto"/>
        </w:rPr>
        <w:t>on our Consolidated Balance Sheets. Operating lease ROU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lease 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or terminate the lease when it is reasonably certain that we will exercise that option.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843"/>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our Consolidated Financial Statements included elsewhere in this Annual Report.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46" w:name="page47"/>
    <w:bookmarkEnd w:id="46"/>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 ABOUT MARKET RISK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At December 31, 2020, we had cash and cash equivalents of $140.3 million consisting of bank deposits, money market funds, and treasury securities, and $35.0 million of investment securities consisting of United States government agency securities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At December 31, 2020, a hypothetical 100 basis point change in interest rates would not have resulted in a material change in the fair value of our investment securities. This estimate is based on a sensitivity model which measured an instant change in interest rates by 100 basis points at December 31, 2020.</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Prior to its termination in connection with the MyCase Transaction, we were exposed to interest rate risk as a result of our Credit Facility. Outstanding borrowings under the Credit Facility accrued interest as described in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Consolidated Financial Statements. Our borrowings under the Credit Facility were subject to interest rate fluctuations, which could have had a material impact on our cash flows and results of operations depending on the magnitude of the fluctuations and the outstanding borrowings. In order to determine the potential impact of changes in interest rates on our cash flows and result of operations, we performed a sensitivity analysis. A hypothetical 100 basis point increase in interest rates during the year ended December 31, 2020 would not have had a material impact on our cash flows or results of operations. In connection with the MyCase Transaction, and as required by the terms of the Credit Agreement, the Credit Agreement was terminated and all obligations outstanding under the Term Loan and Revolving Facility thereunder, including all guarantees and security interests granted with respect to such obligations, were satisfied in full with proceeds from the MyCase Transaction and extinguished.</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not been exposed to, nor do we anticipate being exposed to, material risks relating to foreign currency exchange rate fluctuations.</w:t>
      </w:r>
    </w:p>
    <w:p>
      <w:pPr>
        <w:spacing w:after="0" w:line="20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720" w:type="dxa"/>
            <w:vAlign w:val="bottom"/>
          </w:tcPr>
          <w:p>
            <w:pPr>
              <w:ind w:left="3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0"/>
                <w:szCs w:val="20"/>
                <w:color w:val="auto"/>
              </w:rPr>
            </w:pPr>
          </w:p>
        </w:tc>
      </w:tr>
      <w:tr>
        <w:trPr>
          <w:trHeight w:val="337"/>
        </w:trPr>
        <w:tc>
          <w:tcPr>
            <w:tcW w:w="9720" w:type="dxa"/>
            <w:vAlign w:val="bottom"/>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22"/>
        </w:trPr>
        <w:tc>
          <w:tcPr>
            <w:tcW w:w="9720" w:type="dxa"/>
            <w:vAlign w:val="bottom"/>
          </w:tcPr>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Report of Independent Registered Public Accounting Firm</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48">
              <w:r>
                <w:rPr>
                  <w:rFonts w:ascii="Arial" w:cs="Arial" w:eastAsia="Arial" w:hAnsi="Arial"/>
                  <w:sz w:val="18"/>
                  <w:szCs w:val="18"/>
                  <w:u w:val="single" w:color="auto"/>
                  <w:color w:val="0000FF"/>
                  <w:w w:val="89"/>
                </w:rPr>
                <w:t>45</w:t>
              </w:r>
            </w:hyperlink>
          </w:p>
        </w:tc>
      </w:tr>
      <w:tr>
        <w:trPr>
          <w:trHeight w:val="229"/>
        </w:trPr>
        <w:tc>
          <w:tcPr>
            <w:tcW w:w="9720" w:type="dxa"/>
            <w:vAlign w:val="bottom"/>
          </w:tcPr>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Consolidated Balance Sheets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49">
              <w:r>
                <w:rPr>
                  <w:rFonts w:ascii="Arial" w:cs="Arial" w:eastAsia="Arial" w:hAnsi="Arial"/>
                  <w:sz w:val="18"/>
                  <w:szCs w:val="18"/>
                  <w:u w:val="single" w:color="auto"/>
                  <w:color w:val="0000FF"/>
                  <w:w w:val="89"/>
                </w:rPr>
                <w:t>47</w:t>
              </w:r>
            </w:hyperlink>
          </w:p>
        </w:tc>
      </w:tr>
      <w:tr>
        <w:trPr>
          <w:trHeight w:val="230"/>
        </w:trPr>
        <w:tc>
          <w:tcPr>
            <w:tcW w:w="9720" w:type="dxa"/>
            <w:vAlign w:val="bottom"/>
          </w:tcPr>
          <w:p>
            <w:pPr>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Consolidated Statements of Operations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50">
              <w:r>
                <w:rPr>
                  <w:rFonts w:ascii="Arial" w:cs="Arial" w:eastAsia="Arial" w:hAnsi="Arial"/>
                  <w:sz w:val="18"/>
                  <w:szCs w:val="18"/>
                  <w:u w:val="single" w:color="auto"/>
                  <w:color w:val="0000FF"/>
                  <w:w w:val="89"/>
                </w:rPr>
                <w:t>48</w:t>
              </w:r>
            </w:hyperlink>
          </w:p>
        </w:tc>
      </w:tr>
      <w:tr>
        <w:trPr>
          <w:trHeight w:val="230"/>
        </w:trPr>
        <w:tc>
          <w:tcPr>
            <w:tcW w:w="9720" w:type="dxa"/>
            <w:vAlign w:val="bottom"/>
          </w:tcPr>
          <w:p>
            <w:pPr>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Consolidated Statements of Comprehensive Income</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51">
              <w:r>
                <w:rPr>
                  <w:rFonts w:ascii="Arial" w:cs="Arial" w:eastAsia="Arial" w:hAnsi="Arial"/>
                  <w:sz w:val="18"/>
                  <w:szCs w:val="18"/>
                  <w:u w:val="single" w:color="auto"/>
                  <w:color w:val="0000FF"/>
                  <w:w w:val="89"/>
                </w:rPr>
                <w:t>49</w:t>
              </w:r>
            </w:hyperlink>
          </w:p>
        </w:tc>
      </w:tr>
      <w:tr>
        <w:trPr>
          <w:trHeight w:val="230"/>
        </w:trPr>
        <w:tc>
          <w:tcPr>
            <w:tcW w:w="9720" w:type="dxa"/>
            <w:vAlign w:val="bottom"/>
          </w:tcPr>
          <w:p>
            <w:pPr>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Consolidated Statements of Stockholders' Equity</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52">
              <w:r>
                <w:rPr>
                  <w:rFonts w:ascii="Arial" w:cs="Arial" w:eastAsia="Arial" w:hAnsi="Arial"/>
                  <w:sz w:val="18"/>
                  <w:szCs w:val="18"/>
                  <w:u w:val="single" w:color="auto"/>
                  <w:color w:val="0000FF"/>
                  <w:w w:val="89"/>
                </w:rPr>
                <w:t>50</w:t>
              </w:r>
            </w:hyperlink>
          </w:p>
        </w:tc>
      </w:tr>
      <w:tr>
        <w:trPr>
          <w:trHeight w:val="229"/>
        </w:trPr>
        <w:tc>
          <w:tcPr>
            <w:tcW w:w="9720" w:type="dxa"/>
            <w:vAlign w:val="bottom"/>
          </w:tcPr>
          <w:p>
            <w:pPr>
              <w:spacing w:after="0"/>
              <w:rPr>
                <w:rFonts w:ascii="Arial" w:cs="Arial" w:eastAsia="Arial" w:hAnsi="Arial"/>
                <w:sz w:val="18"/>
                <w:szCs w:val="18"/>
                <w:u w:val="single" w:color="auto"/>
                <w:color w:val="0000FF"/>
              </w:rPr>
            </w:pPr>
            <w:hyperlink w:anchor="page53">
              <w:r>
                <w:rPr>
                  <w:rFonts w:ascii="Arial" w:cs="Arial" w:eastAsia="Arial" w:hAnsi="Arial"/>
                  <w:sz w:val="18"/>
                  <w:szCs w:val="18"/>
                  <w:u w:val="single" w:color="auto"/>
                  <w:color w:val="0000FF"/>
                </w:rPr>
                <w:t>Consolidated Statements of Cash Flows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53">
              <w:r>
                <w:rPr>
                  <w:rFonts w:ascii="Arial" w:cs="Arial" w:eastAsia="Arial" w:hAnsi="Arial"/>
                  <w:sz w:val="18"/>
                  <w:szCs w:val="18"/>
                  <w:u w:val="single" w:color="auto"/>
                  <w:color w:val="0000FF"/>
                  <w:w w:val="89"/>
                </w:rPr>
                <w:t>51</w:t>
              </w:r>
            </w:hyperlink>
          </w:p>
        </w:tc>
      </w:tr>
      <w:tr>
        <w:trPr>
          <w:trHeight w:val="230"/>
        </w:trPr>
        <w:tc>
          <w:tcPr>
            <w:tcW w:w="9720" w:type="dxa"/>
            <w:vAlign w:val="bottom"/>
          </w:tcPr>
          <w:p>
            <w:pPr>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Notes to Consolidated Financial Statements</w:t>
              </w:r>
            </w:hyperlink>
          </w:p>
        </w:tc>
        <w:tc>
          <w:tcPr>
            <w:tcW w:w="1460" w:type="dxa"/>
            <w:vAlign w:val="bottom"/>
          </w:tcPr>
          <w:p>
            <w:pPr>
              <w:jc w:val="center"/>
              <w:spacing w:after="0"/>
              <w:rPr>
                <w:rFonts w:ascii="Arial" w:cs="Arial" w:eastAsia="Arial" w:hAnsi="Arial"/>
                <w:sz w:val="18"/>
                <w:szCs w:val="18"/>
                <w:u w:val="single" w:color="auto"/>
                <w:color w:val="0000FF"/>
                <w:w w:val="89"/>
              </w:rPr>
            </w:pPr>
            <w:hyperlink w:anchor="page55">
              <w:r>
                <w:rPr>
                  <w:rFonts w:ascii="Arial" w:cs="Arial" w:eastAsia="Arial" w:hAnsi="Arial"/>
                  <w:sz w:val="18"/>
                  <w:szCs w:val="18"/>
                  <w:u w:val="single" w:color="auto"/>
                  <w:color w:val="0000FF"/>
                  <w:w w:val="89"/>
                </w:rPr>
                <w:t>53</w:t>
              </w:r>
            </w:hyperlink>
          </w:p>
        </w:tc>
      </w:tr>
    </w:tbl>
    <w:p>
      <w:pPr>
        <w:spacing w:after="0" w:line="269" w:lineRule="exact"/>
        <w:rPr>
          <w:sz w:val="20"/>
          <w:szCs w:val="20"/>
          <w:color w:val="auto"/>
        </w:rPr>
      </w:pPr>
    </w:p>
    <w:p>
      <w:pPr>
        <w:ind w:left="40" w:right="260"/>
        <w:spacing w:after="0" w:line="235" w:lineRule="auto"/>
        <w:rPr>
          <w:sz w:val="20"/>
          <w:szCs w:val="20"/>
          <w:color w:val="auto"/>
        </w:rPr>
      </w:pPr>
      <w:r>
        <w:rPr>
          <w:rFonts w:ascii="Arial" w:cs="Arial" w:eastAsia="Arial" w:hAnsi="Arial"/>
          <w:sz w:val="18"/>
          <w:szCs w:val="18"/>
          <w:color w:val="auto"/>
        </w:rPr>
        <w:t>The supplementary financial information required by this Item 8 is included in Item 7 of this Annual Report in the section entitled "Quarterly Results of Operations."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AppFolio,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We have audited the accompanying consolidated balance sheets of AppFolio, Inc. and its subsidiaries (the “Company”) as of December 31, 2020 and 2019, and the related consolidated statements of operations, of comprehensive income, of stockholders’ equity and of cash flows for each of the three years in the period ended December 31, 2020, including the related notes (collectively referred to as the “consolidated financial statements”). We also have audited the Company's internal control over financial reporting as of December 31, 2020,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described in Notes 2 and 14 to the consolidated financial statements, the Company has recorded reserves for unrecognized tax benefits from uncertain tax positions of $6.1 million as of December 31, 2020. Judgment is required to measure the amount of tax benefits that can be recognized associated with uncertain tax positions. Management recognizes the tax benefit from an uncertain tax position only if it is more likely than not that the tax position will be sustained on examination by the taxing authorities, based on the technical merits of the position. The tax benefits recognized from such positions are then measured based on the largest benefit that has a greater than 50% likelihood of being realized.</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principal considerations for our determination that performing procedures relating to uncertain tax positions is a critical audit matter are (i) the significant judgment by management when determining uncertain tax positions and measuring the amount of reserve required to be recognized, (ii) the significant auditor judgment, subjectivity, and effort in performing procedures and evaluating audit evidence related to management’s identification of uncertain tax positions and measurement of the amount of tax benefits recognized associated with uncertain tax positions, and (iii) the audit effort involved the use of professionals with specialized skill and knowledge.</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identification and recognition of the reserves for uncertain tax positions. These procedures also included, among others (i) evaluating management’s process for identifying uncertain tax positions and measuring the amount of the reserve required, (ii) testing the completeness of management’s assessment of the identification of uncertain tax positions, and</w:t>
      </w:r>
    </w:p>
    <w:p>
      <w:pPr>
        <w:spacing w:after="0" w:line="1" w:lineRule="exact"/>
        <w:rPr>
          <w:sz w:val="20"/>
          <w:szCs w:val="20"/>
          <w:color w:val="auto"/>
        </w:rPr>
      </w:pPr>
    </w:p>
    <w:p>
      <w:pPr>
        <w:jc w:val="both"/>
        <w:ind w:right="20" w:firstLine="8"/>
        <w:spacing w:after="0" w:line="239"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testing the reasonableness of management’s assessment of the technical merits of the tax positions and estimates of the amount of tax benefit expected to be realized. Professionals with specialized skill and knowledge were used to assist in the evaluation of the Company’s uncertain tax positions related to the application of relevant tax laws.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140,263</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15,813</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Investment securities—current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28,256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22,876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7,562</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15,540</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199,353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61,791</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6,770</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12,089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14,744</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30,561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27,803</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30,023</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56,147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58,425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Deferred taxes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12,181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27,574</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6,276</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389,480</w:t>
            </w:r>
          </w:p>
        </w:tc>
        <w:tc>
          <w:tcPr>
            <w:tcW w:w="140" w:type="dxa"/>
            <w:vAlign w:val="bottom"/>
          </w:tcPr>
          <w:p>
            <w:pPr>
              <w:spacing w:after="0"/>
              <w:rPr>
                <w:sz w:val="17"/>
                <w:szCs w:val="17"/>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260,102</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Accrued employee expenses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18,888</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17,758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10,833</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2,262</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4,600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4,451</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11,139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Term loan, net—current portion</w:t>
            </w:r>
          </w:p>
        </w:tc>
        <w:tc>
          <w:tcPr>
            <w:tcW w:w="9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49,805</w:t>
            </w:r>
          </w:p>
        </w:tc>
        <w:tc>
          <w:tcPr>
            <w:tcW w:w="1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47,465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33,312</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Term loan, net</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47,375</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13,609</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103,560</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128,152</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11)</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Preferred stock, $0.0001 par value, 25,000 shares authorized and no shares issued and outstanding as of December 31,</w:t>
            </w:r>
          </w:p>
        </w:tc>
        <w:tc>
          <w:tcPr>
            <w:tcW w:w="98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2020 and December 31, 2019</w:t>
            </w:r>
          </w:p>
        </w:tc>
        <w:tc>
          <w:tcPr>
            <w:tcW w:w="98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6"/>
              </w:rPr>
              <w:t>Class A common stock, $0.0001 par value, 250,000 shares authorized as of December 31, 2020 and December 31,</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tcPr>
          <w:p>
            <w:pPr>
              <w:ind w:left="20"/>
              <w:spacing w:after="0" w:line="162" w:lineRule="exact"/>
              <w:rPr>
                <w:sz w:val="20"/>
                <w:szCs w:val="20"/>
                <w:color w:val="auto"/>
              </w:rPr>
            </w:pPr>
            <w:r>
              <w:rPr>
                <w:rFonts w:ascii="Arial" w:cs="Arial" w:eastAsia="Arial" w:hAnsi="Arial"/>
                <w:sz w:val="16"/>
                <w:szCs w:val="16"/>
                <w:color w:val="auto"/>
                <w:w w:val="95"/>
              </w:rPr>
              <w:t>2019; 19,148 and 16,923 shares issued as of December 31, 2020 and December 31, 2019, respectively; 18,729 and</w:t>
            </w:r>
          </w:p>
        </w:tc>
        <w:tc>
          <w:tcPr>
            <w:tcW w:w="9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16,552 shares outstanding as of December 31, 2020 and December 31, 2019, respectively</w:t>
            </w:r>
          </w:p>
        </w:tc>
        <w:tc>
          <w:tcPr>
            <w:tcW w:w="9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Class B common stock, $0.0001 par value, 50,000 shares authorized as of December 31, 2020 and December 31, 2019;</w:t>
            </w:r>
          </w:p>
        </w:tc>
        <w:tc>
          <w:tcPr>
            <w:tcW w:w="9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15,659 and 17,594 shares issued and outstanding as of December 31, 2020 and December 31, 2019, respectively</w:t>
            </w:r>
          </w:p>
        </w:tc>
        <w:tc>
          <w:tcPr>
            <w:tcW w:w="980" w:type="dxa"/>
            <w:vAlign w:val="bottom"/>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161,247</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161,509</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income</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6"/>
              </w:rPr>
              <w:t>Treasury stock, at cost, 419 and 371 shares of Class A common stock as of December 31, 2020 and December 31,</w:t>
            </w:r>
          </w:p>
        </w:tc>
        <w:tc>
          <w:tcPr>
            <w:tcW w:w="9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3"/>
              </w:rPr>
              <w:t>(25,756)</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(21,562)</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2019, respectively</w:t>
            </w:r>
          </w:p>
        </w:tc>
        <w:tc>
          <w:tcPr>
            <w:tcW w:w="9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 (accumulated deficit)</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150,369</w:t>
            </w:r>
          </w:p>
        </w:tc>
        <w:tc>
          <w:tcPr>
            <w:tcW w:w="14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0" w:type="dxa"/>
            <w:vAlign w:val="bottom"/>
          </w:tcPr>
          <w:p>
            <w:pPr>
              <w:spacing w:after="0"/>
              <w:rPr>
                <w:sz w:val="1"/>
                <w:szCs w:val="1"/>
                <w:color w:val="auto"/>
              </w:rPr>
            </w:pPr>
          </w:p>
        </w:tc>
      </w:tr>
      <w:tr>
        <w:trPr>
          <w:trHeight w:val="206"/>
        </w:trPr>
        <w:tc>
          <w:tcPr>
            <w:tcW w:w="79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w:t>
            </w:r>
          </w:p>
        </w:tc>
        <w:tc>
          <w:tcPr>
            <w:tcW w:w="9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285,920</w:t>
            </w:r>
          </w:p>
        </w:tc>
        <w:tc>
          <w:tcPr>
            <w:tcW w:w="14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131,950</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389,480</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260,102</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the Consolidated Financial Statements are an integral part of these statements.</w:t>
      </w:r>
    </w:p>
    <w:p>
      <w:pPr>
        <w:sectPr>
          <w:pgSz w:w="11900" w:h="16838" w:orient="portrait"/>
          <w:cols w:equalWidth="0" w:num="1">
            <w:col w:w="11220"/>
          </w:cols>
          <w:pgMar w:left="320" w:top="999"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type w:val="continuous"/>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190,071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depreciation and amortization)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73,549</w:t>
            </w:r>
          </w:p>
        </w:tc>
      </w:tr>
      <w:tr>
        <w:trPr>
          <w:trHeight w:val="230"/>
        </w:trPr>
        <w:tc>
          <w:tcPr>
            <w:tcW w:w="672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33,288</w:t>
            </w:r>
          </w:p>
        </w:tc>
      </w:tr>
      <w:tr>
        <w:trPr>
          <w:trHeight w:val="229"/>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product development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24,111</w:t>
            </w:r>
          </w:p>
        </w:tc>
      </w:tr>
      <w:tr>
        <w:trPr>
          <w:trHeight w:val="229"/>
        </w:trPr>
        <w:tc>
          <w:tcPr>
            <w:tcW w:w="67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34,478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24,891</w:t>
            </w:r>
          </w:p>
        </w:tc>
      </w:tr>
      <w:tr>
        <w:trPr>
          <w:trHeight w:val="230"/>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w:t>
            </w:r>
          </w:p>
        </w:tc>
      </w:tr>
      <w:tr>
        <w:trPr>
          <w:trHeight w:val="223"/>
        </w:trPr>
        <w:tc>
          <w:tcPr>
            <w:tcW w:w="6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operating expenses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170,415</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19,656</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188,897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Income before provision for (benefit from) income taxes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196,831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20,387</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158,403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36,282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19,967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common share:</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9"/>
        </w:trPr>
        <w:tc>
          <w:tcPr>
            <w:tcW w:w="6720" w:type="dxa"/>
            <w:vAlign w:val="bottom"/>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0.59</w:t>
            </w: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r>
      <w:tr>
        <w:trPr>
          <w:trHeight w:val="230"/>
        </w:trPr>
        <w:tc>
          <w:tcPr>
            <w:tcW w:w="67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35,713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35,562</w:t>
            </w:r>
          </w:p>
        </w:tc>
      </w:tr>
    </w:tbl>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19,967</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7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unrealized gains on investment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158,426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19,998</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242" w:right="35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Retained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0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(Accumulated</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60" w:type="dxa"/>
            <w:vAlign w:val="bottom"/>
          </w:tcPr>
          <w:p>
            <w:pPr>
              <w:spacing w:after="0"/>
              <w:rPr>
                <w:sz w:val="16"/>
                <w:szCs w:val="16"/>
                <w:color w:val="auto"/>
              </w:rPr>
            </w:pPr>
          </w:p>
        </w:tc>
        <w:tc>
          <w:tcPr>
            <w:tcW w:w="1260" w:type="dxa"/>
            <w:vAlign w:val="bottom"/>
            <w:gridSpan w:val="3"/>
          </w:tcPr>
          <w:p>
            <w:pPr>
              <w:jc w:val="right"/>
              <w:ind w:right="188"/>
              <w:spacing w:after="0"/>
              <w:rPr>
                <w:sz w:val="20"/>
                <w:szCs w:val="20"/>
                <w:color w:val="auto"/>
              </w:rPr>
            </w:pPr>
            <w:r>
              <w:rPr>
                <w:rFonts w:ascii="Arial" w:cs="Arial" w:eastAsia="Arial" w:hAnsi="Arial"/>
                <w:sz w:val="14"/>
                <w:szCs w:val="14"/>
                <w:b w:val="1"/>
                <w:bCs w:val="1"/>
                <w:color w:val="auto"/>
              </w:rPr>
              <w:t>Class A</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22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6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80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2017</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14,879</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152,531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(67,247)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85,079</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1,035</w:t>
            </w: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7,187</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line="135" w:lineRule="exact"/>
              <w:rPr>
                <w:sz w:val="20"/>
                <w:szCs w:val="20"/>
                <w:color w:val="auto"/>
              </w:rPr>
            </w:pPr>
            <w:r>
              <w:rPr>
                <w:rFonts w:ascii="Arial" w:cs="Arial" w:eastAsia="Arial" w:hAnsi="Arial"/>
                <w:sz w:val="14"/>
                <w:szCs w:val="14"/>
                <w:color w:val="auto"/>
              </w:rPr>
              <w:t>Vesting of restricted stock units, net of</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(2,890)</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shares withheld for taxes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early exercised shares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line="135" w:lineRule="exact"/>
              <w:rPr>
                <w:sz w:val="20"/>
                <w:szCs w:val="20"/>
                <w:color w:val="auto"/>
              </w:rPr>
            </w:pPr>
            <w:r>
              <w:rPr>
                <w:rFonts w:ascii="Arial" w:cs="Arial" w:eastAsia="Arial" w:hAnsi="Arial"/>
                <w:sz w:val="14"/>
                <w:szCs w:val="14"/>
                <w:color w:val="auto"/>
              </w:rPr>
              <w:t>Conversion of Class B stock to Class A</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stock</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of common stock</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(21,562)</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line="135" w:lineRule="exact"/>
              <w:rPr>
                <w:sz w:val="20"/>
                <w:szCs w:val="20"/>
                <w:color w:val="auto"/>
              </w:rPr>
            </w:pPr>
            <w:r>
              <w:rPr>
                <w:rFonts w:ascii="Arial" w:cs="Arial" w:eastAsia="Arial" w:hAnsi="Arial"/>
                <w:sz w:val="14"/>
                <w:szCs w:val="14"/>
                <w:color w:val="auto"/>
              </w:rPr>
              <w:t>Cumulative-effect adjustment resulting</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2,964</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from adoption of ASU 2014-09</w:t>
            </w:r>
          </w:p>
        </w:tc>
        <w:tc>
          <w:tcPr>
            <w:tcW w:w="80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19,967</w:t>
            </w:r>
          </w:p>
        </w:tc>
        <w:tc>
          <w:tcPr>
            <w:tcW w:w="0" w:type="dxa"/>
            <w:vAlign w:val="bottom"/>
          </w:tcPr>
          <w:p>
            <w:pPr>
              <w:spacing w:after="0"/>
              <w:rPr>
                <w:sz w:val="1"/>
                <w:szCs w:val="1"/>
                <w:color w:val="auto"/>
              </w:rPr>
            </w:pPr>
          </w:p>
        </w:tc>
      </w:tr>
      <w:tr>
        <w:trPr>
          <w:trHeight w:val="179"/>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15,789</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18,109</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157,898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(21,562)</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(44,316)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91,846</w:t>
            </w: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8,985</w:t>
            </w:r>
          </w:p>
        </w:tc>
        <w:tc>
          <w:tcPr>
            <w:tcW w:w="0" w:type="dxa"/>
            <w:vAlign w:val="bottom"/>
          </w:tcPr>
          <w:p>
            <w:pPr>
              <w:spacing w:after="0"/>
              <w:rPr>
                <w:sz w:val="1"/>
                <w:szCs w:val="1"/>
                <w:color w:val="auto"/>
              </w:rPr>
            </w:pPr>
          </w:p>
        </w:tc>
      </w:tr>
      <w:tr>
        <w:trPr>
          <w:trHeight w:val="138"/>
        </w:trPr>
        <w:tc>
          <w:tcPr>
            <w:tcW w:w="25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Vesting of early exercised shares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8"/>
        </w:trPr>
        <w:tc>
          <w:tcPr>
            <w:tcW w:w="25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Class B stock to Class A</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Issuance of restricted stock awards</w:t>
            </w: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36,282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36,282</w:t>
            </w:r>
          </w:p>
        </w:tc>
        <w:tc>
          <w:tcPr>
            <w:tcW w:w="0" w:type="dxa"/>
            <w:vAlign w:val="bottom"/>
          </w:tcPr>
          <w:p>
            <w:pPr>
              <w:spacing w:after="0"/>
              <w:rPr>
                <w:sz w:val="1"/>
                <w:szCs w:val="1"/>
                <w:color w:val="auto"/>
              </w:rPr>
            </w:pPr>
          </w:p>
        </w:tc>
      </w:tr>
      <w:tr>
        <w:trPr>
          <w:trHeight w:val="186"/>
        </w:trPr>
        <w:tc>
          <w:tcPr>
            <w:tcW w:w="2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16,552</w:t>
            </w:r>
          </w:p>
        </w:tc>
        <w:tc>
          <w:tcPr>
            <w:tcW w:w="10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17,594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161,509</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(21,562)</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131,950</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11,112</w:t>
            </w:r>
          </w:p>
        </w:tc>
        <w:tc>
          <w:tcPr>
            <w:tcW w:w="0" w:type="dxa"/>
            <w:vAlign w:val="bottom"/>
          </w:tcPr>
          <w:p>
            <w:pPr>
              <w:spacing w:after="0"/>
              <w:rPr>
                <w:sz w:val="1"/>
                <w:szCs w:val="1"/>
                <w:color w:val="auto"/>
              </w:rPr>
            </w:pPr>
          </w:p>
        </w:tc>
      </w:tr>
      <w:tr>
        <w:trPr>
          <w:trHeight w:val="135"/>
        </w:trPr>
        <w:tc>
          <w:tcPr>
            <w:tcW w:w="2560" w:type="dxa"/>
            <w:vAlign w:val="bottom"/>
          </w:tcPr>
          <w:p>
            <w:pPr>
              <w:ind w:left="20"/>
              <w:spacing w:after="0" w:line="135" w:lineRule="exact"/>
              <w:rPr>
                <w:sz w:val="20"/>
                <w:szCs w:val="20"/>
                <w:color w:val="auto"/>
              </w:rPr>
            </w:pPr>
            <w:r>
              <w:rPr>
                <w:rFonts w:ascii="Arial" w:cs="Arial" w:eastAsia="Arial" w:hAnsi="Arial"/>
                <w:sz w:val="14"/>
                <w:szCs w:val="14"/>
                <w:color w:val="auto"/>
              </w:rPr>
              <w:t>Vesting of restricted stock units, net of</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(12,196)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(12,196)</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shares withheld for taxes</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5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Conversion of Class B stock to Class A</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Issuance of restricted stock awards</w:t>
            </w:r>
          </w:p>
        </w:tc>
        <w:tc>
          <w:tcPr>
            <w:tcW w:w="70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color w:val="auto"/>
              </w:rPr>
              <w:t>Repurchase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(4,194)</w:t>
            </w:r>
          </w:p>
        </w:tc>
        <w:tc>
          <w:tcPr>
            <w:tcW w:w="0" w:type="dxa"/>
            <w:vAlign w:val="bottom"/>
          </w:tcPr>
          <w:p>
            <w:pPr>
              <w:spacing w:after="0"/>
              <w:rPr>
                <w:sz w:val="1"/>
                <w:szCs w:val="1"/>
                <w:color w:val="auto"/>
              </w:rPr>
            </w:pPr>
          </w:p>
        </w:tc>
      </w:tr>
      <w:tr>
        <w:trPr>
          <w:trHeight w:val="189"/>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158,403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158,403</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18,729</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15,659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161,247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(25,756)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150,369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285,920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99" w:right="35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APPFOLIO,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r>
      <w:tr>
        <w:trPr>
          <w:trHeight w:val="19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operating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158,403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36,282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19,967</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26,790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22,395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14,576</w:t>
            </w: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operating lease right-of-use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29,002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(31,455)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6,337</w:t>
            </w: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Gain on sale of business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(187,658)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(6,073)</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(4,447)</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614</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employee expenses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3,281</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(4,589)</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Operating lease liabilities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(2,662)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6,067</w:t>
            </w:r>
          </w:p>
        </w:tc>
      </w:tr>
      <w:tr>
        <w:trPr>
          <w:trHeight w:val="207"/>
        </w:trPr>
        <w:tc>
          <w:tcPr>
            <w:tcW w:w="71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36,268</w:t>
            </w:r>
          </w:p>
        </w:tc>
      </w:tr>
      <w:tr>
        <w:trPr>
          <w:trHeight w:val="19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investing activities</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Purchases of available-for-sale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(43,877)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(25,198)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(29,516)</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available-for-sale investments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20,900</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maturities of available-for-sale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32,819</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equipment and intangible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Capitalization of software development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(26,042)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(20,998)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(12,304)</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in business acquisition, net of cash acquired</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(14,441)</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sale of business, net of cash divested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191,427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40" w:type="dxa"/>
            <w:vAlign w:val="bottom"/>
            <w:tcBorders>
              <w:top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146,511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(89,874)</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(4,644)</w:t>
            </w:r>
          </w:p>
        </w:tc>
      </w:tr>
      <w:tr>
        <w:trPr>
          <w:trHeight w:val="193"/>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from financing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stock option exercises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Tax withholding for net share settlement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(3,127)</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contingent consideration</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Proceeds from issuance of debt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50,752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50,138</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payments on debt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Payment of debt issuance costs</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(21,562)</w:t>
            </w:r>
          </w:p>
        </w:tc>
      </w:tr>
      <w:tr>
        <w:trPr>
          <w:trHeight w:val="207"/>
        </w:trPr>
        <w:tc>
          <w:tcPr>
            <w:tcW w:w="71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(70,358)</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(7,272)</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26,346</w:t>
            </w:r>
          </w:p>
        </w:tc>
      </w:tr>
      <w:tr>
        <w:trPr>
          <w:trHeight w:val="212"/>
        </w:trPr>
        <w:tc>
          <w:tcPr>
            <w:tcW w:w="7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57,970</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16,536</w:t>
            </w:r>
          </w:p>
        </w:tc>
      </w:tr>
      <w:tr>
        <w:trPr>
          <w:trHeight w:val="207"/>
        </w:trPr>
        <w:tc>
          <w:tcPr>
            <w:tcW w:w="7140" w:type="dxa"/>
            <w:vAlign w:val="bottom"/>
          </w:tcPr>
          <w:p>
            <w:pPr>
              <w:ind w:left="20"/>
              <w:spacing w:after="0"/>
              <w:rPr>
                <w:sz w:val="20"/>
                <w:szCs w:val="20"/>
                <w:color w:val="auto"/>
              </w:rPr>
            </w:pPr>
            <w:r>
              <w:rPr>
                <w:rFonts w:ascii="Arial" w:cs="Arial" w:eastAsia="Arial" w:hAnsi="Arial"/>
                <w:sz w:val="16"/>
                <w:szCs w:val="16"/>
                <w:color w:val="auto"/>
              </w:rPr>
              <w:t>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140,699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74,506</w:t>
            </w:r>
          </w:p>
        </w:tc>
      </w:tr>
      <w:tr>
        <w:trPr>
          <w:trHeight w:val="23"/>
        </w:trPr>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1" w:right="339" w:bottom="1440" w:gutter="0" w:footer="0" w:header="0"/>
        </w:sectPr>
      </w:pPr>
    </w:p>
    <w:bookmarkStart w:id="54" w:name="page55"/>
    <w:bookmarkEnd w:id="54"/>
    <w:p>
      <w:pPr>
        <w:jc w:val="center"/>
        <w:spacing w:after="0"/>
        <w:rPr>
          <w:sz w:val="20"/>
          <w:szCs w:val="20"/>
          <w:color w:val="auto"/>
        </w:rPr>
      </w:pPr>
      <w:r>
        <w:rPr>
          <w:rFonts w:ascii="Arial" w:cs="Arial" w:eastAsia="Arial" w:hAnsi="Arial"/>
          <w:sz w:val="16"/>
          <w:szCs w:val="16"/>
          <w:b w:val="1"/>
          <w:bCs w:val="1"/>
          <w:color w:val="auto"/>
        </w:rPr>
        <w:t>APPFOLIO, INC.</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4"/>
                <w:szCs w:val="14"/>
                <w:b w:val="1"/>
                <w:bCs w:val="1"/>
                <w:color w:val="auto"/>
                <w:w w:val="91"/>
              </w:rPr>
              <w:t>Year Ended December 31,</w:t>
            </w:r>
          </w:p>
        </w:tc>
        <w:tc>
          <w:tcPr>
            <w:tcW w:w="1000" w:type="dxa"/>
            <w:vAlign w:val="bottom"/>
            <w:tcBorders>
              <w:bottom w:val="single" w:sz="8" w:color="auto"/>
            </w:tcBorders>
          </w:tcPr>
          <w:p>
            <w:pPr>
              <w:spacing w:after="0"/>
              <w:rPr>
                <w:sz w:val="16"/>
                <w:szCs w:val="16"/>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r>
      <w:tr>
        <w:trPr>
          <w:trHeight w:val="19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w w:val="94"/>
              </w:rPr>
              <w:t>1,815</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2,169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w w:val="97"/>
              </w:rPr>
              <w:t>Cash paid for amounts included in the measurement of lease liabilities included in operating cash flows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2,198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6,644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7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820" w:type="dxa"/>
            <w:vAlign w:val="bottom"/>
          </w:tcPr>
          <w:p>
            <w:pPr>
              <w:jc w:val="right"/>
              <w:ind w:right="64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370</w:t>
            </w:r>
          </w:p>
        </w:tc>
        <w:tc>
          <w:tcPr>
            <w:tcW w:w="46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3,447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Capitalization of software development costs included in accrued expenses and accrued employee expenses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Stock-based compensation capitalized for software development</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2,087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1,087</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consideration for acquisitions included in other current liabilities</w:t>
            </w: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40" w:type="dxa"/>
            <w:vAlign w:val="bottom"/>
          </w:tcPr>
          <w:p>
            <w:pPr>
              <w:ind w:left="20"/>
              <w:spacing w:after="0"/>
              <w:rPr>
                <w:sz w:val="20"/>
                <w:szCs w:val="20"/>
                <w:color w:val="auto"/>
              </w:rPr>
            </w:pPr>
            <w:r>
              <w:rPr>
                <w:rFonts w:ascii="Arial" w:cs="Arial" w:eastAsia="Arial" w:hAnsi="Arial"/>
                <w:sz w:val="16"/>
                <w:szCs w:val="16"/>
                <w:color w:val="auto"/>
              </w:rPr>
              <w:t>Debt issuance and other financing costs accrued, not paid</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371</w:t>
            </w:r>
          </w:p>
        </w:tc>
      </w:tr>
    </w:tbl>
    <w:p>
      <w:pPr>
        <w:spacing w:after="0" w:line="316" w:lineRule="exact"/>
        <w:rPr>
          <w:sz w:val="20"/>
          <w:szCs w:val="20"/>
          <w:color w:val="auto"/>
        </w:rPr>
      </w:pPr>
    </w:p>
    <w:p>
      <w:pPr>
        <w:jc w:val="both"/>
        <w:ind w:firstLine="187"/>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the Consolidated Balance Sheets to the total of the same such amounts shown above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87"/>
        </w:trPr>
        <w:tc>
          <w:tcPr>
            <w:tcW w:w="7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2018</w:t>
            </w:r>
          </w:p>
        </w:tc>
      </w:tr>
      <w:tr>
        <w:trPr>
          <w:trHeight w:val="211"/>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140,263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74,076</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434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r>
      <w:tr>
        <w:trPr>
          <w:trHeight w:val="23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140,699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16,247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74,506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the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0"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AUDITED FINANCIAL STATEMENTS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AppFolio, Inc. ("we," "us" or "our") provides innovative software, services and data analytics to the real estate industry. Our industry-specific, cloud-based solutions are used primarily by property managers, and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Our solutions and services are designed to be a system of record to automate essential business processes, a system of engagement to enhance business interactions between our customers and their business ecosystems and a system of intelligence designed to leverage data to predict and optimize</w:t>
      </w:r>
    </w:p>
    <w:p>
      <w:pPr>
        <w:jc w:val="both"/>
        <w:spacing w:after="0" w:line="289" w:lineRule="auto"/>
        <w:rPr>
          <w:sz w:val="20"/>
          <w:szCs w:val="20"/>
          <w:color w:val="auto"/>
        </w:rPr>
      </w:pPr>
      <w:r>
        <w:rPr>
          <w:rFonts w:ascii="Arial" w:cs="Arial" w:eastAsia="Arial" w:hAnsi="Arial"/>
          <w:sz w:val="16"/>
          <w:szCs w:val="16"/>
          <w:color w:val="auto"/>
        </w:rPr>
        <w:t>business workflows in order to 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4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years ended December 31, 2020, 2019 and 2018, our revenue was $310.1 million, $256.0 million and $190.1 million, respectively of which $284.7 million, $231.1 million and $172.4 million, respectively, are derived from our software and services offered to the real estate vertical. During certain periods covered by this Annual Report, we also provided software solutions and services to the legal vertical.</w:t>
      </w:r>
    </w:p>
    <w:p>
      <w:pPr>
        <w:spacing w:after="0" w:line="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September 30, 2020, we completed our divestiture of 100% of the issued and outstanding equity interests of MyCase, Inc. ("MyCase"), a former wholly owned subsidiary that provided such legal practice and case management software solutions to our legal customers. We sold MyCase to Mockingbird AcquisitionCo Inc., a Delaware corporation (“Buyer”) affiliated with funds advised by Apax Partners LLP, for $193.0 million pursuant to a Stock Purchase Agreement, dated September 7, 2020 (the “Purchase Agreement”), by and among Buyer, us and MyCase (the “MyCase Transaction”). In connection with the closing of the MyCase Transaction, and in accordance with the terms of the Purchase Agreement, we entered into certain ancillary agreements with MyCase, including relating to certain post-closing transition services to be provided by us to MyCase at fair market value, as well as an intellectual property licensing agreement for certain software and patents for which no ongoing licensing fees will be received. We recognized a pre-tax gain on the sale of $187.7 million on the MyCase Transaction.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United States of America (“GAAP”).</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reclassified certain amounts in our Consolidated Balance Sheet in the prior year to confirm to the current year's presentation.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accompanying Consolidated Financial Statements include the operations of AppFolio, Inc. and its wholly owned subsidiaries. All intercompany balances and transactions have been eliminated in consolidation.</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investment in SecureDocs, Inc. (“SecureDocs”) is accounted for under the equity method of accounting as we have the ability to exert significant influence, but do not control and are not the primary beneficiary of the entity. Our investment in SecureDocs is not material and any income (loss) activity is not material individually or in the aggregate to our Consolidated Financial Statements for any period presented.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fair value of financial instruments, capitalized software development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and valuation and assumptions underlying stock-based compensation and other equity instruments.</w:t>
      </w:r>
    </w:p>
    <w:p>
      <w:pPr>
        <w:spacing w:after="0" w:line="6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During early calendar year 2020, the novel coronavirus disease ("COVID-19") spread globally, including to every state in the United States. The global pandemic has created and may continue to create significant uncertainty in a wide variety of industries and markets and has prompted many federal, state, local, and foreign governments to adopt various orders and restrictions in an attempt to control the spread and mitigate the impact of the disease, which may reduce demand for our core solutions and/or Value+ services, impact the productivity of our workforce, reduce our access to capital, and harm our business and results of operations. These potential impacts are only amplified by the length of time they remain in place, as the cumulative effect upon our customers and their businesses may only exacerbate potential harm to our business and results of operations.</w:t>
      </w:r>
    </w:p>
    <w:p>
      <w:pPr>
        <w:spacing w:after="0" w:line="5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light of the unknown duration and severity of COVID-19, we face a greater degree of uncertainty than normal in making the judgments and estimates needed to apply our significant accounting policies. We assessed certain accounting matters that generally require consideration of forecasted financial information in context with the information reasonably available to us and the unknown future impacts of COVID-19 as of December 31, 2020 and through the date of this report. The accounting matters assessed included, but were not limited to, our allowance for credit losses, the carrying value of goodwill and other long-lived assets, performance-based compensation and income taxes.</w:t>
      </w:r>
    </w:p>
    <w:p>
      <w:pPr>
        <w:spacing w:after="0" w:line="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level of uncertainty regarding the economic and operational impacts of COVID-19 on our business, there may be other judgments and assumptions that we have not considered. Such judgments and assumptions could result in a meaningful impact on our Consolidated Financial Statements in future periods. Actual results could differ from those estimates and any such differences may have a material impact on our Consolidated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chief operating decision maker reviews financial information presented on an aggregated and consolidated basis, together with revenue information for our core solutions, Value+ and other service offerings, principally to make decisions about how to allocate resources and to measure our performance. Accordingly, management has determined that we have one reportable and operating segment.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Financial instruments that potentially subject us to credit risk consist principally of cash, cash equivalents, restricted cash, accounts receivable, investment securities and notes receivable. We maintain cash balances at financial institutions in excess of amounts insured by United States government agencies or payable by the United States government directly. We place our cash with high credit, quality financial institutions. We invest in investment securities with a minimum rating of A by Standard &amp; Poor's or A-1 by Moody's and regularly monitor our investment security portfolio for changes in credit ratings.</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Concentrations of credit risk with respect to accounts receivable and revenue are limited due to a large, diverse customer base. No individual customer represented 10% or more of accounts receivable at December 31, 2020 and 2019 or revenue for the years ended December 31, 2020, 2019 and 2018.</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7" w:name="page58"/>
    <w:bookmarkEnd w:id="57"/>
    <w:p>
      <w:pPr>
        <w:jc w:val="both"/>
        <w:ind w:firstLine="648"/>
        <w:spacing w:after="0" w:line="286" w:lineRule="auto"/>
        <w:rPr>
          <w:sz w:val="20"/>
          <w:szCs w:val="20"/>
          <w:color w:val="auto"/>
        </w:rPr>
      </w:pPr>
      <w:r>
        <w:rPr>
          <w:rFonts w:ascii="Arial" w:cs="Arial" w:eastAsia="Arial" w:hAnsi="Arial"/>
          <w:sz w:val="17"/>
          <w:szCs w:val="17"/>
          <w:color w:val="auto"/>
        </w:rPr>
        <w:t xml:space="preserve">Valuation techniques used to measure fair value must maximize the use of observable inputs and minimize the use of unobservable inputs. Accounting Standard Codification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describes a fair value hierarchy based on three levels of inputs, of which the first two are considered observable and the last unobservable, that may be used to measure fair value, which are the following:</w:t>
      </w:r>
    </w:p>
    <w:p>
      <w:pPr>
        <w:spacing w:after="0" w:line="57"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 or funds.</w:t>
      </w:r>
    </w:p>
    <w:p>
      <w:pPr>
        <w:spacing w:after="0" w:line="117" w:lineRule="exact"/>
        <w:rPr>
          <w:sz w:val="20"/>
          <w:szCs w:val="20"/>
          <w:color w:val="auto"/>
        </w:rPr>
      </w:pPr>
    </w:p>
    <w:p>
      <w:pPr>
        <w:jc w:val="both"/>
        <w:ind w:left="860" w:firstLine="648"/>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Level 1 that are observable, either directly or indirectly, such as quoted prices for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quoted prices in markets that are not active; or other inputs that are observable or can be corroborated by observable market data for substantially the full term of the assets or liabilities.</w:t>
      </w:r>
    </w:p>
    <w:p>
      <w:pPr>
        <w:spacing w:after="0" w:line="76" w:lineRule="exact"/>
        <w:rPr>
          <w:sz w:val="20"/>
          <w:szCs w:val="20"/>
          <w:color w:val="auto"/>
        </w:rPr>
      </w:pPr>
    </w:p>
    <w:p>
      <w:pPr>
        <w:jc w:val="both"/>
        <w:ind w:left="860" w:right="20"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consider all highly liquid investments, readily convertible to cash, and which have a remaining maturity date of three months or less at the date of purchase, to be cash equivalents. Cash and cash equivalents are recorded at fair value and consist primarily of bank deposits, treasury securities, and money market funds.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Restricted cash of $0.4 million at December 31, 2020 and 2019, is comprised of certificates of deposits relating to collateral requirements for customer automated clearing house and credit card chargebacks and minimum collateral requirements for our insurance services, which are recorded in other long-term assets.</w:t>
      </w:r>
    </w:p>
    <w:p>
      <w:pPr>
        <w:spacing w:after="0" w:line="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investment securities currently consist of corporate bonds, United States government agency securities and treasury securities. We classify investment securities as available-for-sale at the time of purchase and reevaluate such classification at each balance sheet date. All investments are recorded at estimated fair value. Unrealized gains and losses for available-for-sale investment securities are included in accumulated other comprehensive income, a component of stockholders’ equity. We classify our investments as current when the period of time between the reporting date and the contractual maturity is twelve months or less and as noncurrent when the period of time between the reporting date and the contractual maturity is more than twelve months.</w:t>
      </w:r>
    </w:p>
    <w:p>
      <w:pPr>
        <w:spacing w:after="0" w:line="5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December 31, 2020.</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Accounts receivable are recorded at the invoiced amount, net of an allowance for credit losses. The allowance for credit losses is based on historical loss experience, the number of days that receivables are past due, and an evaluation of the potential risk of loss associated with delinquent accounts. Accounts receivable considered uncollectible are charged against the allowance for credit losses when identified. We do not have any off-balance sheet credit exposure related to our customers. At December 31, 2020 and 2019, our allowance for credit losses was not material.</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and equipment is stated at cost, less accumulated depreciation. Depreciation is calculated using the straight-line method over the estimated useful lives of assets. The estimated useful lives of our property and equipment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ind w:left="2300"/>
              <w:spacing w:after="0"/>
              <w:rPr>
                <w:sz w:val="20"/>
                <w:szCs w:val="20"/>
                <w:color w:val="auto"/>
              </w:rPr>
            </w:pPr>
            <w:r>
              <w:rPr>
                <w:rFonts w:ascii="Arial" w:cs="Arial" w:eastAsia="Arial" w:hAnsi="Arial"/>
                <w:sz w:val="18"/>
                <w:szCs w:val="18"/>
                <w:b w:val="1"/>
                <w:bCs w:val="1"/>
                <w:color w:val="auto"/>
              </w:rPr>
              <w:t>Asset Type</w:t>
            </w: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90"/>
              </w:rPr>
              <w:t>Depreciation Period</w:t>
            </w:r>
          </w:p>
        </w:tc>
      </w:tr>
      <w:tr>
        <w:trPr>
          <w:trHeight w:val="223"/>
        </w:trPr>
        <w:tc>
          <w:tcPr>
            <w:tcW w:w="5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3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5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to 5 years</w:t>
            </w:r>
          </w:p>
        </w:tc>
      </w:tr>
      <w:tr>
        <w:trPr>
          <w:trHeight w:val="230"/>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Leasehold improvements</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Shorter of remaining life of lease or asset life</w:t>
            </w:r>
          </w:p>
        </w:tc>
      </w:tr>
    </w:tbl>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Repair and maintenance costs are expensed as incurred. Renewals and improvements are capitalized. Assets disposed of or retired are removed from the cost and accumulated depreciation accounts and any resulting gain or loss is reflected 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determine if an arrangement is a lease at inception. Operating leases are 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lease</w:t>
      </w:r>
      <w:r>
        <w:rPr>
          <w:rFonts w:ascii="Arial" w:cs="Arial" w:eastAsia="Arial" w:hAnsi="Arial"/>
          <w:sz w:val="18"/>
          <w:szCs w:val="18"/>
          <w:color w:val="auto"/>
        </w:rPr>
        <w:t xml:space="preserve"> </w:t>
      </w:r>
      <w:r>
        <w:rPr>
          <w:rFonts w:ascii="Arial" w:cs="Arial" w:eastAsia="Arial" w:hAnsi="Arial"/>
          <w:sz w:val="18"/>
          <w:szCs w:val="18"/>
          <w:i w:val="1"/>
          <w:iCs w:val="1"/>
          <w:color w:val="auto"/>
        </w:rPr>
        <w:t>ROU assets</w:t>
      </w:r>
      <w:r>
        <w:rPr>
          <w:rFonts w:ascii="Arial" w:cs="Arial" w:eastAsia="Arial" w:hAnsi="Arial"/>
          <w:sz w:val="18"/>
          <w:szCs w:val="18"/>
          <w:color w:val="auto"/>
        </w:rPr>
        <w:t>,</w:t>
      </w:r>
      <w:r>
        <w:rPr>
          <w:rFonts w:ascii="Arial" w:cs="Arial" w:eastAsia="Arial" w:hAnsi="Arial"/>
          <w:sz w:val="18"/>
          <w:szCs w:val="18"/>
          <w:i w:val="1"/>
          <w:iCs w:val="1"/>
          <w:color w:val="auto"/>
        </w:rPr>
        <w:t xml:space="preserve"> other current liabilities</w:t>
      </w:r>
      <w:r>
        <w:rPr>
          <w:rFonts w:ascii="Arial" w:cs="Arial" w:eastAsia="Arial" w:hAnsi="Arial"/>
          <w:sz w:val="18"/>
          <w:szCs w:val="18"/>
          <w:color w:val="auto"/>
        </w:rPr>
        <w:t>, and</w:t>
      </w:r>
      <w:r>
        <w:rPr>
          <w:rFonts w:ascii="Arial" w:cs="Arial" w:eastAsia="Arial" w:hAnsi="Arial"/>
          <w:sz w:val="18"/>
          <w:szCs w:val="18"/>
          <w:i w:val="1"/>
          <w:iCs w:val="1"/>
          <w:color w:val="auto"/>
        </w:rPr>
        <w:t xml:space="preserve"> operating lease liabilities </w:t>
      </w:r>
      <w:r>
        <w:rPr>
          <w:rFonts w:ascii="Arial" w:cs="Arial" w:eastAsia="Arial" w:hAnsi="Arial"/>
          <w:sz w:val="18"/>
          <w:szCs w:val="18"/>
          <w:color w:val="auto"/>
        </w:rPr>
        <w:t>on our Consolidated Balance Sheets. Operating lease ROU assets and operating lease</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are recognized based on the present value of the future minimum lease payments, over the lease term at commencement date. As none of our leases provide an implicit rate, we use our incremental borrowing rate based on the information available at commencement date in determining the present value of future payments. The operating lease ROU assets also include any lease payments made to the lessor before or at the lease commencement date and excludes lease incentives received and initial direct costs incurred. Our lease terms may include options to extend the lease when it is reasonably certain that we will exercise that option.</w:t>
      </w:r>
    </w:p>
    <w:p>
      <w:pPr>
        <w:spacing w:after="0" w:line="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Lease expense for minimum lease payments is recognized on a straight-line basis over the lease term. We have lease arrangements with lease and non-lease components, which are generally accounted for as a single lease component. Leases with an initial term of twelve months or less are not recorded on the balance sheet; we recognize lease expense for these leases on a straight-line basis over the lease term.</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Software development cost consist of certain payroll and stock compensation costs incurred to develop functionality of our internal-use software solutions. We capitalize certain software development costs for new offerings as well as significant upgrades and enhancements to our existing software solutions. Capitalized software development costs are amortized using the straight-line method over an estimated useful life of three years. We do not transfer ownership of our software, license, or lease our software to third parties. We believe there are two key estimates within the capitalized software balance, which are the determination of the useful life of the software and the determination of the amounts to be capitalized.</w:t>
      </w:r>
    </w:p>
    <w:p>
      <w:pPr>
        <w:spacing w:after="0" w:line="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determined that a three year life is appropriate for our internal-use software based on our best estimate of the useful life of the internally developed software after considering factors such as continuous developments in the technology, obsolescence and anticipated life of the service offering before significant upgrades. Based on our prior experience, internally generated software will generally remain in use for a minimum of three years before being significantly replaced or modified to keep up with evolving customer and company needs. While we do not anticipate any significant changes to this three year estimate, a change in this estimate could produce a material impact on our financial statements.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amount of internal software costs to be capitalized based on the amount of time spent by our software engineers on projects. Costs associated with building or significantly enhancing our software solutions and new internally built software solutions are capitalized, while costs associated with planning new developments and maintaining our software solutions are expensed as incurred. There is judgment involved in estimating the stage of development as well as estimating time allocated to a particular project. A significant change in the time spent on each project could have a material impact on the amount capitalized and related amortization expense.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Goodwill represents the excess of the purchase price over the estimated fair value of the net tangible and identifiable intangible assets acquired in business combinations. Goodwill is tested for impairment at least annually at the reporting unit level or at other times if an event occurs or circumstances change that would more likely than not reduce the fair value of a reporting unit below its carrying amount.</w:t>
      </w:r>
    </w:p>
    <w:p>
      <w:pPr>
        <w:spacing w:after="0" w:line="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the option to assess goodwill for possible impairment by performing a qualitative analysis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that the reporting unit’s carrying value exceeds its fair value.</w:t>
      </w:r>
    </w:p>
    <w:p>
      <w:pPr>
        <w:spacing w:after="0" w:line="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one reporting unit and we test for goodwill impairment annually during the fourth quarter of the calendar year. Additionally, in connection with the disposal of goodwill associated with the MyCase Transaction, we performed a goodwill impairment assessment as of September 30, 2020 on our remaining goodwill balance. Based on the assessments performed at September 30, 2020 and November 1, 2020, we determined it was unlikely that our reporting unit fair value was less than its carrying value and no quantitative impairment test assessment was required. There were no indicators that our goodwill has become impaired since that date, and as such, there was no impairment charges recorded.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losses were recorded for goodwill during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9" w:name="page60"/>
    <w:bookmarkEnd w:id="59"/>
    <w:p>
      <w:pPr>
        <w:jc w:val="both"/>
        <w:ind w:firstLine="648"/>
        <w:spacing w:after="0" w:line="279" w:lineRule="auto"/>
        <w:rPr>
          <w:sz w:val="20"/>
          <w:szCs w:val="20"/>
          <w:color w:val="auto"/>
        </w:rPr>
      </w:pPr>
      <w:r>
        <w:rPr>
          <w:rFonts w:ascii="Arial" w:cs="Arial" w:eastAsia="Arial" w:hAnsi="Arial"/>
          <w:sz w:val="17"/>
          <w:szCs w:val="17"/>
          <w:color w:val="auto"/>
        </w:rPr>
        <w:t>Intangible assets primarily consist of acquired database and technology, non-compete agreements, customer and partner relationships, trademarks and trade names, domain names and patents, which are recorded at cost, less accumulated amortization. We determine the appropriate useful life of our intangible assets by performing an analysis of expected cash flows of the acquired assets. Intangible assets are amortized over their estimated useful lives on a straight-line basis, which approximates the pattern in which the economic benefits of the assets are consumed.</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assess the recoverability of our long-lived assets when events or changes in circumstances indicate that the carrying value of an asset may not be recoverable or that the useful lives of those assets are no longer appropriate. An impairment charge would be recognized when the carrying amount of a long-lived asset or asset group is not recoverable and exceeds its fair value. The carrying amount of a long-lived asset or asset group is not recoverable if it exceeds the sum of the undiscounted cash flows expected to result from the use and eventual disposition of the asset or asset group. There were no impairment charges related to the identified long-lived assets for the years ended December 31, 2020, 2019 and 2018.</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results of a business acquired in a business combination are included in our Consolidated Financial Statements from the date of acquisition. We allocate the purchase price, including the fair value of contingent consideration, to the identifiable assets and liabilities of the acquired business at their acquisition date fair values. The excess of the purchase price over the amount allocated to the identifiable assets and liabilities, if any, is recorded as goodwill.</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 We engage the assistance of valuation specialists in concluding on fair value measurements in connection with determining fair values of assets acquired and liabilities assumed in a business combination.</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Acquisition-related transaction costs are not included as a component of consideration transferred, but are accounted for as an operating expense in the period in which the costs are incurred.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generate revenue from our customers primarily for subscriptions to access our core solutions and Value+ services for our cloud-based software solutions. Revenue is recognized upon transfer of control of promised services in an amount that reflects the consideration we expect to receive in exchange for those services. We enter into contracts that can include various combinations of services, which are generally capable of being distinct, distinct within the context of the contract, and accounted for as separate performance obligations. Revenue is recognized net of any taxes collected from customers, which are subsequently remitted to governmental authorities. Refer to Note 15, </w:t>
      </w:r>
      <w:r>
        <w:rPr>
          <w:rFonts w:ascii="Arial" w:cs="Arial" w:eastAsia="Arial" w:hAnsi="Arial"/>
          <w:sz w:val="17"/>
          <w:szCs w:val="17"/>
          <w:i w:val="1"/>
          <w:iCs w:val="1"/>
          <w:color w:val="auto"/>
        </w:rPr>
        <w:t>Revenue and Other Information</w:t>
      </w:r>
      <w:r>
        <w:rPr>
          <w:rFonts w:ascii="Arial" w:cs="Arial" w:eastAsia="Arial" w:hAnsi="Arial"/>
          <w:sz w:val="17"/>
          <w:szCs w:val="17"/>
          <w:color w:val="auto"/>
        </w:rPr>
        <w:t xml:space="preserve"> for the disaggregated breakdown of revenue between core solutions, Value+ services and other revenue.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Core Solutions</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charge our customers on a subscription basis for our core solutions. Our subscription fees are designed to scale to the size of our customers' businesses. Subscription fees for our core solutions are charged on a per-unit per-month basis for our property management software solution and on a per-user per-month basis for our legal software solution. Our customers do not have rights to the underlying software code of our solutions, and, accordingly, we recognize subscription revenue over time on a straight-line basis over the contract term beginning on the date that our service is made available to the customer. The term of our core solutions subscription agreements typically ranges from one month to one year. We typically invoice our customers for subscription services in monthly or annual installments, in advance of the subscription period.</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Value+ Services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charge our customers on a subscription or usage basis for our Value+ services. Subscription-based fees are charged on a per-unit basis. We typically invoice our customers for subscription-based services in monthly installments, in advance of the subscription period. We recognize revenue for subscription-based services over time on a straight-line basis over the contract term beginning on the date that our service is made available to the customer. Usage-based fees are charged on a flat rate per transaction basis with no minimum usage commitments. We recognize revenue for usage-based services in the period the service is rendered. We generally invoice our customers for usage-based services on a monthly basis for services rendered in the preceding month. In addition, some subscription or usage-based Value+ services, such as fees for electronic payment services, are paid by either our customers or clients of our customers at the time the services are rendered.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0" w:name="page61"/>
    <w:bookmarkEnd w:id="60"/>
    <w:p>
      <w:pPr>
        <w:jc w:val="both"/>
        <w:ind w:firstLine="648"/>
        <w:spacing w:after="0" w:line="259" w:lineRule="auto"/>
        <w:rPr>
          <w:sz w:val="20"/>
          <w:szCs w:val="20"/>
          <w:color w:val="auto"/>
        </w:rPr>
      </w:pPr>
      <w:r>
        <w:rPr>
          <w:rFonts w:ascii="Arial" w:cs="Arial" w:eastAsia="Arial" w:hAnsi="Arial"/>
          <w:sz w:val="18"/>
          <w:szCs w:val="18"/>
          <w:color w:val="auto"/>
        </w:rPr>
        <w:t>We work with third-party partners to provide certain of our Value+ services. For these Value+ services, we evaluate whether we are the principal, and report revenue on a gross basis, or the agent, and report revenue on a net basis. In this assessment we consider if we obtain control of the specified services before they are transferred to the customer, as well as other indicators such as whether we are the party primarily responsible for fulfillment, and whether we have discretion in establishing price.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revenue include fees from one-time services related to the implementation of our software solutions and other recurring or one-time fees related to our customers who are not otherwise using our core solutions. This includes legacy customers of businesses we have acquired where the customers haven't migrated to our core solutions. The fees for implementation and data migration services are billed upon signing our core subscription contract and are not recognized until the core solution is accessible and fully functional for our customer's use. Other services are billed when the services rendered are completed and delivered to the customer or billed in advance and deferred over the subscription period.</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Many of our contracts with customers contain multiple performance obligations. Determining whether products and services are considered distinct performance obligations that should be accounted for separately versus together may require judgment. We account for individual performance obligations separately if they are distinct. The performance obligations for these contracts include access and use of our core solutions, implementation services, and customer support. Access and use of our core solutions and implementation services are considered distinct.</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transaction price is allocated to each performance obligation on a relative standalone selling price basis. Judgment is required to determine the standalone selling price for each distinct performance obligation. We typically have more than one standalone selling price for individual products and services due to the stratification of those products and services by customers and circumstances. In these instances, we determine the standalone selling price based on our overall pricing objectives, taking into consideration customer demographics and other factors. Fees are fixed based on rates specified in the subscription agreements, which do not provide for any refunds or adjustments.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record deferred revenue when cash payments are received in advance of our performance. During the twelve months ended December 31, 2020 and 2019, we recognized revenue of $4.5 million and $3.4 million, respectively, that were included in the deferred revenue balances at December 31, 2019 and 2018, respectively.</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payment terms vary by the type of our customer and the products or services offered. The time between invoicing and when payment is due is not significant. In instances where the timing of revenue recognition differs from the timing of invoicing, we have determined that our contracts do not include a significant financing component.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Practical Expedients</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determining the transaction price, we have applied the practical expedient which allows us not to adjust the consideration for the effects of the time value of money as long as the time between when we transfer the promised service to a customer and when a customer pays is one year or less.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disclose the value of unsatisfied performance obligations for contracts with an original expected term of one year or less.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revenue in proportion to the amount we have the right to invoice for certain core solutions and Value+ services revenue, as that amount corresponds directly with our performance completed to date.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Costs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Deferred costs, which primarily consist of sales commissions, are considered incremental and recoverable costs of obtaining a contract with a customer. These costs are deferred and then amortized on a straight-line basis over a period of benefit that we have determined to be three years. We typically do not pay commissions for contract renewals. We determined the period of benefit by taking into consideration our customer contract term, the useful life of our internal-use software, average customer life, and other factors. Amortization expense for the deferred costs is allocated based on the employee's department and included within sales and marketing expense in the accompanying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1" w:name="page62"/>
    <w:bookmarkEnd w:id="61"/>
    <w:p>
      <w:pPr>
        <w:jc w:val="both"/>
        <w:ind w:firstLine="648"/>
        <w:spacing w:after="0" w:line="257" w:lineRule="auto"/>
        <w:rPr>
          <w:sz w:val="20"/>
          <w:szCs w:val="20"/>
          <w:color w:val="auto"/>
        </w:rPr>
      </w:pPr>
      <w:r>
        <w:rPr>
          <w:rFonts w:ascii="Arial" w:cs="Arial" w:eastAsia="Arial" w:hAnsi="Arial"/>
          <w:sz w:val="18"/>
          <w:szCs w:val="18"/>
          <w:color w:val="auto"/>
        </w:rPr>
        <w:t xml:space="preserve">Deferred costs were $10.3 million and $9.5 million at December 31, 2020 and 2019, respectively, of which $5.5 million and $4.8 million, respectively, are 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and $4.8 million and $4.6 million, respectively, are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accompanying Consolidated Balance Sheets. Amortization expense for deferred costs was $5.8 million, $4.2 million, and $2.0 million for the years ended December 31, 2020, 2019, and 2018, respectively. For the years ended December 31, 2020 and 2019, no impairments were identified in relation to the costs capitalized for the periods presented.</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Cost of revenue includes the fees paid to these third-party service providers (including legal fees and costs associated with the delivery and provision of those services, as well as loss reserves and other costs associated with our legal liability to landlord insurance services), which vary both in cost and as a percent of revenue for each Value+ service offering, personnel-related costs (including salaries, performance-based compensation, benefits, and stock-based compensation) for our employees focused on customer service and the support of our operations, platform infrastructure costs (such as data center operations and hosting-related costs), payment processing fees and allocated shared costs. Cost of revenue excludes depreciation of property and equipment, and amortization of capitalized software development costs and intangible assets.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Sales and marketing expense consists of personnel-related costs (including salaries, sales commissions, performance-based compensation, benefits, and stock-based compensation) for our employees focused on sales and marketing, costs associated with sales and marketing activities, and allocated shared and other costs. Marketing activities include advertising, online lead generation, lead nurturing, customer and industry events, and the creation of industry-related 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 Advertising expenses were $7.0 million, $5.8 million and $4.5 million for each of the years ended December 31, 2020, 2019 and 2018, respectively, and are expensed as incurred.</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product development expense consists of personnel-related costs (including salaries, performance-based compensation, benefits, and stock-based compensation) for our employees focused on research and product development, fees for third-party development resources, and allocated shared and other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 consists of personnel-related costs (including salaries, a majority of total performance-based compensation, benefits, and stock-based compensation) for employees in our executive, finance, information technology, human resources, legal, compliance, corporate development and administrative organizations.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costs.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Depreciation and amortization expense includes depreciation of property and equipment, amortization of 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stock-based compensation expense for stock-based awards granted to employees and directors that can be settled in shares of our common stock. We estimate the fair value of stock options and performance-based stock options ("PSOs"), using the Black-Scholes option-pricing model. We estimate the fair value of restricted stock awards ("RSAs"), restricted stock units ("RSUs") and performance-based RSUs or performance share units ("PSUs") based on the fair value of our common stock on the date of grant.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 2020, 2019, and 2018 we did not grant time-based stock options or PSOs.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RSUs generally vest in equal tranches over four annual periods and are expensed on a straight-line basis over the vesting period. The shares underlying the RSU grants are not issued and outstanding until the applicable vesting date.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Performance-Based Equity Awards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PSUs include performance conditions that require us to estimate the probable outcome of the performance condition. This assessment is based on management's judgment using internally developed forecasts and assessed at each reporting period. Compensation cost is recorded if it is probable that the performance condition will be achieved. Adjustments to compensation expense are made each period based on changes in our estimate of the number of PSUs that are probable of vesting. PSUs will vest upon achievement of the relevant performance metric once such calculation is reviewed and approved by our Board of Directors.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Forfeiture Rate</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estimate a forfeiture rate to calculate our stock-based compensation expense for our stock-based awards. The forfeiture rate is based on an analysis of actual forfeitures.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estimated forfeiture rate is changed. If a revised forfeiture rate is higher than the previously-estimated forfeiture rate, an adjustment is made that will result in a decrease to our stock-based compensation expense recognized in our Consolidated Financial Statements. If a revised forfeiture rate is lower than the previously-estimated forfeiture rate, an adjustment is made that will result in an increase to our stock-based compensation expense recognized in our Consolidated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recognize deferred tax liabilities and assets for the expected future tax consequences of temporary differences between the carrying amounts and the tax bases of assets and liabilities. Deferred income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the Consolidated Statements of Operations in the period that includes the enactment date. A valuation allowance is recorded when it is more likely than not that some of the deferred tax assets will not be realized. In evaluating the need for a valuation allowance, management considers the weighting of all available positive and negative evidence, which includes, among other things, the nature, frequency and severity of current and cumulative taxable income or losses, future projections of profitability, and the duration of statutory carryforward periods.</w:t>
      </w:r>
    </w:p>
    <w:p>
      <w:pPr>
        <w:spacing w:after="0" w:line="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7"/>
          <w:szCs w:val="17"/>
          <w:color w:val="auto"/>
        </w:rPr>
        <w:t>Judgment is required to measure the amount of tax benefits that can be recognized associated with uncertain tax positions. We recognize the tax benefit from an uncertain tax position only if it is more likely than not that the tax position will be sustained on examination by the taxing authorities, based on the technical merits of the position. The tax benefits recognized in our Consolidated Financial Statements from such positions are then measured based on the largest benefit that has a greater than 50% likelihood of being realized. We recognize interest and penalties accrued with respect to uncertain tax positions, if any, in our provision for income taxes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income per share includes no dilution and is computed by dividing net income for the period by the weighted average number of common shares outstanding during the period. Diluted net income per share is computed by dividing net income for the period by the weighted average number of shares of common stock and potentially dilutive common stock outstanding during the period. The dilutive effect of outstanding options and equity incentive awards is reflected in diluted net income per share by application of the treasury stock method. The calculation of diluted net income per share excludes all anti-dilutive common shares.</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income per common share was the same for our Class A and Class B common shares because they are entitled to the same liquidation and dividend rights and are therefore combined in the table below. The following table presents a reconciliation of our weighted average number of Class A and Class B common shares used to compute net income per share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600" w:type="dxa"/>
            <w:vAlign w:val="bottom"/>
            <w:tcBorders>
              <w:bottom w:val="single" w:sz="8" w:color="auto"/>
            </w:tcBorders>
            <w:gridSpan w:val="5"/>
          </w:tcPr>
          <w:p>
            <w:pPr>
              <w:ind w:left="900"/>
              <w:spacing w:after="0"/>
              <w:rPr>
                <w:sz w:val="20"/>
                <w:szCs w:val="20"/>
                <w:color w:val="auto"/>
              </w:rPr>
            </w:pPr>
            <w:r>
              <w:rPr>
                <w:rFonts w:ascii="Arial" w:cs="Arial" w:eastAsia="Arial" w:hAnsi="Arial"/>
                <w:sz w:val="14"/>
                <w:szCs w:val="14"/>
                <w:b w:val="1"/>
                <w:bCs w:val="1"/>
                <w:color w:val="auto"/>
                <w:w w:val="97"/>
              </w:rPr>
              <w:t>Year Ended December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8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34,139</w:t>
            </w:r>
          </w:p>
        </w:tc>
        <w:tc>
          <w:tcPr>
            <w:tcW w:w="0" w:type="dxa"/>
            <w:vAlign w:val="bottom"/>
          </w:tcPr>
          <w:p>
            <w:pPr>
              <w:spacing w:after="0"/>
              <w:rPr>
                <w:sz w:val="1"/>
                <w:szCs w:val="1"/>
                <w:color w:val="auto"/>
              </w:rPr>
            </w:pPr>
          </w:p>
        </w:tc>
      </w:tr>
      <w:tr>
        <w:trPr>
          <w:trHeight w:val="229"/>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34,128</w:t>
            </w:r>
          </w:p>
        </w:tc>
        <w:tc>
          <w:tcPr>
            <w:tcW w:w="0" w:type="dxa"/>
            <w:vAlign w:val="bottom"/>
          </w:tcPr>
          <w:p>
            <w:pPr>
              <w:spacing w:after="0"/>
              <w:rPr>
                <w:sz w:val="1"/>
                <w:szCs w:val="1"/>
                <w:color w:val="auto"/>
              </w:rPr>
            </w:pPr>
          </w:p>
        </w:tc>
      </w:tr>
      <w:tr>
        <w:trPr>
          <w:trHeight w:val="175"/>
        </w:trPr>
        <w:tc>
          <w:tcPr>
            <w:tcW w:w="7820" w:type="dxa"/>
            <w:vAlign w:val="bottom"/>
          </w:tcPr>
          <w:p>
            <w:pPr>
              <w:ind w:left="20"/>
              <w:spacing w:after="0" w:line="176" w:lineRule="exact"/>
              <w:rPr>
                <w:sz w:val="20"/>
                <w:szCs w:val="20"/>
                <w:color w:val="auto"/>
              </w:rPr>
            </w:pPr>
            <w:r>
              <w:rPr>
                <w:rFonts w:ascii="Arial" w:cs="Arial" w:eastAsia="Arial" w:hAnsi="Arial"/>
                <w:sz w:val="18"/>
                <w:szCs w:val="18"/>
                <w:color w:val="auto"/>
                <w:w w:val="94"/>
              </w:rPr>
              <w:t>Plus: Weighted average options, restricted stock units and restricted shares used to compute diluted net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1,449</w:t>
            </w: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per common share</w:t>
            </w: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35,562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years ended December 31, 2020, 2019 and 2018, an aggregate of 79,000, 187,000 and 358,000 shares, respectively, underlying PSOs and PSUs were not included in the computations of diluted and anti-dilutive shares as they are considered contingently issuable upon satisfaction of pre-defined performance measures and their respective performance measures have not been met. RSUs with an anti-dilutive effect were excluded from the calculation of weighted average number of shares used to compute diluted net income per common share and they were not material for the years ended December 31, 2020, 2019 and 2018.</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2018</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May 2014, the Financial Accounting Standards Board ("FASB") issued the New Revenue Standard, which requires an entity to recognize the amount of revenue to which it expects to be entitled for the transfer of promised goods or services to customers. The New Revenue Standard also includes Subtopic 340-40, </w:t>
      </w:r>
      <w:r>
        <w:rPr>
          <w:rFonts w:ascii="Arial" w:cs="Arial" w:eastAsia="Arial" w:hAnsi="Arial"/>
          <w:sz w:val="18"/>
          <w:szCs w:val="18"/>
          <w:i w:val="1"/>
          <w:iCs w:val="1"/>
          <w:color w:val="auto"/>
        </w:rPr>
        <w:t>Other Assets and Deferred Costs - Contracts with Customers</w:t>
      </w:r>
      <w:r>
        <w:rPr>
          <w:rFonts w:ascii="Arial" w:cs="Arial" w:eastAsia="Arial" w:hAnsi="Arial"/>
          <w:sz w:val="18"/>
          <w:szCs w:val="18"/>
          <w:color w:val="auto"/>
        </w:rPr>
        <w:t>, which discusses the deferral of incremental costs of obtaining a contract with a customer.</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adopted the New Revenue Standard at January 1, 2018 using the modified retrospective transition method applied to those contracts which were not completed at that date. We recognized the cumulative effect of initially applying the New Revenue Standard as an adjustment to the opening balance of retained earnings.</w:t>
      </w:r>
    </w:p>
    <w:p>
      <w:pPr>
        <w:spacing w:after="0" w:line="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adoption of the New Revenue Standard did not have an impact on our revenues. It did, however, have a significant impact related to the deferral of incremental costs of obtaining contracts. Prior to the adoption of the New Revenue Standard, our commissions were expensed as incurred.</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4" w:name="page65"/>
    <w:bookmarkEnd w:id="64"/>
    <w:p>
      <w:pPr>
        <w:jc w:val="both"/>
        <w:ind w:firstLine="648"/>
        <w:spacing w:after="0" w:line="277" w:lineRule="auto"/>
        <w:rPr>
          <w:sz w:val="20"/>
          <w:szCs w:val="20"/>
          <w:color w:val="auto"/>
        </w:rPr>
      </w:pPr>
      <w:r>
        <w:rPr>
          <w:rFonts w:ascii="Arial" w:cs="Arial" w:eastAsia="Arial" w:hAnsi="Arial"/>
          <w:sz w:val="18"/>
          <w:szCs w:val="18"/>
          <w:color w:val="auto"/>
        </w:rPr>
        <w:t>The cumulative effects of the changes made to our Consolidated Balance Sheet at January 1, 2018 for the adoption of the New Revenue Standard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8"/>
        </w:trPr>
        <w:tc>
          <w:tcPr>
            <w:tcW w:w="6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2017</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17"/>
              <w:spacing w:after="0"/>
              <w:rPr>
                <w:sz w:val="20"/>
                <w:szCs w:val="20"/>
                <w:color w:val="auto"/>
              </w:rPr>
            </w:pPr>
            <w:r>
              <w:rPr>
                <w:rFonts w:ascii="Arial" w:cs="Arial" w:eastAsia="Arial" w:hAnsi="Arial"/>
                <w:sz w:val="14"/>
                <w:szCs w:val="14"/>
                <w:b w:val="1"/>
                <w:bCs w:val="1"/>
                <w:color w:val="auto"/>
                <w:w w:val="99"/>
              </w:rPr>
              <w:t>January 1, 2018</w:t>
            </w:r>
          </w:p>
        </w:tc>
        <w:tc>
          <w:tcPr>
            <w:tcW w:w="0" w:type="dxa"/>
            <w:vAlign w:val="bottom"/>
          </w:tcPr>
          <w:p>
            <w:pPr>
              <w:spacing w:after="0"/>
              <w:rPr>
                <w:sz w:val="1"/>
                <w:szCs w:val="1"/>
                <w:color w:val="auto"/>
              </w:rPr>
            </w:pPr>
          </w:p>
        </w:tc>
      </w:tr>
      <w:tr>
        <w:trPr>
          <w:trHeight w:val="211"/>
        </w:trPr>
        <w:tc>
          <w:tcPr>
            <w:tcW w:w="6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4,546</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5,694</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70"/>
        </w:trPr>
        <w:tc>
          <w:tcPr>
            <w:tcW w:w="6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(67,247)</w:t>
            </w: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2,964</w:t>
            </w:r>
          </w:p>
        </w:tc>
        <w:tc>
          <w:tcPr>
            <w:tcW w:w="1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(64,283)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2019</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which requires an entity to recognize ROU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In July 2018, the FASB issued ASU No. 2018-11, Leases (Topic 842): Targeted Improvements ("ASU 2018-11"). Among other things, ASU 2018-11 provides administrative relief by allowing entities to implement the lease standard on a modified retrospective basis (the "Optional Transition Method"). Effectively, the Optional Transition Method permits us to adopt the lease standard through a cumulative effect adjustment to our opening balance sheet as of January 1, 2019, and report under the new lease standard on a post-adoption basis.</w:t>
      </w:r>
    </w:p>
    <w:p>
      <w:pPr>
        <w:spacing w:after="0" w:line="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adopted ASU 2016-02 effective January 1, 2019, using the Optional Transition Method. We elected the package of practical expedients permitted under the transition guidance, which allows us to carry forward our historical lease classification, our assessment of whether a contract is or contains a lease, and our initial direct costs for any leases that existed prior to adoption of the new lease standard. The comparative information has not been recast and continues to be reported under the accounting standards in effect for those periods. We updated our accounting policies, processes, internal controls and information systems that were required to meet the new lease standard's reporting and disclosure requirements.</w:t>
      </w:r>
    </w:p>
    <w:p>
      <w:pPr>
        <w:spacing w:after="0" w:line="6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adoption of ASU 2016-02 had a material impact on our Consolidated Balance Sheets, but did not have an impact on our Consolidated Statements of Operations or our Consolidated Statements of Cash Flows. The most significant impact was the recognition of ROU assets and lease liabilities for operating leases. We also reclassified prepaid and deferred rent to the ROU asset balance as of January 1, 2019.</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cumulative effect of the changes made to our Consolidated Balance Sheet at January 1, 2019 for the adoption of the new lease standard was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60" w:type="dxa"/>
            <w:vAlign w:val="bottom"/>
          </w:tcPr>
          <w:p>
            <w:pPr>
              <w:spacing w:after="0"/>
              <w:rPr>
                <w:sz w:val="14"/>
                <w:szCs w:val="14"/>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88"/>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December 31, 2018</w:t>
            </w:r>
          </w:p>
        </w:tc>
        <w:tc>
          <w:tcPr>
            <w:tcW w:w="26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January 1, 2019</w:t>
            </w:r>
          </w:p>
        </w:tc>
        <w:tc>
          <w:tcPr>
            <w:tcW w:w="0" w:type="dxa"/>
            <w:vAlign w:val="bottom"/>
          </w:tcPr>
          <w:p>
            <w:pPr>
              <w:spacing w:after="0"/>
              <w:rPr>
                <w:sz w:val="1"/>
                <w:szCs w:val="1"/>
                <w:color w:val="auto"/>
              </w:rPr>
            </w:pPr>
          </w:p>
        </w:tc>
      </w:tr>
      <w:tr>
        <w:trPr>
          <w:trHeight w:val="211"/>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11,775</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16,945</w:t>
            </w:r>
          </w:p>
        </w:tc>
        <w:tc>
          <w:tcPr>
            <w:tcW w:w="0" w:type="dxa"/>
            <w:vAlign w:val="bottom"/>
          </w:tcPr>
          <w:p>
            <w:pPr>
              <w:spacing w:after="0"/>
              <w:rPr>
                <w:sz w:val="1"/>
                <w:szCs w:val="1"/>
                <w:color w:val="auto"/>
              </w:rPr>
            </w:pPr>
          </w:p>
        </w:tc>
      </w:tr>
      <w:tr>
        <w:trPr>
          <w:trHeight w:val="270"/>
        </w:trPr>
        <w:tc>
          <w:tcPr>
            <w:tcW w:w="6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3,493</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4,940</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20,056</w:t>
            </w: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7,080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2020</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Accounting Standards Update ("ASU") No.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("ASU 2016-13"), which amends the current accounting guidance and requires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all expected losses based on historical experience, current conditions and reasonable and supportable forecasts. This guidance amends the accounting for credit losses for available-for-sale investment securities and purchased financial assets with credit deterioration. We adopted ASU 2016-13 on January 1, 2020. The adoption of this guidance did not have a material impact on our financial condition, results of operations, cash flows or disclosures.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5" w:name="page66"/>
    <w:bookmarkEnd w:id="65"/>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 series of amendments</w:t>
      </w:r>
    </w:p>
    <w:p>
      <w:pPr>
        <w:jc w:val="both"/>
        <w:spacing w:after="0" w:line="253" w:lineRule="auto"/>
        <w:rPr>
          <w:sz w:val="20"/>
          <w:szCs w:val="20"/>
          <w:color w:val="auto"/>
        </w:rPr>
      </w:pPr>
      <w:r>
        <w:rPr>
          <w:rFonts w:ascii="Arial" w:cs="Arial" w:eastAsia="Arial" w:hAnsi="Arial"/>
          <w:sz w:val="18"/>
          <w:szCs w:val="18"/>
          <w:color w:val="auto"/>
        </w:rPr>
        <w:t>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We adopted ASU 2018-15 on January 1, 2020. The adoption of this guidance did not have a material impact on our financial condition, results of operations, cash flows or disclosures.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This guidance is effective for interim and annual periods beginning after December 15, 2020 with early adoption permitted. We do not expect the adoption of this guidance to have a material impact on our financial condition, results of operations, cash flows or disclosures.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 and Business Combinations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 of MyCase</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On September 30, 2020, we completed the MyCase Transaction for $193.0 million, consisting of $192.2 million of cash proceeds, plus a $2.2 million employee retention bonus pool funded by us, less cash divested of $0.8 million and a preliminary working capital adjustment of $0.6 million. The retention bonus pool is refundable to us to the extent that MyCase employees are terminated prior to the retention period, which is one year from the closing date of the MyCase Transaction. A portion of the cash proceeds was used to pay all outstanding borrowings under the Credit Facility. Refer to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Consolidated Financial Statements for more information about the termination of the Credit Facility.</w:t>
      </w:r>
    </w:p>
    <w:p>
      <w:pPr>
        <w:spacing w:after="0" w:line="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recognized a pre-tax gain on the sale of $187.7 million on the MyCase Transaction, consisting of cash proceeds of $192.2 million, less net assets divested of $4.6 million. Net assets divested is primarily comprised of capitalized software development costs of $3.9 million, deferred revenue of $2.8 million and goodwill allocated to MyCase of $2.3 million. The gain on the sale is included within </w:t>
      </w:r>
      <w:r>
        <w:rPr>
          <w:rFonts w:ascii="Arial" w:cs="Arial" w:eastAsia="Arial" w:hAnsi="Arial"/>
          <w:sz w:val="18"/>
          <w:szCs w:val="18"/>
          <w:i w:val="1"/>
          <w:iCs w:val="1"/>
          <w:color w:val="auto"/>
        </w:rPr>
        <w:t>Other income (expense), net</w:t>
      </w:r>
      <w:r>
        <w:rPr>
          <w:rFonts w:ascii="Arial" w:cs="Arial" w:eastAsia="Arial" w:hAnsi="Arial"/>
          <w:sz w:val="18"/>
          <w:szCs w:val="18"/>
          <w:color w:val="auto"/>
        </w:rPr>
        <w:t xml:space="preserve"> in our Consolidated Statements of Operations. Income received in relation to the transition services provided by us to MyCase of $1.1 million is included within </w:t>
      </w:r>
      <w:r>
        <w:rPr>
          <w:rFonts w:ascii="Arial" w:cs="Arial" w:eastAsia="Arial" w:hAnsi="Arial"/>
          <w:sz w:val="18"/>
          <w:szCs w:val="18"/>
          <w:i w:val="1"/>
          <w:iCs w:val="1"/>
          <w:color w:val="auto"/>
        </w:rPr>
        <w:t>Other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in our Consolidated Statements of Operations. Refer to Note 1,</w:t>
      </w:r>
      <w:r>
        <w:rPr>
          <w:rFonts w:ascii="Arial" w:cs="Arial" w:eastAsia="Arial" w:hAnsi="Arial"/>
          <w:sz w:val="18"/>
          <w:szCs w:val="18"/>
          <w:i w:val="1"/>
          <w:iCs w:val="1"/>
          <w:color w:val="auto"/>
        </w:rPr>
        <w:t xml:space="preserve"> Nature of Business</w:t>
      </w:r>
      <w:r>
        <w:rPr>
          <w:rFonts w:ascii="Arial" w:cs="Arial" w:eastAsia="Arial" w:hAnsi="Arial"/>
          <w:sz w:val="18"/>
          <w:szCs w:val="18"/>
          <w:color w:val="auto"/>
        </w:rPr>
        <w:t>, of our Consolidated Financial Statements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about the MyCase Transaction.</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 of Dynasty</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January 7, 2019, we acquired 100% of the voting equity interest of Dynasty Marketplace, Inc. ("Dynasty") for $60.2 million, of which $6.0 million the "Holdback Amount") was retained by us to satisfy any necessary adjustments, including without limitation certain indemnification claims. The balance of the Holdback Amount, less any amount retained with respect to any unresolved indemnification claims, was released to the stockholders of Dynasty on January 10, 2020 in accordance with the terms of the purchase agreement. Dynasty is a provider of advanced artificial intelligence solutions for the real estate vertical, which automate leasing communications, replace manual tasks and help customers grow their portfolios.</w:t>
      </w:r>
    </w:p>
    <w:p>
      <w:pPr>
        <w:spacing w:after="0" w:line="5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transaction was accounted for using the acquisition method and, as a result, assets acquired and liabilities assumed were recorded at their estimated fair values as of the acquisition date. Determining the fair value of assets acquired and liabilities assumed requires management to make significant judgments and estimates, including the selection of valuation methodologies and comparable companies, estimates of future revenue and cash flows, discount rates, and the software decay rate and database ramp up rate. The following table summarizes the final purchase price allocation (in thousands), as well as the estimated useful lives of the acquired intangible assets over which they are amortized on a straight-line basis, as this approximates the pattern in which we expect the economic benefits will be consumed: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ind w:right="393"/>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88"/>
        </w:trPr>
        <w:tc>
          <w:tcPr>
            <w:tcW w:w="8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 thousands)</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Identified intangible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Technology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4.0</w:t>
            </w:r>
          </w:p>
        </w:tc>
      </w:tr>
      <w:tr>
        <w:trPr>
          <w:trHeight w:val="230"/>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Database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4,710</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29"/>
        </w:trPr>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5.0</w:t>
            </w:r>
          </w:p>
        </w:tc>
      </w:tr>
      <w:tr>
        <w:trPr>
          <w:trHeight w:val="230"/>
        </w:trPr>
        <w:tc>
          <w:tcPr>
            <w:tcW w:w="8240" w:type="dxa"/>
            <w:vAlign w:val="bottom"/>
            <w:gridSpan w:val="2"/>
          </w:tcPr>
          <w:p>
            <w:pPr>
              <w:ind w:left="220"/>
              <w:spacing w:after="0"/>
              <w:rPr>
                <w:sz w:val="20"/>
                <w:szCs w:val="20"/>
                <w:color w:val="auto"/>
              </w:rPr>
            </w:pPr>
            <w:r>
              <w:rPr>
                <w:rFonts w:ascii="Arial" w:cs="Arial" w:eastAsia="Arial" w:hAnsi="Arial"/>
                <w:sz w:val="18"/>
                <w:szCs w:val="18"/>
                <w:color w:val="auto"/>
              </w:rPr>
              <w:t>Backlog</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w:t>
            </w:r>
          </w:p>
        </w:tc>
        <w:tc>
          <w:tcPr>
            <w:tcW w:w="15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1.0</w:t>
            </w:r>
          </w:p>
        </w:tc>
      </w:tr>
      <w:tr>
        <w:trPr>
          <w:trHeight w:val="229"/>
        </w:trPr>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Trademark &amp; trade name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10.0</w:t>
            </w:r>
          </w:p>
        </w:tc>
      </w:tr>
      <w:tr>
        <w:trPr>
          <w:trHeight w:val="229"/>
        </w:trPr>
        <w:tc>
          <w:tcPr>
            <w:tcW w:w="8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Non-compete agreement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56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5"/>
              </w:rPr>
              <w:t>5.0</w:t>
            </w:r>
          </w:p>
        </w:tc>
      </w:tr>
      <w:tr>
        <w:trPr>
          <w:trHeight w:val="22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intangible assets subject to amortization</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20,750</w:t>
            </w:r>
          </w:p>
        </w:tc>
        <w:tc>
          <w:tcPr>
            <w:tcW w:w="15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5"/>
              </w:rPr>
              <w:t>6.0</w:t>
            </w:r>
          </w:p>
        </w:tc>
      </w:tr>
      <w:tr>
        <w:trPr>
          <w:trHeight w:val="229"/>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42,877</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5"/>
              </w:rPr>
              <w:t>Indefinite</w:t>
            </w:r>
          </w:p>
        </w:tc>
      </w:tr>
      <w:tr>
        <w:trPr>
          <w:trHeight w:val="23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63,967</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r>
      <w:tr>
        <w:trPr>
          <w:trHeight w:val="250"/>
        </w:trPr>
        <w:tc>
          <w:tcPr>
            <w:tcW w:w="8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1018" w:right="339" w:bottom="1440" w:gutter="0" w:footer="0" w:header="0"/>
        </w:sectPr>
      </w:pPr>
    </w:p>
    <w:p>
      <w:pPr>
        <w:ind w:left="20"/>
        <w:spacing w:after="0"/>
        <w:rPr>
          <w:sz w:val="20"/>
          <w:szCs w:val="20"/>
          <w:color w:val="auto"/>
        </w:rPr>
      </w:pPr>
      <w:r>
        <w:rPr>
          <w:rFonts w:ascii="Arial" w:cs="Arial" w:eastAsia="Arial" w:hAnsi="Arial"/>
          <w:sz w:val="16"/>
          <w:szCs w:val="16"/>
          <w:color w:val="auto"/>
        </w:rPr>
        <w:t>Accrued and other liabilities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 liability, net</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liabilities assumed</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Purchase consideration</w:t>
      </w:r>
    </w:p>
    <w:p>
      <w:pPr>
        <w:spacing w:after="0" w:line="20" w:lineRule="exact"/>
        <w:rPr>
          <w:sz w:val="20"/>
          <w:szCs w:val="20"/>
          <w:color w:val="auto"/>
        </w:rPr>
      </w:pPr>
      <w:r>
        <w:rPr>
          <w:sz w:val="20"/>
          <w:szCs w:val="20"/>
          <w:color w:val="auto"/>
        </w:rPr>
        <w:br w:type="column"/>
      </w:r>
    </w:p>
    <w:p>
      <w:pPr>
        <w:jc w:val="right"/>
        <w:ind w:right="162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14605</wp:posOffset>
            </wp:positionV>
            <wp:extent cx="713232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3,711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169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15" w:lineRule="exact"/>
        <w:rPr>
          <w:sz w:val="20"/>
          <w:szCs w:val="20"/>
          <w:color w:val="auto"/>
        </w:rPr>
      </w:pPr>
    </w:p>
    <w:p>
      <w:pPr>
        <w:ind w:left="960"/>
        <w:spacing w:after="0"/>
        <w:rPr>
          <w:sz w:val="20"/>
          <w:szCs w:val="20"/>
          <w:color w:val="auto"/>
        </w:rPr>
      </w:pPr>
      <w:r>
        <w:rPr>
          <w:rFonts w:ascii="Arial" w:cs="Arial" w:eastAsia="Arial" w:hAnsi="Arial"/>
          <w:sz w:val="15"/>
          <w:szCs w:val="15"/>
          <w:color w:val="auto"/>
        </w:rPr>
        <w:t>3,759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36830</wp:posOffset>
            </wp:positionV>
            <wp:extent cx="71323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1" w:lineRule="exact"/>
        <w:rPr>
          <w:sz w:val="20"/>
          <w:szCs w:val="20"/>
          <w:color w:val="auto"/>
        </w:rPr>
      </w:pPr>
    </w:p>
    <w:p>
      <w:pPr>
        <w:ind w:left="860" w:hanging="859"/>
        <w:spacing w:after="0"/>
        <w:tabs>
          <w:tab w:leader="none" w:pos="8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60,208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55245</wp:posOffset>
            </wp:positionV>
            <wp:extent cx="9169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7540" w:space="720"/>
            <w:col w:w="2980"/>
          </w:cols>
          <w:pgMar w:left="320" w:top="1018" w:right="339" w:bottom="1440" w:gutter="0" w:footer="0" w:header="0"/>
          <w:type w:val="continuous"/>
        </w:sectPr>
      </w:pPr>
    </w:p>
    <w:p>
      <w:pPr>
        <w:spacing w:after="0" w:line="2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Goodwill is mainly attributable to synergies expected from the acquisition and assembled workforce and is non-deductible for U.S. federal income tax purposes.</w:t>
      </w:r>
    </w:p>
    <w:p>
      <w:pPr>
        <w:spacing w:after="0" w:line="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incurred a total of $0.3 million in transaction costs related to the acquisition and expensed all transaction costs incurred during the period in which such service was received.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 Forma Results of Operations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unaudited pro forma information has been prepared for illustrative purposes only, and assumes that the aforementioned Dynasty acquisition occurred on January 1, 2018, and includes pro forma adjustments related to the amortization of acquired intangible assets, elimination of historical interest and amortization expense, income taxes, compensation arrangements, and the transaction costs incurred. The unaudited pro forma results have been prepared based on estimates and assumptions, which we believe are reasonable; however, they are not necessarily indicative of the consolidated results of operations had the acquisitions occurred at the beginning of the periods presented, or of future results of operations. The unaudited pro forma results are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3200" w:type="dxa"/>
            <w:vAlign w:val="bottom"/>
            <w:tcBorders>
              <w:bottom w:val="single" w:sz="8" w:color="CCEEFF"/>
            </w:tcBorders>
          </w:tcPr>
          <w:p>
            <w:pPr>
              <w:spacing w:after="0"/>
              <w:rPr>
                <w:sz w:val="16"/>
                <w:szCs w:val="16"/>
                <w:color w:val="auto"/>
              </w:rPr>
            </w:pPr>
          </w:p>
        </w:tc>
        <w:tc>
          <w:tcPr>
            <w:tcW w:w="5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24"/>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0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193,405</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5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5,937</w:t>
            </w:r>
          </w:p>
        </w:tc>
      </w:tr>
      <w:tr>
        <w:trPr>
          <w:trHeight w:val="863"/>
        </w:trPr>
        <w:tc>
          <w:tcPr>
            <w:tcW w:w="3200" w:type="dxa"/>
            <w:vAlign w:val="bottom"/>
          </w:tcPr>
          <w:p>
            <w:pPr>
              <w:spacing w:after="0"/>
              <w:rPr>
                <w:sz w:val="24"/>
                <w:szCs w:val="24"/>
                <w:color w:val="auto"/>
              </w:rPr>
            </w:pPr>
          </w:p>
        </w:tc>
        <w:tc>
          <w:tcPr>
            <w:tcW w:w="5040" w:type="dxa"/>
            <w:vAlign w:val="bottom"/>
          </w:tcPr>
          <w:p>
            <w:pPr>
              <w:jc w:val="right"/>
              <w:ind w:right="243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32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4. Investment Securities and Fair Value Measurements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securities classified as available-for-sale consisted of the following at December 31, 2020 and 2019 (in thousands):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Gross Unrealized Gains</w:t>
            </w: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Gross Unrealized Gains</w:t>
            </w:r>
          </w:p>
        </w:tc>
        <w:tc>
          <w:tcPr>
            <w:tcW w:w="18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20" w:type="dxa"/>
            <w:vAlign w:val="bottom"/>
          </w:tcPr>
          <w:p>
            <w:pPr>
              <w:spacing w:after="0"/>
              <w:rPr>
                <w:sz w:val="11"/>
                <w:szCs w:val="11"/>
                <w:color w:val="auto"/>
              </w:rPr>
            </w:pPr>
          </w:p>
        </w:tc>
        <w:tc>
          <w:tcPr>
            <w:tcW w:w="14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Estimated Fair Value</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Pr>
          <w:p>
            <w:pPr>
              <w:spacing w:after="0"/>
              <w:rPr>
                <w:sz w:val="19"/>
                <w:szCs w:val="19"/>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34,965</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2019, the unrealized losses on investment securities which have been in a net loss position for twelve months or greater were not material. These unrealized losses are considered temporary and there were no impairments considered to be "other-than-temporary" based on our evaluation of available evidence, which includes our intent to hold these investments to maturity or a recovery of the cost basis.</w:t>
      </w:r>
    </w:p>
    <w:p>
      <w:pPr>
        <w:spacing w:after="0" w:line="56"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At December 31, 2020 and 2019, the contractual maturities of our investments did not exceed 36 months. The fair values of available-for-sale investments, by remaining contractual maturity, are as follows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December 31, 2020</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December 31, 2019</w:t>
            </w:r>
          </w:p>
        </w:tc>
      </w:tr>
      <w:tr>
        <w:trPr>
          <w:trHeight w:val="187"/>
        </w:trPr>
        <w:tc>
          <w:tcPr>
            <w:tcW w:w="4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5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Estimated Fair Value</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1420" w:type="dxa"/>
            <w:vAlign w:val="bottom"/>
          </w:tcPr>
          <w:p>
            <w:pPr>
              <w:jc w:val="right"/>
              <w:ind w:right="15"/>
              <w:spacing w:after="0"/>
              <w:rPr>
                <w:sz w:val="20"/>
                <w:szCs w:val="20"/>
                <w:color w:val="auto"/>
              </w:rPr>
            </w:pPr>
            <w:r>
              <w:rPr>
                <w:rFonts w:ascii="Arial" w:cs="Arial" w:eastAsia="Arial" w:hAnsi="Arial"/>
                <w:sz w:val="14"/>
                <w:szCs w:val="14"/>
                <w:b w:val="1"/>
                <w:bCs w:val="1"/>
                <w:color w:val="auto"/>
                <w:w w:val="94"/>
              </w:rPr>
              <w:t>Estimated Fair Value</w:t>
            </w:r>
          </w:p>
        </w:tc>
      </w:tr>
      <w:tr>
        <w:trPr>
          <w:trHeight w:val="224"/>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22,876</w:t>
            </w:r>
          </w:p>
        </w:tc>
      </w:tr>
      <w:tr>
        <w:trPr>
          <w:trHeight w:val="229"/>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12,089</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34,965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During the years ended December 31, 2020 and 2019, we had sales and maturities (which include calls) of investment securities, as follows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2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center"/>
              <w:ind w:right="36"/>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8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Maturities</w:t>
            </w:r>
          </w:p>
        </w:tc>
        <w:tc>
          <w:tcPr>
            <w:tcW w:w="0" w:type="dxa"/>
            <w:vAlign w:val="bottom"/>
          </w:tcPr>
          <w:p>
            <w:pPr>
              <w:spacing w:after="0"/>
              <w:rPr>
                <w:sz w:val="1"/>
                <w:szCs w:val="1"/>
                <w:color w:val="auto"/>
              </w:rPr>
            </w:pP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42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19"/>
                <w:szCs w:val="19"/>
                <w:color w:val="auto"/>
              </w:rPr>
            </w:pP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jc w:val="right"/>
              <w:ind w:right="51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68" w:name="page69"/>
    <w:bookmarkEnd w:id="68"/>
    <w:tbl>
      <w:tblPr>
        <w:tblLayout w:type="fixed"/>
        <w:tblInd w:w="8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Year Ended December 31, 2019</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72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9"/>
              </w:rPr>
              <w:t>Gross Realized Losses</w:t>
            </w:r>
          </w:p>
        </w:tc>
        <w:tc>
          <w:tcPr>
            <w:tcW w:w="120" w:type="dxa"/>
            <w:vAlign w:val="bottom"/>
          </w:tcPr>
          <w:p>
            <w:pPr>
              <w:spacing w:after="0"/>
              <w:rPr>
                <w:sz w:val="11"/>
                <w:szCs w:val="11"/>
                <w:color w:val="auto"/>
              </w:rPr>
            </w:pPr>
          </w:p>
        </w:tc>
        <w:tc>
          <w:tcPr>
            <w:tcW w:w="15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Gross Proceeds from</w:t>
            </w:r>
          </w:p>
        </w:tc>
        <w:tc>
          <w:tcPr>
            <w:tcW w:w="120" w:type="dxa"/>
            <w:vAlign w:val="bottom"/>
          </w:tcPr>
          <w:p>
            <w:pPr>
              <w:spacing w:after="0"/>
              <w:rPr>
                <w:sz w:val="11"/>
                <w:szCs w:val="11"/>
                <w:color w:val="auto"/>
              </w:rPr>
            </w:pPr>
          </w:p>
        </w:tc>
        <w:tc>
          <w:tcPr>
            <w:tcW w:w="14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7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6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3,625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15,660</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years ended December 31, 2020, 2019 and 2018 we received interest income net of the amortization and accretion of the premium and discount of $0.3 million, $0.6 million, and $1.0 million,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present our financial assets and liabilities measured at fair value on a recurring basis at December 31, 2020 and 2019, by level within the fair value hierarchy (in thousands):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securities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Available-for-sale investment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securities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800" w:type="dxa"/>
            <w:vAlign w:val="bottom"/>
          </w:tcPr>
          <w:p>
            <w:pPr>
              <w:ind w:left="100"/>
              <w:spacing w:after="0"/>
              <w:rPr>
                <w:sz w:val="20"/>
                <w:szCs w:val="20"/>
                <w:color w:val="auto"/>
              </w:rPr>
            </w:pPr>
            <w:r>
              <w:rPr>
                <w:rFonts w:ascii="Arial" w:cs="Arial" w:eastAsia="Arial" w:hAnsi="Arial"/>
                <w:sz w:val="18"/>
                <w:szCs w:val="18"/>
                <w:color w:val="auto"/>
              </w:rPr>
              <w:t>Treasury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137,208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jc w:val="center"/>
              <w:ind w:right="19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Available-for-sale investment securities: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9,614</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securities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w:t>
            </w:r>
          </w:p>
        </w:tc>
        <w:tc>
          <w:tcPr>
            <w:tcW w:w="0" w:type="dxa"/>
            <w:vAlign w:val="bottom"/>
          </w:tcPr>
          <w:p>
            <w:pPr>
              <w:spacing w:after="0"/>
              <w:rPr>
                <w:sz w:val="1"/>
                <w:szCs w:val="1"/>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Treasury securities</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14,233</w:t>
            </w:r>
          </w:p>
        </w:tc>
        <w:tc>
          <w:tcPr>
            <w:tcW w:w="0" w:type="dxa"/>
            <w:vAlign w:val="bottom"/>
          </w:tcPr>
          <w:p>
            <w:pPr>
              <w:spacing w:after="0"/>
              <w:rPr>
                <w:sz w:val="1"/>
                <w:szCs w:val="1"/>
                <w:color w:val="auto"/>
              </w:rPr>
            </w:pPr>
          </w:p>
        </w:tc>
      </w:tr>
      <w:tr>
        <w:trPr>
          <w:trHeight w:val="248"/>
        </w:trPr>
        <w:tc>
          <w:tcPr>
            <w:tcW w:w="4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35,302</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carrying amounts of cash equivalents, restricted cash, accounts receivable, accounts payable and accrued liabilities approximate fair value because of the short maturity of these items.</w:t>
      </w:r>
    </w:p>
    <w:p>
      <w:pPr>
        <w:spacing w:after="0" w:line="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As of December 31, 2019, the estimated fair value of the $50.0 million term loan issued by Wells Fargo Bank, National Association ("Wells Fargo"), as administrative agent, and the lenders that are parties thereto ("Term Loan") and the $50.0 million revolving credit facility made available to us by Wells Fargo and the lenders that are parties thereto ("Revolving Facility," and, together with the Term Loan, the "Credit Facility"), approximated their carrying values due to the variable interest rates. We considered the fair value of the Credit Facility to be Level 2 measurements as these debt instruments were not actively traded. We carried the Term Loan at face value less the unamortized discount. Refer to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of our Consolidated Financial Statements for more information about our since-terminated Credit Facility.</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were no changes to our valuation techniques used to measure asset and liability fair values on a recurring basis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valuation techniques for the financial assets in the tables above are as follows: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2020 and 2019, cash equivalents include cash invested in money market funds and treasury securities with a maturity of three months or less. Fair value is based on market prices for identical assets.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including goodwill, intangible assets and our note receivable with SecureDocs, Inc., are also subject to measurement at fair value on a non-recurring basis using Level 3 measurement, but only when they are deemed to be impaired. For the years ended December 31, 2020, 2019 and 2018, no impairments were identified on those assets required to be measured at fair value on a non-recurring basis.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 center and computer equipment</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equipment</w:t>
            </w: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22,952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6,192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process</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Gross property and equipment</w:t>
            </w: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37,511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26,387</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(11,072)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26,439</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14,744</w:t>
            </w:r>
          </w:p>
        </w:tc>
      </w:tr>
      <w:tr>
        <w:trPr>
          <w:trHeight w:val="21"/>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expense for property and equipment totaled $4.0 million, $3.1 million, and $2.4 million for the years ended December 31, 2020, 2019 and 2018, respectively.</w:t>
      </w:r>
    </w:p>
    <w:p>
      <w:pPr>
        <w:spacing w:after="0" w:line="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September 2020, $13.9 million of capitalized costs, principally comprised of furniture and fixtures and leasehold improvements related to our corporate headquarters in Santa Barbara, California were ready for their intended use and were placed into service.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Capitalized Software Development Costs, net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development costs, net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r>
      <w:tr>
        <w:trPr>
          <w:trHeight w:val="187"/>
        </w:trPr>
        <w:tc>
          <w:tcPr>
            <w:tcW w:w="79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gross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77"/>
              <w:spacing w:after="0"/>
              <w:rPr>
                <w:sz w:val="20"/>
                <w:szCs w:val="20"/>
                <w:color w:val="auto"/>
              </w:rPr>
            </w:pPr>
            <w:r>
              <w:rPr>
                <w:rFonts w:ascii="Arial" w:cs="Arial" w:eastAsia="Arial" w:hAnsi="Arial"/>
                <w:sz w:val="18"/>
                <w:szCs w:val="18"/>
                <w:color w:val="auto"/>
                <w:w w:val="87"/>
              </w:rPr>
              <w:t>96,974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90"/>
              </w:rPr>
              <w:t>81,475</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457"/>
              <w:spacing w:after="0"/>
              <w:rPr>
                <w:sz w:val="20"/>
                <w:szCs w:val="20"/>
                <w:color w:val="auto"/>
              </w:rPr>
            </w:pPr>
            <w:r>
              <w:rPr>
                <w:rFonts w:ascii="Arial" w:cs="Arial" w:eastAsia="Arial" w:hAnsi="Arial"/>
                <w:sz w:val="18"/>
                <w:szCs w:val="18"/>
                <w:color w:val="auto"/>
                <w:w w:val="92"/>
              </w:rPr>
              <w:t>(61,515)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315"/>
              <w:spacing w:after="0"/>
              <w:rPr>
                <w:sz w:val="20"/>
                <w:szCs w:val="20"/>
                <w:color w:val="auto"/>
              </w:rPr>
            </w:pPr>
            <w:r>
              <w:rPr>
                <w:rFonts w:ascii="Arial" w:cs="Arial" w:eastAsia="Arial" w:hAnsi="Arial"/>
                <w:sz w:val="18"/>
                <w:szCs w:val="18"/>
                <w:color w:val="auto"/>
                <w:w w:val="89"/>
              </w:rPr>
              <w:t>(51,452)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8"/>
                <w:szCs w:val="18"/>
                <w:color w:val="auto"/>
                <w:w w:val="87"/>
              </w:rPr>
              <w:t>35,459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0"/>
              </w:rPr>
              <w:t>30,023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software development costs were $27.3 million, $23.6 million and $13.8 million for the years ended December 31, 2020, 2019 and 2018, respectively. Amortization expense with respect to software development costs totaled $17.9 million, $14.0 million and $11.0 million for the years ended December 31, 2020, 2019 and 2018, respectively. During the year ended December 31, 2020, $3.9 million in capitalized software development costs were divested in connection with the MyCase Transaction.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Future amortization expense with respect to capitalized software development costs at December 31, 2020 is estimated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34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2022</w:t>
            </w:r>
          </w:p>
        </w:tc>
        <w:tc>
          <w:tcPr>
            <w:tcW w:w="5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7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220"/>
              <w:spacing w:after="0"/>
              <w:rPr>
                <w:sz w:val="20"/>
                <w:szCs w:val="20"/>
                <w:color w:val="auto"/>
              </w:rPr>
            </w:pPr>
            <w:r>
              <w:rPr>
                <w:rFonts w:ascii="Arial" w:cs="Arial" w:eastAsia="Arial" w:hAnsi="Arial"/>
                <w:sz w:val="18"/>
                <w:szCs w:val="18"/>
                <w:color w:val="auto"/>
              </w:rPr>
              <w:t>Total amortization expense</w:t>
            </w:r>
          </w:p>
        </w:tc>
        <w:tc>
          <w:tcPr>
            <w:tcW w:w="57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5780" w:type="dxa"/>
            <w:vAlign w:val="bottom"/>
            <w:vMerge w:val="restart"/>
          </w:tcPr>
          <w:p>
            <w:pPr>
              <w:jc w:val="right"/>
              <w:ind w:right="3830"/>
              <w:spacing w:after="0"/>
              <w:rPr>
                <w:sz w:val="20"/>
                <w:szCs w:val="20"/>
                <w:color w:val="auto"/>
              </w:rPr>
            </w:pPr>
            <w:r>
              <w:rPr>
                <w:rFonts w:ascii="Arial" w:cs="Arial" w:eastAsia="Arial" w:hAnsi="Arial"/>
                <w:sz w:val="18"/>
                <w:szCs w:val="18"/>
                <w:color w:val="auto"/>
              </w:rPr>
              <w:t>68</w:t>
            </w: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860" w:type="dxa"/>
            <w:vAlign w:val="bottom"/>
          </w:tcPr>
          <w:p>
            <w:pPr>
              <w:spacing w:after="0"/>
              <w:rPr>
                <w:sz w:val="24"/>
                <w:szCs w:val="24"/>
                <w:color w:val="auto"/>
              </w:rPr>
            </w:pPr>
          </w:p>
        </w:tc>
        <w:tc>
          <w:tcPr>
            <w:tcW w:w="57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7. Intangible Assets, net and Goodwill</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consisted of the following (in thousands, except years):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7"/>
          </w:tcPr>
          <w:p>
            <w:pPr>
              <w:ind w:left="980"/>
              <w:spacing w:after="0"/>
              <w:rPr>
                <w:sz w:val="20"/>
                <w:szCs w:val="20"/>
                <w:color w:val="auto"/>
              </w:rPr>
            </w:pPr>
            <w:r>
              <w:rPr>
                <w:rFonts w:ascii="Arial" w:cs="Arial" w:eastAsia="Arial" w:hAnsi="Arial"/>
                <w:sz w:val="14"/>
                <w:szCs w:val="14"/>
                <w:b w:val="1"/>
                <w:bCs w:val="1"/>
                <w:color w:val="auto"/>
              </w:rPr>
              <w:t>December 31, 2020</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Net Carrying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3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Database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(1,787)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6,543</w:t>
            </w:r>
          </w:p>
        </w:tc>
        <w:tc>
          <w:tcPr>
            <w:tcW w:w="40" w:type="dxa"/>
            <w:vAlign w:val="bottom"/>
          </w:tcPr>
          <w:p>
            <w:pPr>
              <w:spacing w:after="0"/>
              <w:rPr>
                <w:sz w:val="19"/>
                <w:szCs w:val="19"/>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Trademarks and trade names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(732)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1,158</w:t>
            </w:r>
          </w:p>
        </w:tc>
        <w:tc>
          <w:tcPr>
            <w:tcW w:w="40" w:type="dxa"/>
            <w:vAlign w:val="bottom"/>
          </w:tcPr>
          <w:p>
            <w:pPr>
              <w:spacing w:after="0"/>
              <w:rPr>
                <w:sz w:val="19"/>
                <w:szCs w:val="19"/>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relationships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(2,964)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4,436</w:t>
            </w:r>
          </w:p>
        </w:tc>
        <w:tc>
          <w:tcPr>
            <w:tcW w:w="40" w:type="dxa"/>
            <w:vAlign w:val="bottom"/>
          </w:tcPr>
          <w:p>
            <w:pPr>
              <w:spacing w:after="0"/>
              <w:rPr>
                <w:sz w:val="19"/>
                <w:szCs w:val="19"/>
                <w:color w:val="auto"/>
              </w:rPr>
            </w:pPr>
          </w:p>
        </w:tc>
        <w:tc>
          <w:tcPr>
            <w:tcW w:w="1880" w:type="dxa"/>
            <w:vAlign w:val="bottom"/>
            <w:gridSpan w:val="4"/>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Domain names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19"/>
                <w:szCs w:val="19"/>
                <w:color w:val="auto"/>
              </w:rPr>
            </w:pPr>
          </w:p>
        </w:tc>
        <w:tc>
          <w:tcPr>
            <w:tcW w:w="1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Patents</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(240)</w:t>
            </w: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bottom w:val="single" w:sz="8" w:color="auto"/>
            </w:tcBorders>
          </w:tcPr>
          <w:p>
            <w:pPr>
              <w:spacing w:after="0"/>
              <w:rPr>
                <w:sz w:val="19"/>
                <w:szCs w:val="19"/>
                <w:color w:val="auto"/>
              </w:rPr>
            </w:pPr>
          </w:p>
        </w:tc>
        <w:tc>
          <w:tcPr>
            <w:tcW w:w="188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4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ind w:left="940"/>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Net Carrying</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Average Useful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Life in Years</w:t>
            </w:r>
          </w:p>
        </w:tc>
        <w:tc>
          <w:tcPr>
            <w:tcW w:w="0" w:type="dxa"/>
            <w:vAlign w:val="bottom"/>
          </w:tcPr>
          <w:p>
            <w:pPr>
              <w:spacing w:after="0"/>
              <w:rPr>
                <w:sz w:val="1"/>
                <w:szCs w:val="1"/>
                <w:color w:val="auto"/>
              </w:rPr>
            </w:pP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Database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8,330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7,376</w:t>
            </w:r>
          </w:p>
        </w:tc>
        <w:tc>
          <w:tcPr>
            <w:tcW w:w="4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2,690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(898)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1,792</w:t>
            </w:r>
          </w:p>
        </w:tc>
        <w:tc>
          <w:tcPr>
            <w:tcW w:w="4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Non-compete agreements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5,916</w:t>
            </w:r>
          </w:p>
        </w:tc>
        <w:tc>
          <w:tcPr>
            <w:tcW w:w="4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Patents</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Backlog</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Total intangible assets, net</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(12,357)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21,377</w:t>
            </w:r>
          </w:p>
        </w:tc>
        <w:tc>
          <w:tcPr>
            <w:tcW w:w="4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Amortization expense with respect to intangible assets totaled $4.9 million, $5.3 million and $1.2 million for the years ended December 31, 2020, 2019 and 2018, respectively. Future amortization expense with respect to intangible assets is estimated as follows (in thousands):</w:t>
      </w:r>
    </w:p>
    <w:p>
      <w:pPr>
        <w:spacing w:after="0" w:line="7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4,605</w:t>
            </w:r>
          </w:p>
        </w:tc>
      </w:tr>
      <w:tr>
        <w:trPr>
          <w:trHeight w:val="229"/>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30"/>
        </w:trPr>
        <w:tc>
          <w:tcPr>
            <w:tcW w:w="9440" w:type="dxa"/>
            <w:vAlign w:val="bottom"/>
          </w:tcPr>
          <w:p>
            <w:pPr>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30"/>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r>
      <w:tr>
        <w:trPr>
          <w:trHeight w:val="248"/>
        </w:trPr>
        <w:tc>
          <w:tcPr>
            <w:tcW w:w="9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goodwill balance is solely attributed to acquisitions. As a result of the disposal of goodwill associated with the MyCase Transaction, we performed a goodwill impairment assessment as of September 30, 2020 on our remaining goodwill balance. There have been no impairment charges recorded against goodwill. The change in the carrying amount of goodwill during the twelve months ended December 31, 2020 is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at December 31, 2019</w:t>
            </w:r>
          </w:p>
        </w:tc>
        <w:tc>
          <w:tcPr>
            <w:tcW w:w="58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8"/>
              </w:rPr>
              <w:t>58,425</w:t>
            </w:r>
          </w:p>
        </w:tc>
        <w:tc>
          <w:tcPr>
            <w:tcW w:w="0" w:type="dxa"/>
            <w:vAlign w:val="bottom"/>
          </w:tcPr>
          <w:p>
            <w:pPr>
              <w:spacing w:after="0"/>
              <w:rPr>
                <w:sz w:val="1"/>
                <w:szCs w:val="1"/>
                <w:color w:val="auto"/>
              </w:rPr>
            </w:pPr>
          </w:p>
        </w:tc>
      </w:tr>
      <w:tr>
        <w:trPr>
          <w:trHeight w:val="229"/>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attributed to MyCase divestiture</w:t>
            </w:r>
          </w:p>
        </w:tc>
        <w:tc>
          <w:tcPr>
            <w:tcW w:w="52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94"/>
              </w:rPr>
              <w:t>(2,278)</w:t>
            </w:r>
          </w:p>
        </w:tc>
        <w:tc>
          <w:tcPr>
            <w:tcW w:w="0" w:type="dxa"/>
            <w:vAlign w:val="bottom"/>
          </w:tcPr>
          <w:p>
            <w:pPr>
              <w:spacing w:after="0"/>
              <w:rPr>
                <w:sz w:val="1"/>
                <w:szCs w:val="1"/>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at December 31, 2020</w:t>
            </w:r>
          </w:p>
        </w:tc>
        <w:tc>
          <w:tcPr>
            <w:tcW w:w="5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98"/>
              </w:rPr>
              <w:t>56,147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bottom w:val="single" w:sz="8" w:color="CCEEFF"/>
            </w:tcBorders>
            <w:vMerge w:val="restart"/>
          </w:tcPr>
          <w:p>
            <w:pPr>
              <w:jc w:val="right"/>
              <w:ind w:right="3690"/>
              <w:spacing w:after="0"/>
              <w:rPr>
                <w:sz w:val="20"/>
                <w:szCs w:val="20"/>
                <w:color w:val="auto"/>
              </w:rPr>
            </w:pPr>
            <w:r>
              <w:rPr>
                <w:rFonts w:ascii="Arial" w:cs="Arial" w:eastAsia="Arial" w:hAnsi="Arial"/>
                <w:sz w:val="18"/>
                <w:szCs w:val="18"/>
                <w:color w:val="auto"/>
              </w:rPr>
              <w:t>69</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300" w:type="dxa"/>
            <w:vAlign w:val="bottom"/>
          </w:tcPr>
          <w:p>
            <w:pPr>
              <w:spacing w:after="0"/>
              <w:rPr>
                <w:sz w:val="24"/>
                <w:szCs w:val="24"/>
                <w:color w:val="auto"/>
              </w:rPr>
            </w:pPr>
          </w:p>
        </w:tc>
        <w:tc>
          <w:tcPr>
            <w:tcW w:w="5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00" w:type="dxa"/>
            <w:vAlign w:val="bottom"/>
            <w:tcBorders>
              <w:bottom w:val="single" w:sz="8" w:color="9A9A9A"/>
            </w:tcBorders>
          </w:tcPr>
          <w:p>
            <w:pPr>
              <w:spacing w:after="0"/>
              <w:rPr>
                <w:sz w:val="10"/>
                <w:szCs w:val="10"/>
                <w:color w:val="auto"/>
              </w:rPr>
            </w:pPr>
          </w:p>
        </w:tc>
        <w:tc>
          <w:tcPr>
            <w:tcW w:w="5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8. Accrued Employee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employee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3,872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5,202</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taxes and other</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accrued employee expenses</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18,888</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17,758</w:t>
            </w:r>
          </w:p>
        </w:tc>
      </w:tr>
      <w:tr>
        <w:trPr>
          <w:trHeight w:val="21"/>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Operating leases for our corporate offices have remaining lease terms ranging from one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Certain leases contain provisions for property-related costs that are variable in nature for which the Company is responsible, including common area maintenance. Operating lease cost associated with our operating leases for the twelve months ended December 31, 2020 and 2019 was $5.3 million and $5.1 million, respectively. Variable lease cost associated with our operating leases for the twelve months ended December 31, 2020 and 2019 was $1.4 million and $1.1 million, respectively. We recorded rent expense of $2.6 million for the year ended December 31, 2018.</w:t>
      </w:r>
    </w:p>
    <w:p>
      <w:pPr>
        <w:spacing w:after="0" w:line="31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Lease-related assets and liabilities were as follows (in thousands, except years and %):</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187"/>
        </w:trPr>
        <w:tc>
          <w:tcPr>
            <w:tcW w:w="77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3,908</w:t>
            </w:r>
          </w:p>
        </w:tc>
      </w:tr>
      <w:tr>
        <w:trPr>
          <w:trHeight w:val="22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30,561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27,803</w:t>
            </w:r>
          </w:p>
        </w:tc>
      </w:tr>
      <w:tr>
        <w:trPr>
          <w:trHeight w:val="270"/>
        </w:trPr>
        <w:tc>
          <w:tcPr>
            <w:tcW w:w="7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1,845</w:t>
            </w:r>
          </w:p>
        </w:tc>
        <w:tc>
          <w:tcPr>
            <w:tcW w:w="12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2,826</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40,146</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33,312</w:t>
            </w:r>
          </w:p>
        </w:tc>
      </w:tr>
      <w:tr>
        <w:trPr>
          <w:trHeight w:val="223"/>
        </w:trPr>
        <w:tc>
          <w:tcPr>
            <w:tcW w:w="7760" w:type="dxa"/>
            <w:vAlign w:val="bottom"/>
          </w:tcPr>
          <w:p>
            <w:pPr>
              <w:ind w:left="220"/>
              <w:spacing w:after="0"/>
              <w:rPr>
                <w:sz w:val="20"/>
                <w:szCs w:val="20"/>
                <w:color w:val="auto"/>
              </w:rPr>
            </w:pPr>
            <w:r>
              <w:rPr>
                <w:rFonts w:ascii="Arial" w:cs="Arial" w:eastAsia="Arial" w:hAnsi="Arial"/>
                <w:sz w:val="18"/>
                <w:szCs w:val="18"/>
                <w:color w:val="auto"/>
              </w:rPr>
              <w:t>Total lease liabilities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41,991</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36,138</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77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30"/>
        </w:trPr>
        <w:tc>
          <w:tcPr>
            <w:tcW w:w="9640" w:type="dxa"/>
            <w:vAlign w:val="bottom"/>
          </w:tcPr>
          <w:p>
            <w:pPr>
              <w:ind w:left="160"/>
              <w:spacing w:after="0"/>
              <w:rPr>
                <w:sz w:val="20"/>
                <w:szCs w:val="20"/>
                <w:color w:val="auto"/>
              </w:rPr>
            </w:pPr>
            <w:r>
              <w:rPr>
                <w:rFonts w:ascii="Arial" w:cs="Arial" w:eastAsia="Arial" w:hAnsi="Arial"/>
                <w:sz w:val="18"/>
                <w:szCs w:val="18"/>
                <w:color w:val="auto"/>
                <w:w w:val="98"/>
              </w:rPr>
              <w:t>Future minimum lease payments under non-cancellable leases as of December 31, 2020 were as follows (in thousands):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21"/>
        </w:trPr>
        <w:tc>
          <w:tcPr>
            <w:tcW w:w="9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9640" w:type="dxa"/>
            <w:vAlign w:val="bottom"/>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(915)</w:t>
            </w:r>
          </w:p>
        </w:tc>
      </w:tr>
      <w:tr>
        <w:trPr>
          <w:trHeight w:val="230"/>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4,544</w:t>
            </w:r>
          </w:p>
        </w:tc>
      </w:tr>
      <w:tr>
        <w:trPr>
          <w:trHeight w:val="229"/>
        </w:trPr>
        <w:tc>
          <w:tcPr>
            <w:tcW w:w="9640" w:type="dxa"/>
            <w:vAlign w:val="bottom"/>
          </w:tcPr>
          <w:p>
            <w:pPr>
              <w:ind w:left="20"/>
              <w:spacing w:after="0"/>
              <w:rPr>
                <w:sz w:val="20"/>
                <w:szCs w:val="20"/>
                <w:color w:val="auto"/>
              </w:rPr>
            </w:pPr>
            <w:r>
              <w:rPr>
                <w:rFonts w:ascii="Arial" w:cs="Arial" w:eastAsia="Arial" w:hAnsi="Arial"/>
                <w:sz w:val="18"/>
                <w:szCs w:val="18"/>
                <w:color w:val="auto"/>
              </w:rPr>
              <w:t>2023</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4,845</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r>
      <w:tr>
        <w:trPr>
          <w:trHeight w:val="230"/>
        </w:trPr>
        <w:tc>
          <w:tcPr>
            <w:tcW w:w="9640" w:type="dxa"/>
            <w:vAlign w:val="bottom"/>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4,671</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32,040</w:t>
            </w:r>
          </w:p>
        </w:tc>
      </w:tr>
      <w:tr>
        <w:trPr>
          <w:trHeight w:val="223"/>
        </w:trPr>
        <w:tc>
          <w:tcPr>
            <w:tcW w:w="9640" w:type="dxa"/>
            <w:vAlign w:val="bottom"/>
          </w:tcPr>
          <w:p>
            <w:pPr>
              <w:ind w:left="220"/>
              <w:spacing w:after="0"/>
              <w:rPr>
                <w:sz w:val="20"/>
                <w:szCs w:val="20"/>
                <w:color w:val="auto"/>
              </w:rPr>
            </w:pPr>
            <w:r>
              <w:rPr>
                <w:rFonts w:ascii="Arial" w:cs="Arial" w:eastAsia="Arial" w:hAnsi="Arial"/>
                <w:sz w:val="18"/>
                <w:szCs w:val="18"/>
                <w:color w:val="auto"/>
              </w:rPr>
              <w:t>Total future minimum lease payments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49,982</w:t>
            </w:r>
          </w:p>
        </w:tc>
      </w:tr>
      <w:tr>
        <w:trPr>
          <w:trHeight w:val="229"/>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(11,963)</w:t>
            </w:r>
          </w:p>
        </w:tc>
      </w:tr>
      <w:tr>
        <w:trPr>
          <w:trHeight w:val="223"/>
        </w:trPr>
        <w:tc>
          <w:tcPr>
            <w:tcW w:w="9640" w:type="dxa"/>
            <w:vAlign w:val="bottom"/>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38,019</w:t>
            </w:r>
          </w:p>
        </w:tc>
      </w:tr>
      <w:tr>
        <w:trPr>
          <w:trHeight w:val="20"/>
        </w:trPr>
        <w:tc>
          <w:tcPr>
            <w:tcW w:w="96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Future minimum lease payments for the year ending December 31, 2021 are presented net of tenant improvement allowances of $4.8 million.</w:t>
      </w:r>
    </w:p>
    <w:p>
      <w:pPr>
        <w:spacing w:after="0" w:line="1" w:lineRule="exact"/>
        <w:rPr>
          <w:rFonts w:ascii="Arial" w:cs="Arial" w:eastAsia="Arial" w:hAnsi="Arial"/>
          <w:sz w:val="21"/>
          <w:szCs w:val="21"/>
          <w:color w:val="auto"/>
          <w:vertAlign w:val="superscript"/>
        </w:rPr>
      </w:pPr>
    </w:p>
    <w:p>
      <w:pPr>
        <w:jc w:val="both"/>
        <w:ind w:firstLine="8"/>
        <w:spacing w:after="0" w:line="290" w:lineRule="auto"/>
        <w:tabs>
          <w:tab w:leader="none" w:pos="165" w:val="left"/>
        </w:tabs>
        <w:numPr>
          <w:ilvl w:val="0"/>
          <w:numId w:val="15"/>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$4.0 million on our Consolidated Balance Sheets, which relates to certain of our leases for which the lease incentives to be received exceed the minimum lease payments to be paid over the next twelve months.</w:t>
      </w:r>
    </w:p>
    <w:p>
      <w:pPr>
        <w:spacing w:after="0" w:line="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December 17, 2020, we entered into a lease amendment for 1707 N Plano Road, Richardson, Texas. The amendment expands the current leased space with three additional suites totaling approximately 23,833 square feet and extends the lease term to March 31, 2032. The total commitment under this lease is $11.6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24, 2018, we entered into Amendment Number Two to the Credit Agreement (the "Second Amendment") with Wells Fargo, as administrative agent, and the lenders that were parties thereto (as amended, the "Credit Agreement"). Under the terms of the Second Amendment, the lenders issued the Term Loan to us and increased the amount available under the Revolving Facility to $50.0 million. The maturity date of the Term Loan and Revolving Facility was December 24, 2023. In addition, pursuant to the Second Amendment, we were permitted to make certain restricted junior payments, including, without limitation, repurchases of our common stock, and to enter into acquisitions with no value limitation, so long as we maintained specified liquidity requirements and leverage ratios.</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Second Amendment also modified certain financial covenants by, among other things, requiring us to maintain (i) an EBITDA to interest expense ratio of not less than 3.0 to 1.0, and (ii) a funded indebtedness to EBITDA ratio of not more than 3.5:1.0 (the "Required Leverage Ratio") (decreasing by 0.25 per year until the Required Leverage Ratio is 2.5 to 1.0); provided, however, that we were not required to maintain the foregoing ratios if our liquidity (defined as the sum of the remaining borrowing capacity under the Credit Agreement and available cash) had equaled or exceeded the greater of $20.0 million and 20% of the sum of the outstanding principal amount of the Term Loan and commitments under the Revolving Facility. If we entered into an acquisition with a purchase price greater than or equal to $20.0 million, then the Required Leverage Ratio would be increased by 0.5 for the 12-month period immediately following the consummation of such acquisition.</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Credit Agreement contained customary affirmative, negative and financial covenants. The affirmative covenants required us to, among other things, disclose financial and other information to the lenders, maintain our business and properties, and maintain adequate insurance. The negative covenants restricted us from, among other things, incurring additional indebtedness, prepaying certain types of indebtedness, encumbering or disposing of our assets, making fundamental changes to our corporate structure, and making certain dividends and distributions.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Second Amendment, borrowings under the Credit Agreement would bear interest at a fluctuating rate per annum equal to, at our option, (i) LIBOR or (ii) an alternate base rate, in each case plus the applicable interest rate margin. Borrowings would fluctuate between LIBOR plus 1.5% per annum and adjusted LIBOR plus 2.0% per annum (or between the alternate base rate plus 0.5% per annum and the alternate base rate plus 1.0% per annum), based upon our Required Leverage Ratio.</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4" w:name="page75"/>
    <w:bookmarkEnd w:id="74"/>
    <w:p>
      <w:pPr>
        <w:jc w:val="both"/>
        <w:ind w:firstLine="648"/>
        <w:spacing w:after="0" w:line="263" w:lineRule="auto"/>
        <w:rPr>
          <w:sz w:val="20"/>
          <w:szCs w:val="20"/>
          <w:color w:val="auto"/>
        </w:rPr>
      </w:pPr>
      <w:r>
        <w:rPr>
          <w:rFonts w:ascii="Arial" w:cs="Arial" w:eastAsia="Arial" w:hAnsi="Arial"/>
          <w:sz w:val="18"/>
          <w:szCs w:val="18"/>
          <w:color w:val="auto"/>
        </w:rPr>
        <w:t>Fees payable on the unused portion of the Revolving Facility were 0.25% per annum, unless the average usage of the Revolving Facility was equal to or less than $30.0 million for the applicable period, in which case the fees on the unused portion of the Revolving Facility would have been 0.375% per annum.</w:t>
      </w:r>
    </w:p>
    <w:p>
      <w:pPr>
        <w:spacing w:after="0" w:line="7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 xml:space="preserve">In connection with the MyCase Transaction, and as required by the terms of the Credit Agreement, the Credit Agreement was terminated and all obligations outstanding under the Term Loan and Revolving Facility thereunder, including all guarantees and security interests granted with respect to such obligations, were satisfied in full with proceeds from the MyCase Transaction and extinguished. Immediately prior to the repayment of amounts owed under, and termination of, the Credit Agreement, there were approximately $48.1 million in term loans outstanding and $49.1 million in revolving borrowings outstanding. Refer to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xml:space="preserve">, and Note 3, </w:t>
      </w:r>
      <w:r>
        <w:rPr>
          <w:rFonts w:ascii="Arial" w:cs="Arial" w:eastAsia="Arial" w:hAnsi="Arial"/>
          <w:sz w:val="18"/>
          <w:szCs w:val="18"/>
          <w:i w:val="1"/>
          <w:iCs w:val="1"/>
          <w:color w:val="auto"/>
        </w:rPr>
        <w:t>Divestitures and Business Combinations</w:t>
      </w:r>
      <w:r>
        <w:rPr>
          <w:rFonts w:ascii="Arial" w:cs="Arial" w:eastAsia="Arial" w:hAnsi="Arial"/>
          <w:sz w:val="18"/>
          <w:szCs w:val="18"/>
          <w:color w:val="auto"/>
        </w:rPr>
        <w:t>, of our Consolidated Financial Statements for more information about the MyCase Transaction.</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Debt Financing Costs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Second Amendment, we incurred $0.4 million in financing fees that were capitalized and amortized over the remaining life of the related debt, $0.2 million of which was related to the Term Loan and $0.2 million of which was related to the Revolving Facility. Pursuant to GAAP, the Second Amendment is accounted for as a debt modification. As a result, the unamortized deferred debt financing costs related to the Revolving Facility prior to the Second Amendment were added to the $0.2 million of deferred debt financing costs related to the Second Amendment and amortized over the remaining life of the Revolving Facility.</w:t>
      </w:r>
    </w:p>
    <w:p>
      <w:pPr>
        <w:spacing w:after="0" w:line="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Debt financing costs were deferred and amortized, using the straight-line method, which approximated the effective interest method, for costs related to the Term Loan and the straight-line method for costs related to the Revolving Facility over the term of the arrangement; such amortization is included in </w:t>
      </w:r>
      <w:r>
        <w:rPr>
          <w:rFonts w:ascii="Arial" w:cs="Arial" w:eastAsia="Arial" w:hAnsi="Arial"/>
          <w:sz w:val="18"/>
          <w:szCs w:val="18"/>
          <w:i w:val="1"/>
          <w:iCs w:val="1"/>
          <w:color w:val="auto"/>
        </w:rPr>
        <w:t>Interest expense, net</w:t>
      </w:r>
      <w:r>
        <w:rPr>
          <w:rFonts w:ascii="Arial" w:cs="Arial" w:eastAsia="Arial" w:hAnsi="Arial"/>
          <w:sz w:val="18"/>
          <w:szCs w:val="18"/>
          <w:color w:val="auto"/>
        </w:rPr>
        <w:t xml:space="preserve"> in the Consolidated Statements of Operations. Amortization of deferred debt financing costs was not material for the years ended December 31, 2020, 2019 and 2018. At December 31, 2019, the remaining unamortized deferred debt financing costs were $0.4 million, of which $0.2 million was offset against debt. As of December 31, 2019, $0.3 million of the remaining unamortized deferred debt financing costs were recorded in </w:t>
      </w: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and</w:t>
      </w:r>
      <w:r>
        <w:rPr>
          <w:rFonts w:ascii="Arial" w:cs="Arial" w:eastAsia="Arial" w:hAnsi="Arial"/>
          <w:sz w:val="18"/>
          <w:szCs w:val="18"/>
          <w:i w:val="1"/>
          <w:iCs w:val="1"/>
          <w:color w:val="auto"/>
        </w:rPr>
        <w:t xml:space="preserve"> Other long-term assets </w:t>
      </w:r>
      <w:r>
        <w:rPr>
          <w:rFonts w:ascii="Arial" w:cs="Arial" w:eastAsia="Arial" w:hAnsi="Arial"/>
          <w:sz w:val="18"/>
          <w:szCs w:val="18"/>
          <w:color w:val="auto"/>
        </w:rPr>
        <w:t>on our Condensed Consolidated Balance Sheets, as they pertained to the Revolving</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our long-term debt as of December 31, 2020 and December 31, 2019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9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 amounts due under Term Loan</w:t>
            </w: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48,750</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Unamortized debt financing costs</w:t>
            </w:r>
          </w:p>
        </w:tc>
        <w:tc>
          <w:tcPr>
            <w:tcW w:w="126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4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unamortized debt financing costs</w:t>
            </w:r>
          </w:p>
        </w:tc>
        <w:tc>
          <w:tcPr>
            <w:tcW w:w="1260" w:type="dxa"/>
            <w:vAlign w:val="bottom"/>
            <w:tcBorders>
              <w:top w:val="single" w:sz="8" w:color="auto"/>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our insurance services, they are issued an insurance policy underwritten by our third-party service provider. The policy has a limit of $100,000 per incident for each insured residence. We have entered into a reinsurance agreement with our third-party service provider and, as a result, we assume a 100% quota share of the legal liability to landlord insurance provided to our customers through our third-party service provider. Included in cost of revenue we accrue for reported claims, and an estimate of losses incurred but not reported by our property management customers, as we bear the risk related to claims. Our liability for reported claims and incurred but not reported claims at December 31, 2020 and 2019 was $1.5 million and $1.8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Consolidated Balance Sheets.</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Included in prepaid expenses and other current assets as of December 31, 2020 and 2019 are $2.7 million and $1.3 million, respectively, of deposits held with a third party related to requirements to maintain collateral for our insurance services.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2019, we received a Request for Information from the Civil Rights Division (Housing and Civil Enforcement Section) of the U.S. Department of Justice ("DOJ") requesting certain information relating to our compliance with the Servicemembers Civil Relief Act in connection with our tenant screening Value+ service. On November 6, 2020, the DOJ issued a no action letter, declining to take any action against us and closing its investigation.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5" w:name="page76"/>
    <w:bookmarkEnd w:id="75"/>
    <w:p>
      <w:pPr>
        <w:jc w:val="both"/>
        <w:ind w:firstLine="648"/>
        <w:spacing w:after="0" w:line="257" w:lineRule="auto"/>
        <w:rPr>
          <w:sz w:val="20"/>
          <w:szCs w:val="20"/>
          <w:color w:val="auto"/>
        </w:rPr>
      </w:pPr>
      <w:r>
        <w:rPr>
          <w:rFonts w:ascii="Arial" w:cs="Arial" w:eastAsia="Arial" w:hAnsi="Arial"/>
          <w:sz w:val="18"/>
          <w:szCs w:val="18"/>
          <w:color w:val="auto"/>
        </w:rPr>
        <w:t>In December 2018, we received a Civil Investigative Demand from the Federal Trade Commission ("FTC") requesting certain information relating to our compliance with the Fair Credit Reporting Act in connection with our tenant screening Value+ service (the "FTC Investigation"). On April 30, 2020, the FTC staff informed us of its belief that there is a reasonable basis for asserting claims against us for our alleged failure to comply with certain sections of the FCRA that could result in monetary penalty and/or injunctive relief. We disagree with the stated belief of the FTC and vigorously defended our position.</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our disagreement with the FTC's position, and primarily in an effort to avoid protracted litigation and potential distraction to our business, we entered into settlement negotiations with the FTC in an effort to resolve all claims and allegations arising out of or relating to the FTC Investigation. Those settlement negotiations resulted in a final agreement between the parties that is memorialized in a Stipulated Order for Permanent Injunction and Civil Penalty Judgment filed in the United States District Court for the District of Columbia on January 12, 2021. We admitted no wrongdoing in connection with the settlement.</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the second quarter of 2020, we determined that a loss stemming from the FTC Investigation was probable and that a reasonable estimate of the loss was approximately $4.3 million. Accordingly, an accrual of $4.3 million is included within </w:t>
      </w:r>
      <w:r>
        <w:rPr>
          <w:rFonts w:ascii="Arial" w:cs="Arial" w:eastAsia="Arial" w:hAnsi="Arial"/>
          <w:sz w:val="18"/>
          <w:szCs w:val="18"/>
          <w:i w:val="1"/>
          <w:iCs w:val="1"/>
          <w:color w:val="auto"/>
        </w:rPr>
        <w:t>accrued expenses</w:t>
      </w:r>
      <w:r>
        <w:rPr>
          <w:rFonts w:ascii="Arial" w:cs="Arial" w:eastAsia="Arial" w:hAnsi="Arial"/>
          <w:sz w:val="18"/>
          <w:szCs w:val="18"/>
          <w:color w:val="auto"/>
        </w:rPr>
        <w:t xml:space="preserve"> on our Consolidated Balance Sheet as of December 31, 2020. The ultimate settlement amount of $4.3 million was paid in January 2021.</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the foregoing, from time to time, we are involved in various other investigatory inquiries or legal proceedings arising from or related to matters incident to the ordinary course of our business activities, including actions with respect to intellectual property, employment, regulatory and contractual issues. Although the results of such investigatory inquiries and legal proceedings cannot be predicted with certainty, we believe that we are not currently a party to any investigatory inquiries or legal proceeding(s) which, if determined adversely to us, would, individually or taken together, have a material adverse effect on our business, operating results, financial condition or cash flows.</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At December 31, 2020 and 2019, we have not accrued a liability for these indemnification arrangements because we determined that the likelihood of incurring a payment obligation, if any, in connection with these indemnification arrangements is not probable or reasonably possible and the amount or range of amounts of any such liability is not reasonably estimable.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Stockholders’ Equity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effectiveness of our Amended and Restated Certificate of Incorporation on June 25, 2015, the number of shares of capital stock that is authorized to be issued was increased to 325,000,000 shares, of which 250,000,000 shares are Class A common stock, 50,000,000 shares are Class B common stock and 25,000,000 are undesignated preferred stock. The Class A common stock, Class B common stock and preferred stock have a par value of $0.0001 per share.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Class A Common Stock and Class B Common Stock</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Except for voting rights, or as otherwise required by applicable law, the shares of our Class A common stock and Class B common stock have the same powers, preferences and rights and rank equally, share ratably and are identical in all respects as to all matters. The rights and preferences are as follows:</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Subject to preferences that may apply to any shares of preferred stock outstanding at the time, the holders of outstanding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Class A common stock and Class B common stock are entitled to receive dividends out of funds legally available at the times and in the amounts that our Board of Directors may determine.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6" w:name="page77"/>
    <w:bookmarkEnd w:id="76"/>
    <w:p>
      <w:pPr>
        <w:jc w:val="both"/>
        <w:ind w:firstLine="648"/>
        <w:spacing w:after="0" w:line="255"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holders of our Class A common stock are entitled to one vote per share, and holders of our Class B common stock are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to 10 votes per share. The holders of our Class A common stock and Class B common stock will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addition, our amended and restated certificate of incorporation requires the approval of the holders of at least a majority of the outstanding shares of our Class B common stock, voting as a separate class to approve a change-in-control transaction.</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Conversion</w:t>
      </w:r>
      <w:r>
        <w:rPr>
          <w:rFonts w:ascii="Arial" w:cs="Arial" w:eastAsia="Arial" w:hAnsi="Arial"/>
          <w:sz w:val="17"/>
          <w:szCs w:val="17"/>
          <w:color w:val="auto"/>
        </w:rPr>
        <w:t>. Upon the closing of our initial public offering ("IPO"), all shares of our convertible preferred stock and common stock held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offering were converted into shares of Class B common stock. Currently, each share of our Class B common stock is convertible at any time at the option of the holder into one share of our Class A common stock. In addition, each share of our Class B common stock will convert into one share of our Class A common stock upon any transfer, whether or not for value, except for certain transfers described in our amended and restated certificate of incorporation, including, without limitation, (i) a transfer by a partnership or limited liability company that was a registered holder of our Class B common stock at the “effective time,” as defined in our amended and restated certificate of incorporation, to a partner or member thereof at the effective time or (ii) a transfer to a “qualified recipient,” as defined in our amended and restated certificate of incorporation.</w:t>
      </w:r>
    </w:p>
    <w:p>
      <w:pPr>
        <w:spacing w:after="0" w:line="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the outstanding shares of our Class B common stock will convert automatically into shares of our Class A common stock upon the date when the number of outstanding shares of our Class B common stock represents less than 10% of all outstanding shares of our Class A common stock and Class B common stock. Once converted into our Class A common stock, our Class B common stock may not be reissued.</w:t>
      </w:r>
    </w:p>
    <w:p>
      <w:pPr>
        <w:spacing w:after="0" w:line="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Right to Receive Liquidation Distributions</w:t>
      </w:r>
      <w:r>
        <w:rPr>
          <w:rFonts w:ascii="Arial" w:cs="Arial" w:eastAsia="Arial" w:hAnsi="Arial"/>
          <w:sz w:val="17"/>
          <w:szCs w:val="17"/>
          <w:color w:val="auto"/>
        </w:rPr>
        <w:t>. Upon our dissolution, liquidation or winding-up, the assets legally available for distribution to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upon the filing of our amended and restated certificate of incorporation in June 2015, no shares of preferred stock were outstanding because all outstanding shares of our convertible preferred stock converted into our Class B common stock.</w:t>
      </w:r>
    </w:p>
    <w:p>
      <w:pPr>
        <w:spacing w:after="0" w:line="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Pursuant to the terms of our amended and restated certificate of incorporation, our Board of Directors will be authorized, subject to limitations prescribed by Delaware law, to issue up to 25,000,000 shares of our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action by our stockholders. The number of authorized shares of any series of preferred stock may be increased or decreased, but not below the number of shares of that series then outstanding, by the affirmative vote of the holders of a majority of the voting power of our outstanding capital stock entitled to vote thereon, or such other vote as may be required by the certificate of designation establishing the series.</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in privately negotiated transactions at a repurchase price that the members of the committee unanimously believe is below intrinsic value conservatively determined. The Share Repurchase Program does not obligate us to repurchase any specific dollar amount or number of shares, there is no expiration date for the Share Repurchase Program, and it may be modified, suspended or terminated at any time and for any reason.</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a total of 48,002 shares of our Class A common stock through open market repurchases, and recorded a $4.2 million reduction to stockholders' equity, which includes broker commissions. We have not made any repurchases under the Share Repurchase Program subsequent to the three months ended March 31, 2020.</w:t>
      </w:r>
    </w:p>
    <w:p>
      <w:pPr>
        <w:spacing w:after="0" w:line="288" w:lineRule="exact"/>
        <w:rPr>
          <w:sz w:val="20"/>
          <w:szCs w:val="20"/>
          <w:color w:val="auto"/>
        </w:rPr>
      </w:pPr>
    </w:p>
    <w:p>
      <w:pPr>
        <w:ind w:left="660" w:right="8700" w:hanging="652"/>
        <w:spacing w:after="0" w:line="576" w:lineRule="auto"/>
        <w:tabs>
          <w:tab w:leader="none" w:pos="282"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i w:val="1"/>
          <w:iCs w:val="1"/>
          <w:color w:val="auto"/>
        </w:rPr>
        <w:t>2015 Stock Incentive Plan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7" w:name="page78"/>
    <w:bookmarkEnd w:id="77"/>
    <w:p>
      <w:pPr>
        <w:jc w:val="both"/>
        <w:ind w:firstLine="648"/>
        <w:spacing w:after="0" w:line="253" w:lineRule="auto"/>
        <w:rPr>
          <w:sz w:val="20"/>
          <w:szCs w:val="20"/>
          <w:color w:val="auto"/>
        </w:rPr>
      </w:pPr>
      <w:r>
        <w:rPr>
          <w:rFonts w:ascii="Arial" w:cs="Arial" w:eastAsia="Arial" w:hAnsi="Arial"/>
          <w:sz w:val="18"/>
          <w:szCs w:val="18"/>
          <w:color w:val="auto"/>
        </w:rPr>
        <w:t>In conjunction with our IPO in 2015, our Board of Directors and stockholders adopted the 2015 Stock Incentive Plan (the "2015 Plan"). Upon adoption of the 2015 Plan, 2,000,000 shares of our Class A common stock were reserved and available for grant and issuance. On January 1 of each subsequent calendar year, the number of shares available for grant and issuance under the 2015 Plan increase by the lesser of (i) the number of shares of our Class A common stock subject to awards granted under the 2015 Plan during the preceding calendar year and (ii) such lesser number of shares of our Class A common stock determined by our Board of Directors. At December 31, 2020, we have reserved an aggregate of 4,026,493 shares of our Class A common stock for grant and issuance under the 2015 Plan. The number of shares of our Class A common stock is also subject to adjustment in the event of a recapitalization, stock split, reclassification, stock dividend or other change in our capitalization. The 2015 Plan authorizes the award of stock options, stock appreciation rights, RSAs, RSUs, performance awards and stock bonuses. The 2015 Plan provides for the grant of awards to our employees, directors, consultants and independent contractors, subject to certain exceptions. RSUs, PSUs, and RSAs have been issued during 2020 pursuant to the 2015 Plan.</w:t>
      </w:r>
    </w:p>
    <w:p>
      <w:pPr>
        <w:spacing w:after="0" w:line="8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Stock options may vest based on the passage of time or the achievement of performance conditions at the discretion of our compensation committee. Our compensation committee may provide for stock options to be exercised only as they vest or to be immediately exercisable with any shares issued on exercise being subject to our right of repurchase that lapses as the shares vest. The maximum term of stock options granted under the 2015 Plan is 10 years.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RSUs and PSUs represent the right on the part of the holder to receive shares of our Class A common stock at a specified date in the future or the achievement of performance conditions at the discretion of our compensation committee, subject to forfeiture of that right due to termination of employment. If an RSU or PSU has not been forfeited, then, on the specified date, we will deliver to the holder of the RSU or PSU shares of our Class A common stock.</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2007 Stock Incentive Plan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14, 2007, our Board of Directors adopted the 2007 Stock Incentive Plan (the “2007 Plan”). Following our IPO, our Board of Directors determined not to make any further awards under the 2007 Plan. The 2007 Plan expired on February 14, 2017. The 2007 Plan will continue to govern outstanding awards granted under the 2007 Plan.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stock option activity for the year ended December 31, 2020 is as follows (number of shares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6100" w:type="dxa"/>
            <w:vAlign w:val="bottom"/>
          </w:tcPr>
          <w:p>
            <w:pPr>
              <w:spacing w:after="0"/>
              <w:rPr>
                <w:sz w:val="11"/>
                <w:szCs w:val="11"/>
                <w:color w:val="auto"/>
              </w:rPr>
            </w:pPr>
          </w:p>
        </w:tc>
        <w:tc>
          <w:tcPr>
            <w:tcW w:w="1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8"/>
        </w:trPr>
        <w:tc>
          <w:tcPr>
            <w:tcW w:w="6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Exercise Price per Share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Life in Years</w:t>
            </w:r>
          </w:p>
        </w:tc>
        <w:tc>
          <w:tcPr>
            <w:tcW w:w="0" w:type="dxa"/>
            <w:vAlign w:val="bottom"/>
          </w:tcPr>
          <w:p>
            <w:pPr>
              <w:spacing w:after="0"/>
              <w:rPr>
                <w:sz w:val="1"/>
                <w:szCs w:val="1"/>
                <w:color w:val="auto"/>
              </w:rPr>
            </w:pPr>
          </w:p>
        </w:tc>
      </w:tr>
      <w:tr>
        <w:trPr>
          <w:trHeight w:val="224"/>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2019</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Options cancelled/forfeited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2020</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December 31, 2020:</w:t>
            </w: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Options vested and expected to vest</w:t>
            </w:r>
          </w:p>
        </w:tc>
        <w:tc>
          <w:tcPr>
            <w:tcW w:w="1620" w:type="dxa"/>
            <w:vAlign w:val="bottom"/>
          </w:tcPr>
          <w:p>
            <w:pPr>
              <w:jc w:val="right"/>
              <w:spacing w:after="0"/>
              <w:rPr>
                <w:sz w:val="20"/>
                <w:szCs w:val="20"/>
                <w:color w:val="auto"/>
              </w:rPr>
            </w:pPr>
            <w:r>
              <w:rPr>
                <w:rFonts w:ascii="Arial" w:cs="Arial" w:eastAsia="Arial" w:hAnsi="Arial"/>
                <w:sz w:val="18"/>
                <w:szCs w:val="18"/>
                <w:color w:val="auto"/>
              </w:rPr>
              <w:t>1,168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11.77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exercisable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year ended December 31, 2020, 77,000 PSOs vested based on the achievement of 95% of the pre-established free cash flow performance target for the year ended December 31, 2019, and 40,000 PSOs vested based on the achievement of 115% of the pre-established gross margin target for the year ended December 31, 2019.</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stock-based compensation expense for stock options for the years ended December 31, 2020 was not material. Our stock-based compensation expense for stock options for the years ended December 31, 2019 and 2018 was $0.6 million and $1.6 million, respectively. At December 31, 2020, the total remaining stock-based compensation expense for unvested stock options was not material.</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years ended December 31, 2020, 2019 or 2018.</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intrinsic value of options exercised in 2020, 2019 and 2018 was $17.9 million, $11.5 million, and $7.5 million, respectively. This intrinsic value represents the difference between the fair value of our common stock on the date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8" w:name="page79"/>
    <w:bookmarkEnd w:id="78"/>
    <w:p>
      <w:pPr>
        <w:jc w:val="both"/>
        <w:ind w:right="20"/>
        <w:spacing w:after="0" w:line="277" w:lineRule="auto"/>
        <w:rPr>
          <w:sz w:val="20"/>
          <w:szCs w:val="20"/>
          <w:color w:val="auto"/>
        </w:rPr>
      </w:pPr>
      <w:r>
        <w:rPr>
          <w:rFonts w:ascii="Arial" w:cs="Arial" w:eastAsia="Arial" w:hAnsi="Arial"/>
          <w:sz w:val="18"/>
          <w:szCs w:val="18"/>
          <w:color w:val="auto"/>
        </w:rPr>
        <w:t>exercise and the exercise price of each option. Based on the fair value of our common stock at December 31, 2020, the total intrinsic value of all outstanding options, exercisable options, and options vested and expected to vest was $196.6 million.</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excess tax benefit realized from option exercises during the years ended December 31, 2020, 2019 and 2018 was $30.1 million, $20.5 million, and $7.7 million,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in connection with our RSUs for the year ended December 31, 2020 is as follows (number of shares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jc w:val="center"/>
              <w:ind w:right="13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84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jc w:val="center"/>
              <w:ind w:right="11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Fair Value per Share</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2019</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r>
        <w:trPr>
          <w:trHeight w:val="229"/>
        </w:trPr>
        <w:tc>
          <w:tcPr>
            <w:tcW w:w="73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70.52</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year ended December 31, 2020, we granted a total of 160,000 RSUs that are subject to time-based vesting in equal annual installments over four years, and 14,000 PSUs that are subject to vesting based on the achievement of pre-established consolidated net revenue growth targets for the years ending December 31, 2020, 2021 and 2022,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100% and 165% of the initial target awards.</w:t>
      </w:r>
    </w:p>
    <w:p>
      <w:pPr>
        <w:spacing w:after="0" w:line="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2020, 84,000 PSUs vested and 4,000 PSUs were cancelled based on the achievement of 95% of the pre-established free cash flow performance target for the year ended December 31, 2019.</w:t>
      </w:r>
    </w:p>
    <w:p>
      <w:pPr>
        <w:spacing w:after="0" w:line="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Included in the unvested RSUs and PSUs at December 31, 2020 are 32,000 and 82,000 PSUs granted in 2019 and 2018, respectively. Of these PSUs, 48,000 are subject to vesting based on the achievement of a pre-established consolidated net revenue growth target for the year ending December 31, 2020, 42,000 are subject to vesting based on the achievement of a pre-established consolidated net revenue growth target for the year ending December 31, 2021, and 24,000 are subject to vesting based on the achievement of a pre-established consolidated net revenue growth target for the year ending December 31, 2022.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100% and 165% of the initial target awards.</w:t>
      </w:r>
    </w:p>
    <w:p>
      <w:pPr>
        <w:spacing w:after="0" w:line="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recognize expense for the PSUs based on the grant date fair value of the PSUs that we determine are probable of vesting. Adjustments to compensation expense are made each period based on changes in our estimate of the number of PSUs that are probable of vesting. Our stock-based compensation expense for the RSUs and PSUs for the years ended December 31, 2020, 2019 and 2018, was $10.4 million, $8.3 million and $5.5 million, respectively.</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2020, the total remaining stock-based compensation expense for these RSUs was $23.4 million, which is expected to be recognized over a weighted average period of 2.2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79" w:name="page80"/>
    <w:bookmarkEnd w:id="79"/>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summary of activity in connection with our RSAs for the year ended December 31, 2020 is as follows (number of shares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56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6"/>
              </w:rPr>
              <w:t>Number of Shares</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Weighted- Average Grant Date</w:t>
            </w:r>
          </w:p>
        </w:tc>
        <w:tc>
          <w:tcPr>
            <w:tcW w:w="0" w:type="dxa"/>
            <w:vAlign w:val="bottom"/>
          </w:tcPr>
          <w:p>
            <w:pPr>
              <w:spacing w:after="0"/>
              <w:rPr>
                <w:sz w:val="1"/>
                <w:szCs w:val="1"/>
                <w:color w:val="auto"/>
              </w:rPr>
            </w:pPr>
          </w:p>
        </w:tc>
      </w:tr>
      <w:tr>
        <w:trPr>
          <w:trHeight w:val="188"/>
        </w:trPr>
        <w:tc>
          <w:tcPr>
            <w:tcW w:w="7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 per Share</w:t>
            </w:r>
          </w:p>
        </w:tc>
        <w:tc>
          <w:tcPr>
            <w:tcW w:w="0" w:type="dxa"/>
            <w:vAlign w:val="bottom"/>
          </w:tcPr>
          <w:p>
            <w:pPr>
              <w:spacing w:after="0"/>
              <w:rPr>
                <w:sz w:val="1"/>
                <w:szCs w:val="1"/>
                <w:color w:val="auto"/>
              </w:rPr>
            </w:pPr>
          </w:p>
        </w:tc>
      </w:tr>
      <w:tr>
        <w:trPr>
          <w:trHeight w:val="224"/>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2019</w:t>
            </w:r>
          </w:p>
        </w:tc>
        <w:tc>
          <w:tcPr>
            <w:tcW w:w="15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29"/>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2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0" w:type="dxa"/>
            <w:vAlign w:val="bottom"/>
          </w:tcPr>
          <w:p>
            <w:pPr>
              <w:spacing w:after="0"/>
              <w:rPr>
                <w:sz w:val="1"/>
                <w:szCs w:val="1"/>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56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the right to repurchase any unvested RSAs subject to certain conditions. RSAs vest over a one-year period. For the years ended December 31, 2020, 2019 and 2018, we recognized stock-based compensation expense for RSAs of $0.7 million, $0.3 million and $0.3 million, respectively. During 2020, the grant date fair value of the shares vested was $0.5 million.</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2020, the total remaining stock-based compensation expense for unvested RSAs was $0.4 million, which is expected to be recognized over a weighted average period of 0.7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year ended December 31, 2020, we recorded income tax expense of $38.4 million. The tax provision for the year ended December 31, 2020 includes tax expense of $51.3 million relating to the MyCase Transaction which includes $52.3 million of current tax expense on the gain on the sale of MyCase, less a $1.0 million benefit on the reversal of deferred tax liabilities relating to MyCase. For tax purposes, we plan to file an election to treat the transaction as a sale of assets. As such, the tax impact takes into consideration the tax basis of the assets on the date of sale and the availability of net operating losses and research and development tax credits.</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 tax rate as compared to the U.S. federal statutory rate of 21% differs primarily due to state income taxes and the benefits associated with stock-based compensation expense and research and development tax credits.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Set forth below is a reconciliation of the components that caused our provision for income taxes to differ from amounts computed by applying the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federal statutory rate for the years ended December 31, 2020, 2019, and 2018:</w:t>
      </w:r>
    </w:p>
    <w:p>
      <w:pPr>
        <w:spacing w:after="0" w:line="190"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23495</wp:posOffset>
            </wp:positionV>
            <wp:extent cx="286321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620" w:type="dxa"/>
            <w:vAlign w:val="bottom"/>
            <w:gridSpan w:val="2"/>
          </w:tcPr>
          <w:p>
            <w:pPr>
              <w:ind w:left="724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29"/>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9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State and local income taxes, net of federal benefit</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(3)</w:t>
            </w:r>
          </w:p>
        </w:tc>
      </w:tr>
      <w:tr>
        <w:trPr>
          <w:trHeight w:val="230"/>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Meals and entertainment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1</w:t>
            </w:r>
          </w:p>
        </w:tc>
      </w:tr>
      <w:tr>
        <w:trPr>
          <w:trHeight w:val="229"/>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Other permanent differences</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3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(9)</w:t>
            </w: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48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0"/>
        </w:trPr>
        <w:tc>
          <w:tcPr>
            <w:tcW w:w="6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The provision for (benefit from) income tax consists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9"/>
          </w:tcPr>
          <w:p>
            <w:pPr>
              <w:jc w:val="right"/>
              <w:ind w:right="310"/>
              <w:spacing w:after="0"/>
              <w:rPr>
                <w:sz w:val="20"/>
                <w:szCs w:val="20"/>
                <w:color w:val="auto"/>
              </w:rPr>
            </w:pPr>
            <w:r>
              <w:rPr>
                <w:rFonts w:ascii="Arial" w:cs="Arial" w:eastAsia="Arial" w:hAnsi="Arial"/>
                <w:sz w:val="14"/>
                <w:szCs w:val="14"/>
                <w:b w:val="1"/>
                <w:bCs w:val="1"/>
                <w:color w:val="auto"/>
                <w:w w:val="93"/>
              </w:rPr>
              <w:t>Year Ended December 31,</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0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Federal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3,982</w:t>
            </w:r>
          </w:p>
        </w:tc>
        <w:tc>
          <w:tcPr>
            <w:tcW w:w="460" w:type="dxa"/>
            <w:vAlign w:val="bottom"/>
            <w:gridSpan w:val="4"/>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52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5,444</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27,982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(18,761)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State and local</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(12,683)</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provision (benefit)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38,428</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8"/>
                <w:szCs w:val="18"/>
                <w:color w:val="auto"/>
                <w:w w:val="97"/>
              </w:rPr>
              <w:t>The components of deferred tax assets (liabilities) were as follows (in thousands):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0" w:type="dxa"/>
            <w:vAlign w:val="bottom"/>
          </w:tcPr>
          <w:p>
            <w:pPr>
              <w:spacing w:after="0"/>
              <w:rPr>
                <w:sz w:val="24"/>
                <w:szCs w:val="24"/>
                <w:color w:val="auto"/>
              </w:rPr>
            </w:pPr>
          </w:p>
        </w:tc>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70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4,112</w:t>
            </w:r>
          </w:p>
        </w:tc>
        <w:tc>
          <w:tcPr>
            <w:tcW w:w="40" w:type="dxa"/>
            <w:vAlign w:val="bottom"/>
          </w:tcPr>
          <w:p>
            <w:pPr>
              <w:spacing w:after="0"/>
              <w:rPr>
                <w:sz w:val="19"/>
                <w:szCs w:val="19"/>
                <w:color w:val="auto"/>
              </w:rPr>
            </w:pPr>
          </w:p>
        </w:tc>
        <w:tc>
          <w:tcPr>
            <w:tcW w:w="52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22,525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tax credits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asset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equipment and software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commissions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State taxes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Total net deferred tax (liabilities) assets</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3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December 31, 2020, we had no federal net operating loss carryforwards. At December 31, 2020, we had state net operating loss carryforwards of $46.5 million, which will begin to expire in 2028. At December 31, 2020, we also had federal and state research and development credit carryforwards of $4.1 million and $11.5 million, respectively. The federal credit carryforwards will begin to expire in 2040, while the state credit carryforwards apply indefinitely.</w:t>
      </w:r>
    </w:p>
    <w:p>
      <w:pPr>
        <w:spacing w:after="0" w:line="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Internal Revenue Code of 1986, as amended (“IRC”), imposes substantial restrictions on the utilization of tax attributes in the event of an “ownership change” of a corporation. Accordingly, a company’s ability to use pre-change tax attributes may be limited as prescribed under IRC Section</w:t>
      </w:r>
    </w:p>
    <w:p>
      <w:pPr>
        <w:jc w:val="both"/>
        <w:ind w:firstLine="8"/>
        <w:spacing w:after="0" w:line="255" w:lineRule="auto"/>
        <w:tabs>
          <w:tab w:leader="none" w:pos="3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which may cause limitation in the amount of the tax attributes that we utilize in any one year include, but are not limited to, a cumulative ownership change of more than 50% over a rolling three-year period. We have undertaken an IRC Section 382 analysis and have determined that there are no limitations on the tax attributes at December 31, 2020.</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1" w:name="page82"/>
    <w:bookmarkEnd w:id="81"/>
    <w:p>
      <w:pPr>
        <w:jc w:val="both"/>
        <w:ind w:firstLine="648"/>
        <w:spacing w:after="0" w:line="279" w:lineRule="auto"/>
        <w:rPr>
          <w:sz w:val="20"/>
          <w:szCs w:val="20"/>
          <w:color w:val="auto"/>
        </w:rPr>
      </w:pPr>
      <w:r>
        <w:rPr>
          <w:rFonts w:ascii="Arial" w:cs="Arial" w:eastAsia="Arial" w:hAnsi="Arial"/>
          <w:sz w:val="17"/>
          <w:szCs w:val="17"/>
          <w:color w:val="auto"/>
        </w:rPr>
        <w:t>For the years ended December 31, 2019 and 2018, we recorded an income tax benefit of $31.5 million and income tax expense of $0.4 million. During the second quarter of 2019, we evaluated all available positive and negative evidence, including our sustained profitability in 2018 and 2019, the impact of recent acquisitions and future projections of profitability. As a result, we determined that all of our deferred tax assets were more likely than not to be realized and reversed the valuation allowance against those deferred tax assets accordingly.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 in the valuation allowance for the years ended December 31, 2020, 2019 and 2018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10"/>
        </w:trPr>
        <w:tc>
          <w:tcPr>
            <w:tcW w:w="70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at beginning of year</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23,827</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Decrease in valuation allowance</w:t>
            </w: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 at end of year</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23,002</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reconciliation of the total amounts of reserves for unrecognized tax benefits from uncertain tax positions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209"/>
        </w:trPr>
        <w:tc>
          <w:tcPr>
            <w:tcW w:w="70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 beginning of year</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Increases-tax positions in current year</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 end of year</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6,141</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unrecognized tax benefits are recorded as a reduction to the deferred tax assets and liabilities.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2020 and 2019, we had no accrued interest and penalties related to uncertain income tax positions. We do not anticipate that the amount of unrecognized tax benefits will significantly increase or decrease within the next twelve months.</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taxation in the United States and various states. Due to the net operating loss carryforwards, our federal and state returns are open to examination by the Internal Revenue Service and state jurisdictions for all years since inception. We are not currently under audit by any taxing authorities.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Revenue and Other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categories for the years ended December 31, 2020, 2019 and 2018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w w:val="91"/>
              </w:rPr>
              <w:t>Year Ended December 31,</w:t>
            </w:r>
          </w:p>
        </w:tc>
        <w:tc>
          <w:tcPr>
            <w:tcW w:w="960" w:type="dxa"/>
            <w:vAlign w:val="bottom"/>
            <w:tcBorders>
              <w:bottom w:val="single" w:sz="8" w:color="auto"/>
            </w:tcBorders>
          </w:tcPr>
          <w:p>
            <w:pPr>
              <w:spacing w:after="0"/>
              <w:rPr>
                <w:sz w:val="16"/>
                <w:szCs w:val="16"/>
                <w:color w:val="auto"/>
              </w:rPr>
            </w:pPr>
          </w:p>
        </w:tc>
      </w:tr>
      <w:tr>
        <w:trPr>
          <w:trHeight w:val="209"/>
        </w:trPr>
        <w:tc>
          <w:tcPr>
            <w:tcW w:w="7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195,146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153,994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113,072</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13,972</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310,056</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256,012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190,071</w:t>
            </w: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revenue is generated primarily from United States customers. All of our property and equipment is located in the United States.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Retirement Plans</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a 401(k) retirement and savings plan made available to all employees. The 401(k) plan allows each participant to contribute up to an amount not to exceed an annual statutory maximum. We may, at our discretion, make matching contributions to the 401(k) plan. Cash contributions to the plan were $3.2 million, $2.5 million, and $1.6 million for the years ended December 31, 2020, 2019 and 2018, respectively.</w:t>
      </w:r>
    </w:p>
    <w:p>
      <w:pPr>
        <w:spacing w:after="0" w:line="1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82" w:name="page83"/>
    <w:bookmarkEnd w:id="82"/>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management, with the supervision and participation of our principal executive officer and principal financial officer, evaluated the effectiveness of our disclosure controls and procedures at December 31, 2020, the last day of the period covered by this Annual Report. Disclosure controls and procedures include, without limitation, controls and other procedures designed to provide reasonable assurance that information required to be disclosed by a company in the reports that it files or submits under the Exchange Act is recorded, processed, summarized and reported within the time periods specified by the SEC’s rules and forms and that such information is accumulated and communicated to its management, including its principal executive officer and principal financial officer, as appropriate, to allow timely decisions regarding required disclosure. Based on our management's evaluation, our principal executive officer and principal financial officer have concluded that, at December 31, 2020, our disclosure controls and procedures were effective at the reasonable assurance level.</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December 31, 2020, our management assessed the effectiveness of our internal control over financial reporting using the criteria set forth in the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as issued by the Committee of Sponsoring Organizations (COSO) of the Treadway Commission. Based on our evaluation under the COSO criteria, our management concluded that our internal control over financial reporting was effective at the reasonable assurance level as of December 31, 2020.</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effectiveness of our internal control over financial reporting has been audited by PricewaterhouseCoopers LLP, an independent registered public accounting firm, as stated in their audit report which expresses an unqualified opinion on the effectiveness of our internal control over financial reporting at December 31, 2020.</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under the Exchange Act that occurred during the quarter ended December 31, 2020 that have materially affected, or are reasonably likely to materially affect, our internal control over financial reporting.</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Limitations on Effectiveness of Disclosure Controls and Procedures and Internal Control over Financial Reporting</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designing and evaluating our disclosure controls and procedures and internal control over financial reporting, our management recognizes that any system of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There are inherent limitations to the effectiveness of any system of controls and procedures, including the possibility of human error and the circumvention or overriding of the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3" w:name="page84"/>
    <w:bookmarkEnd w:id="83"/>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will be included in our definitive Proxy Statement or an amendment to this Annual Report, which will be filed with the SEC not later than 120 days after the end of our fiscal year ended December 31, 2020, and is incorporated herein by reference.</w:t>
      </w: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0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will be included in our definitive Proxy Statement or an amendment to this Annual Report, which will be filed with the SEC not later than 120 days after the end of our fiscal year ended December 31, 2020, and is incorporated herein by reference.</w:t>
      </w:r>
    </w:p>
    <w:p>
      <w:pPr>
        <w:spacing w:after="0" w:line="142" w:lineRule="exact"/>
        <w:rPr>
          <w:sz w:val="20"/>
          <w:szCs w:val="20"/>
          <w:color w:val="auto"/>
        </w:rPr>
      </w:pPr>
    </w:p>
    <w:p>
      <w:pPr>
        <w:ind w:left="980" w:right="380" w:hanging="1295"/>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will be included in our definitive Proxy Statement or an amendment to this Annual Report, which will be filed with the SEC not later than 120 days after the end of our fiscal year ended December 31, 2020, and is incorporated herein by reference.</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will be included in our definitive Proxy Statement or an amendment to this Annual Report, which will be filed with the SEC not later than 120 days after the end of our fiscal year ended December 31, 2020, and is incorporated herein by reference.</w:t>
      </w:r>
    </w:p>
    <w:p>
      <w:pPr>
        <w:spacing w:after="0" w:line="3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information required by this item will be included in our definitive Proxy Statement or an amendment to this Annual Report, which will be filed with the SEC not later than 120 days after the end of our fiscal year ended December 31, 2020, and is incorporated herein by reference.</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STATEMENTS SCHEDULES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252" w:lineRule="exact"/>
        <w:rPr>
          <w:sz w:val="20"/>
          <w:szCs w:val="20"/>
          <w:color w:val="auto"/>
        </w:rPr>
      </w:pPr>
    </w:p>
    <w:p>
      <w:pPr>
        <w:ind w:left="1700" w:hanging="396"/>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117" w:lineRule="exact"/>
        <w:rPr>
          <w:rFonts w:ascii="Arial" w:cs="Arial" w:eastAsia="Arial" w:hAnsi="Arial"/>
          <w:sz w:val="18"/>
          <w:szCs w:val="18"/>
          <w:color w:val="auto"/>
        </w:rPr>
      </w:pPr>
    </w:p>
    <w:p>
      <w:pPr>
        <w:ind w:left="1700"/>
        <w:spacing w:after="0" w:line="277"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w:t>
      </w:r>
    </w:p>
    <w:p>
      <w:pPr>
        <w:spacing w:after="0" w:line="372" w:lineRule="exact"/>
        <w:rPr>
          <w:rFonts w:ascii="Arial" w:cs="Arial" w:eastAsia="Arial" w:hAnsi="Arial"/>
          <w:sz w:val="18"/>
          <w:szCs w:val="18"/>
          <w:color w:val="auto"/>
        </w:rPr>
      </w:pPr>
    </w:p>
    <w:p>
      <w:pPr>
        <w:ind w:left="1700" w:hanging="396"/>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1700"/>
        <w:spacing w:after="0" w:line="277" w:lineRule="auto"/>
        <w:rPr>
          <w:rFonts w:ascii="Arial" w:cs="Arial" w:eastAsia="Arial" w:hAnsi="Arial"/>
          <w:sz w:val="18"/>
          <w:szCs w:val="18"/>
          <w:color w:val="auto"/>
        </w:rPr>
      </w:pPr>
      <w:r>
        <w:rPr>
          <w:rFonts w:ascii="Arial" w:cs="Arial" w:eastAsia="Arial" w:hAnsi="Arial"/>
          <w:sz w:val="18"/>
          <w:szCs w:val="18"/>
          <w:color w:val="auto"/>
        </w:rPr>
        <w:t>All financial statement schedules have been omitted because they are not required or are not applicable, or the required information is shown in our Consolidated Financial Statements or the notes thereto.</w:t>
      </w:r>
    </w:p>
    <w:p>
      <w:pPr>
        <w:spacing w:after="0" w:line="386" w:lineRule="exact"/>
        <w:rPr>
          <w:rFonts w:ascii="Arial" w:cs="Arial" w:eastAsia="Arial" w:hAnsi="Arial"/>
          <w:sz w:val="18"/>
          <w:szCs w:val="18"/>
          <w:color w:val="auto"/>
        </w:rPr>
      </w:pPr>
    </w:p>
    <w:p>
      <w:pPr>
        <w:ind w:left="1700" w:hanging="396"/>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1700" w:right="20"/>
        <w:spacing w:after="0" w:line="277" w:lineRule="auto"/>
        <w:rPr>
          <w:rFonts w:ascii="Arial" w:cs="Arial" w:eastAsia="Arial" w:hAnsi="Arial"/>
          <w:sz w:val="18"/>
          <w:szCs w:val="18"/>
          <w:color w:val="auto"/>
        </w:rPr>
      </w:pPr>
      <w:r>
        <w:rPr>
          <w:rFonts w:ascii="Arial" w:cs="Arial" w:eastAsia="Arial" w:hAnsi="Arial"/>
          <w:sz w:val="18"/>
          <w:szCs w:val="18"/>
          <w:color w:val="auto"/>
        </w:rPr>
        <w:t>The documents listed in the Exhibit Index of this Annual Report are filed or furnished with, or incorporated by reference into, this Annual Report, in each case as indicated therein.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w w:val="92"/>
              </w:rPr>
              <w:t>Incorporated by Reference</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920" w:type="dxa"/>
            <w:vAlign w:val="bottom"/>
            <w:gridSpan w:val="28"/>
            <w:vMerge w:val="restart"/>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Form</w:t>
            </w:r>
          </w:p>
        </w:tc>
        <w:tc>
          <w:tcPr>
            <w:tcW w:w="136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File No.</w:t>
            </w:r>
          </w:p>
        </w:tc>
        <w:tc>
          <w:tcPr>
            <w:tcW w:w="10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3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Filing Date</w:t>
            </w: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gridSpan w:val="28"/>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100" w:type="dxa"/>
            <w:vAlign w:val="bottom"/>
            <w:tcBorders>
              <w:top w:val="single" w:sz="8" w:color="auto"/>
            </w:tcBorders>
            <w:gridSpan w:val="31"/>
          </w:tcPr>
          <w:p>
            <w:pPr>
              <w:spacing w:after="0" w:line="182" w:lineRule="exact"/>
              <w:rPr>
                <w:rFonts w:ascii="Arial" w:cs="Arial" w:eastAsia="Arial" w:hAnsi="Arial"/>
                <w:sz w:val="18"/>
                <w:szCs w:val="18"/>
                <w:color w:val="0000FF"/>
                <w:w w:val="92"/>
              </w:rPr>
            </w:pPr>
            <w:hyperlink r:id="rId106">
              <w:r>
                <w:rPr>
                  <w:rFonts w:ascii="Arial" w:cs="Arial" w:eastAsia="Arial" w:hAnsi="Arial"/>
                  <w:sz w:val="18"/>
                  <w:szCs w:val="18"/>
                  <w:color w:val="0000FF"/>
                  <w:w w:val="92"/>
                </w:rPr>
                <w:t>Asset Purchase Agreement, dated August 31, 2018, by</w:t>
              </w:r>
            </w:hyperlink>
          </w:p>
        </w:tc>
        <w:tc>
          <w:tcPr>
            <w:tcW w:w="80" w:type="dxa"/>
            <w:vAlign w:val="bottom"/>
          </w:tcPr>
          <w:p>
            <w:pPr>
              <w:spacing w:after="0"/>
              <w:rPr>
                <w:sz w:val="15"/>
                <w:szCs w:val="15"/>
                <w:color w:val="auto"/>
              </w:rPr>
            </w:pPr>
          </w:p>
        </w:tc>
        <w:tc>
          <w:tcPr>
            <w:tcW w:w="8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12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5"/>
                <w:szCs w:val="15"/>
                <w:color w:val="auto"/>
              </w:rPr>
            </w:pPr>
          </w:p>
        </w:tc>
        <w:tc>
          <w:tcPr>
            <w:tcW w:w="9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5"/>
                <w:szCs w:val="15"/>
                <w:color w:val="auto"/>
              </w:rPr>
            </w:pPr>
          </w:p>
        </w:tc>
        <w:tc>
          <w:tcPr>
            <w:tcW w:w="12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88"/>
              </w:rPr>
              <w:t>9/4/2018</w:t>
            </w:r>
          </w:p>
        </w:tc>
        <w:tc>
          <w:tcPr>
            <w:tcW w:w="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4"/>
          </w:tcPr>
          <w:p>
            <w:pPr>
              <w:spacing w:after="0" w:line="156" w:lineRule="exact"/>
              <w:rPr>
                <w:rFonts w:ascii="Arial" w:cs="Arial" w:eastAsia="Arial" w:hAnsi="Arial"/>
                <w:sz w:val="18"/>
                <w:szCs w:val="18"/>
                <w:color w:val="0000FF"/>
                <w:w w:val="95"/>
              </w:rPr>
            </w:pPr>
            <w:hyperlink r:id="rId106">
              <w:r>
                <w:rPr>
                  <w:rFonts w:ascii="Arial" w:cs="Arial" w:eastAsia="Arial" w:hAnsi="Arial"/>
                  <w:sz w:val="18"/>
                  <w:szCs w:val="18"/>
                  <w:color w:val="0000FF"/>
                  <w:w w:val="95"/>
                </w:rPr>
                <w:t>and between AppFolio Utility Management, Inc.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06">
              <w:r>
                <w:rPr>
                  <w:rFonts w:ascii="Arial" w:cs="Arial" w:eastAsia="Arial" w:hAnsi="Arial"/>
                  <w:sz w:val="18"/>
                  <w:szCs w:val="18"/>
                  <w:color w:val="0000FF"/>
                </w:rPr>
                <w:t>WegoWise, Inc.</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w w:val="94"/>
              </w:rPr>
            </w:pPr>
            <w:hyperlink r:id="rId107">
              <w:r>
                <w:rPr>
                  <w:rFonts w:ascii="Arial" w:cs="Arial" w:eastAsia="Arial" w:hAnsi="Arial"/>
                  <w:sz w:val="18"/>
                  <w:szCs w:val="18"/>
                  <w:color w:val="0000FF"/>
                  <w:w w:val="94"/>
                </w:rPr>
                <w:t>Agreement and Plan of Merger, dated January 7, 2019,</w:t>
              </w:r>
            </w:hyperlink>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1/8/2019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by and among the registrant., Riviera Mar,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20" w:type="dxa"/>
            <w:vAlign w:val="bottom"/>
            <w:tcBorders>
              <w:top w:val="single" w:sz="8" w:color="0000FF"/>
            </w:tcBorders>
            <w:gridSpan w:val="11"/>
          </w:tcPr>
          <w:p>
            <w:pPr>
              <w:spacing w:after="0" w:line="195" w:lineRule="exact"/>
              <w:rPr>
                <w:rFonts w:ascii="Arial" w:cs="Arial" w:eastAsia="Arial" w:hAnsi="Arial"/>
                <w:sz w:val="18"/>
                <w:szCs w:val="18"/>
                <w:u w:val="single" w:color="auto"/>
                <w:color w:val="0000FF"/>
                <w:w w:val="92"/>
              </w:rPr>
            </w:pPr>
            <w:hyperlink r:id="rId107">
              <w:r>
                <w:rPr>
                  <w:rFonts w:ascii="Arial" w:cs="Arial" w:eastAsia="Arial" w:hAnsi="Arial"/>
                  <w:sz w:val="18"/>
                  <w:szCs w:val="18"/>
                  <w:u w:val="single" w:color="auto"/>
                  <w:color w:val="0000FF"/>
                  <w:w w:val="92"/>
                </w:rPr>
                <w:t>Dynasty Marketplace, Inc. and Fortis Advisors</w:t>
              </w:r>
            </w:hyperlink>
          </w:p>
        </w:tc>
        <w:tc>
          <w:tcPr>
            <w:tcW w:w="760" w:type="dxa"/>
            <w:vAlign w:val="bottom"/>
            <w:gridSpan w:val="21"/>
          </w:tcPr>
          <w:p>
            <w:pPr>
              <w:jc w:val="center"/>
              <w:ind w:right="380"/>
              <w:spacing w:after="0" w:line="195" w:lineRule="exact"/>
              <w:rPr>
                <w:rFonts w:ascii="Arial" w:cs="Arial" w:eastAsia="Arial" w:hAnsi="Arial"/>
                <w:sz w:val="18"/>
                <w:szCs w:val="18"/>
                <w:u w:val="single" w:color="auto"/>
                <w:color w:val="0000FF"/>
                <w:w w:val="99"/>
              </w:rPr>
            </w:pPr>
            <w:hyperlink r:id="rId107">
              <w:r>
                <w:rPr>
                  <w:rFonts w:ascii="Arial" w:cs="Arial" w:eastAsia="Arial" w:hAnsi="Arial"/>
                  <w:sz w:val="18"/>
                  <w:szCs w:val="18"/>
                  <w:u w:val="single" w:color="auto"/>
                  <w:color w:val="0000FF"/>
                  <w:w w:val="99"/>
                </w:rPr>
                <w:t>LLC.</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32"/>
          </w:tcPr>
          <w:p>
            <w:pPr>
              <w:spacing w:after="0" w:line="190" w:lineRule="exact"/>
              <w:rPr>
                <w:rFonts w:ascii="Arial" w:cs="Arial" w:eastAsia="Arial" w:hAnsi="Arial"/>
                <w:sz w:val="18"/>
                <w:szCs w:val="18"/>
                <w:color w:val="0000FF"/>
                <w:w w:val="97"/>
              </w:rPr>
            </w:pPr>
            <w:hyperlink r:id="rId108">
              <w:r>
                <w:rPr>
                  <w:rFonts w:ascii="Arial" w:cs="Arial" w:eastAsia="Arial" w:hAnsi="Arial"/>
                  <w:sz w:val="18"/>
                  <w:szCs w:val="18"/>
                  <w:color w:val="0000FF"/>
                  <w:w w:val="97"/>
                </w:rPr>
                <w:t>Amended and Restated Certificate of Incorporation of</w:t>
              </w:r>
            </w:hyperlink>
          </w:p>
        </w:tc>
        <w:tc>
          <w:tcPr>
            <w:tcW w:w="9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8"/>
              </w:rPr>
              <w:t>8/6/2015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the registrant as currently in effect.</w:t>
              </w:r>
            </w:hyperlink>
          </w:p>
        </w:tc>
        <w:tc>
          <w:tcPr>
            <w:tcW w:w="13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rPr>
            </w:pPr>
            <w:hyperlink r:id="rId109">
              <w:r>
                <w:rPr>
                  <w:rFonts w:ascii="Arial" w:cs="Arial" w:eastAsia="Arial" w:hAnsi="Arial"/>
                  <w:sz w:val="18"/>
                  <w:szCs w:val="18"/>
                  <w:color w:val="0000FF"/>
                </w:rPr>
                <w:t>Amended and Restated Bylaws of the registrant as</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8/6/2015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109">
              <w:r>
                <w:rPr>
                  <w:rFonts w:ascii="Arial" w:cs="Arial" w:eastAsia="Arial" w:hAnsi="Arial"/>
                  <w:sz w:val="18"/>
                  <w:szCs w:val="18"/>
                  <w:color w:val="0000FF"/>
                  <w:w w:val="92"/>
                </w:rPr>
                <w:t>currently in effect.</w:t>
              </w:r>
            </w:hyperlink>
          </w:p>
        </w:tc>
        <w:tc>
          <w:tcPr>
            <w:tcW w:w="2340" w:type="dxa"/>
            <w:vAlign w:val="bottom"/>
            <w:tcBorders>
              <w:top w:val="single" w:sz="8" w:color="0000FF"/>
            </w:tcBorders>
            <w:gridSpan w:val="12"/>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2"/>
          </w:tcPr>
          <w:p>
            <w:pPr>
              <w:spacing w:after="0"/>
              <w:rPr>
                <w:rFonts w:ascii="Arial" w:cs="Arial" w:eastAsia="Arial" w:hAnsi="Arial"/>
                <w:sz w:val="18"/>
                <w:szCs w:val="18"/>
                <w:color w:val="0000FF"/>
              </w:rPr>
            </w:pPr>
            <w:hyperlink r:id="rId110">
              <w:r>
                <w:rPr>
                  <w:rFonts w:ascii="Arial" w:cs="Arial" w:eastAsia="Arial" w:hAnsi="Arial"/>
                  <w:sz w:val="18"/>
                  <w:szCs w:val="18"/>
                  <w:u w:val="single" w:color="auto"/>
                  <w:color w:val="0000FF"/>
                </w:rPr>
                <w:t>Specimen Certificate for Class A Common Stock</w:t>
              </w:r>
              <w:r>
                <w:rPr>
                  <w:rFonts w:ascii="Arial" w:cs="Arial" w:eastAsia="Arial" w:hAnsi="Arial"/>
                  <w:sz w:val="18"/>
                  <w:szCs w:val="18"/>
                  <w:color w:val="0000FF"/>
                </w:rPr>
                <w:t>.</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32"/>
          </w:tcPr>
          <w:p>
            <w:pPr>
              <w:spacing w:after="0" w:line="190" w:lineRule="exact"/>
              <w:rPr>
                <w:rFonts w:ascii="Arial" w:cs="Arial" w:eastAsia="Arial" w:hAnsi="Arial"/>
                <w:sz w:val="18"/>
                <w:szCs w:val="18"/>
                <w:color w:val="0000FF"/>
                <w:w w:val="95"/>
              </w:rPr>
            </w:pPr>
            <w:hyperlink r:id="rId111">
              <w:r>
                <w:rPr>
                  <w:rFonts w:ascii="Arial" w:cs="Arial" w:eastAsia="Arial" w:hAnsi="Arial"/>
                  <w:sz w:val="18"/>
                  <w:szCs w:val="18"/>
                  <w:color w:val="0000FF"/>
                  <w:w w:val="95"/>
                </w:rPr>
                <w:t>Amended and Restated Investor Rights Agreement, by</w:t>
              </w:r>
            </w:hyperlink>
          </w:p>
        </w:tc>
        <w:tc>
          <w:tcPr>
            <w:tcW w:w="9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5"/>
          </w:tcPr>
          <w:p>
            <w:pPr>
              <w:spacing w:after="0" w:line="156" w:lineRule="exact"/>
              <w:rPr>
                <w:rFonts w:ascii="Arial" w:cs="Arial" w:eastAsia="Arial" w:hAnsi="Arial"/>
                <w:sz w:val="18"/>
                <w:szCs w:val="18"/>
                <w:color w:val="0000FF"/>
                <w:w w:val="98"/>
              </w:rPr>
            </w:pPr>
            <w:hyperlink r:id="rId111">
              <w:r>
                <w:rPr>
                  <w:rFonts w:ascii="Arial" w:cs="Arial" w:eastAsia="Arial" w:hAnsi="Arial"/>
                  <w:sz w:val="18"/>
                  <w:szCs w:val="18"/>
                  <w:color w:val="0000FF"/>
                  <w:w w:val="98"/>
                </w:rPr>
                <w:t>and among the registrant and the investors named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111">
              <w:r>
                <w:rPr>
                  <w:rFonts w:ascii="Arial" w:cs="Arial" w:eastAsia="Arial" w:hAnsi="Arial"/>
                  <w:sz w:val="18"/>
                  <w:szCs w:val="18"/>
                  <w:color w:val="0000FF"/>
                  <w:w w:val="89"/>
                </w:rPr>
                <w:t>therein, dated November 26, 2013.</w:t>
              </w:r>
            </w:hyperlink>
          </w:p>
        </w:tc>
        <w:tc>
          <w:tcPr>
            <w:tcW w:w="1060" w:type="dxa"/>
            <w:vAlign w:val="bottom"/>
            <w:tcBorders>
              <w:top w:val="single" w:sz="8" w:color="0000FF"/>
            </w:tcBorders>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2"/>
          </w:tcPr>
          <w:p>
            <w:pPr>
              <w:spacing w:after="0"/>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Description of Capital Stock of the registrant.</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3/2/2020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32"/>
          </w:tcPr>
          <w:p>
            <w:pPr>
              <w:spacing w:after="0" w:line="190" w:lineRule="exact"/>
              <w:rPr>
                <w:rFonts w:ascii="Arial" w:cs="Arial" w:eastAsia="Arial" w:hAnsi="Arial"/>
                <w:sz w:val="18"/>
                <w:szCs w:val="18"/>
                <w:color w:val="0000FF"/>
              </w:rPr>
            </w:pPr>
            <w:hyperlink r:id="rId113">
              <w:r>
                <w:rPr>
                  <w:rFonts w:ascii="Arial" w:cs="Arial" w:eastAsia="Arial" w:hAnsi="Arial"/>
                  <w:sz w:val="18"/>
                  <w:szCs w:val="18"/>
                  <w:color w:val="0000FF"/>
                </w:rPr>
                <w:t>Multi-Tenant Industrial Lease, by and between the</w:t>
              </w:r>
            </w:hyperlink>
          </w:p>
        </w:tc>
        <w:tc>
          <w:tcPr>
            <w:tcW w:w="9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registrant and Nassau Land Company, L.P., dated</w:t>
              </w:r>
            </w:hyperlink>
          </w:p>
        </w:tc>
        <w:tc>
          <w:tcPr>
            <w:tcW w:w="520" w:type="dxa"/>
            <w:vAlign w:val="bottom"/>
            <w:gridSpan w:val="16"/>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April</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113">
              <w:r>
                <w:rPr>
                  <w:rFonts w:ascii="Arial" w:cs="Arial" w:eastAsia="Arial" w:hAnsi="Arial"/>
                  <w:sz w:val="18"/>
                  <w:szCs w:val="18"/>
                  <w:color w:val="0000FF"/>
                </w:rPr>
                <w:t>1, 2011 ("2011 Lease"), as amended by First</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0" w:type="dxa"/>
            <w:vAlign w:val="bottom"/>
            <w:tcBorders>
              <w:top w:val="single" w:sz="8" w:color="0000FF"/>
            </w:tcBorders>
            <w:gridSpan w:val="10"/>
          </w:tcPr>
          <w:p>
            <w:pPr>
              <w:spacing w:after="0" w:line="156" w:lineRule="exact"/>
              <w:rPr>
                <w:rFonts w:ascii="Arial" w:cs="Arial" w:eastAsia="Arial" w:hAnsi="Arial"/>
                <w:sz w:val="18"/>
                <w:szCs w:val="18"/>
                <w:color w:val="0000FF"/>
                <w:w w:val="88"/>
              </w:rPr>
            </w:pPr>
            <w:hyperlink r:id="rId113">
              <w:r>
                <w:rPr>
                  <w:rFonts w:ascii="Arial" w:cs="Arial" w:eastAsia="Arial" w:hAnsi="Arial"/>
                  <w:sz w:val="18"/>
                  <w:szCs w:val="18"/>
                  <w:color w:val="0000FF"/>
                  <w:w w:val="88"/>
                </w:rPr>
                <w:t>Amendment to 2011 Lease, dated November</w:t>
              </w:r>
            </w:hyperlink>
          </w:p>
        </w:tc>
        <w:tc>
          <w:tcPr>
            <w:tcW w:w="820" w:type="dxa"/>
            <w:vAlign w:val="bottom"/>
            <w:gridSpan w:val="17"/>
          </w:tcPr>
          <w:p>
            <w:pPr>
              <w:jc w:val="center"/>
              <w:ind w:right="60"/>
              <w:spacing w:after="0" w:line="156" w:lineRule="exact"/>
              <w:rPr>
                <w:rFonts w:ascii="Arial" w:cs="Arial" w:eastAsia="Arial" w:hAnsi="Arial"/>
                <w:sz w:val="18"/>
                <w:szCs w:val="18"/>
                <w:color w:val="0000FF"/>
                <w:w w:val="95"/>
              </w:rPr>
            </w:pPr>
            <w:hyperlink r:id="rId113">
              <w:r>
                <w:rPr>
                  <w:rFonts w:ascii="Arial" w:cs="Arial" w:eastAsia="Arial" w:hAnsi="Arial"/>
                  <w:sz w:val="18"/>
                  <w:szCs w:val="18"/>
                  <w:color w:val="0000FF"/>
                  <w:w w:val="95"/>
                </w:rPr>
                <w:t>11, 2011,</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88"/>
              </w:rPr>
            </w:pPr>
            <w:hyperlink r:id="rId113">
              <w:r>
                <w:rPr>
                  <w:rFonts w:ascii="Arial" w:cs="Arial" w:eastAsia="Arial" w:hAnsi="Arial"/>
                  <w:sz w:val="18"/>
                  <w:szCs w:val="18"/>
                  <w:color w:val="0000FF"/>
                  <w:w w:val="88"/>
                </w:rPr>
                <w:t>Second Amendment to 2011 Lease, dated February 23,</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40" w:type="dxa"/>
            <w:vAlign w:val="bottom"/>
            <w:gridSpan w:val="28"/>
          </w:tcPr>
          <w:p>
            <w:pPr>
              <w:spacing w:after="0" w:line="142" w:lineRule="exact"/>
              <w:rPr>
                <w:rFonts w:ascii="Arial" w:cs="Arial" w:eastAsia="Arial" w:hAnsi="Arial"/>
                <w:sz w:val="16"/>
                <w:szCs w:val="16"/>
                <w:u w:val="single" w:color="auto"/>
                <w:color w:val="0000FF"/>
              </w:rPr>
            </w:pPr>
            <w:hyperlink r:id="rId113">
              <w:r>
                <w:rPr>
                  <w:rFonts w:ascii="Arial" w:cs="Arial" w:eastAsia="Arial" w:hAnsi="Arial"/>
                  <w:sz w:val="16"/>
                  <w:szCs w:val="16"/>
                  <w:u w:val="single" w:color="auto"/>
                  <w:color w:val="0000FF"/>
                </w:rPr>
                <w:t>2012, and Third Amendment to 2011 Lease, dated</w:t>
              </w:r>
            </w:hyperlink>
          </w:p>
        </w:tc>
        <w:tc>
          <w:tcPr>
            <w:tcW w:w="40" w:type="dxa"/>
            <w:vAlign w:val="bottom"/>
            <w:gridSpan w:val="2"/>
          </w:tcPr>
          <w:p>
            <w:pPr>
              <w:spacing w:after="0"/>
              <w:rPr>
                <w:sz w:val="12"/>
                <w:szCs w:val="12"/>
                <w:color w:val="auto"/>
              </w:rPr>
            </w:pPr>
          </w:p>
        </w:tc>
        <w:tc>
          <w:tcPr>
            <w:tcW w:w="100" w:type="dxa"/>
            <w:vAlign w:val="bottom"/>
            <w:gridSpan w:val="2"/>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2"/>
          </w:tcPr>
          <w:p>
            <w:pPr>
              <w:spacing w:after="0"/>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November 5, 2013.</w:t>
              </w:r>
            </w:hyperlink>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32"/>
          </w:tcPr>
          <w:p>
            <w:pPr>
              <w:spacing w:after="0" w:line="190" w:lineRule="exact"/>
              <w:rPr>
                <w:rFonts w:ascii="Arial" w:cs="Arial" w:eastAsia="Arial" w:hAnsi="Arial"/>
                <w:sz w:val="18"/>
                <w:szCs w:val="18"/>
                <w:color w:val="0000FF"/>
                <w:w w:val="94"/>
              </w:rPr>
            </w:pPr>
            <w:hyperlink r:id="rId114">
              <w:r>
                <w:rPr>
                  <w:rFonts w:ascii="Arial" w:cs="Arial" w:eastAsia="Arial" w:hAnsi="Arial"/>
                  <w:sz w:val="18"/>
                  <w:szCs w:val="18"/>
                  <w:color w:val="0000FF"/>
                  <w:w w:val="94"/>
                </w:rPr>
                <w:t>Fourth Amendment to 2011 Lease, by and between the</w:t>
              </w:r>
            </w:hyperlink>
          </w:p>
        </w:tc>
        <w:tc>
          <w:tcPr>
            <w:tcW w:w="9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2"/>
              </w:rPr>
              <w:t>2/27/2017</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7"/>
          </w:tcPr>
          <w:p>
            <w:pPr>
              <w:spacing w:after="0" w:line="156" w:lineRule="exact"/>
              <w:rPr>
                <w:rFonts w:ascii="Arial" w:cs="Arial" w:eastAsia="Arial" w:hAnsi="Arial"/>
                <w:sz w:val="18"/>
                <w:szCs w:val="18"/>
                <w:color w:val="0000FF"/>
                <w:w w:val="99"/>
              </w:rPr>
            </w:pPr>
            <w:hyperlink r:id="rId114">
              <w:r>
                <w:rPr>
                  <w:rFonts w:ascii="Arial" w:cs="Arial" w:eastAsia="Arial" w:hAnsi="Arial"/>
                  <w:sz w:val="18"/>
                  <w:szCs w:val="18"/>
                  <w:color w:val="0000FF"/>
                  <w:w w:val="99"/>
                </w:rPr>
                <w:t>registrant and Nassau Land Company, L.P., dated</w:t>
              </w:r>
            </w:hyperlink>
          </w:p>
        </w:tc>
        <w:tc>
          <w:tcPr>
            <w:tcW w:w="6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February 22, 2017.</w:t>
              </w:r>
            </w:hyperlink>
          </w:p>
        </w:tc>
        <w:tc>
          <w:tcPr>
            <w:tcW w:w="216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rPr>
            </w:pPr>
            <w:hyperlink r:id="rId115">
              <w:r>
                <w:rPr>
                  <w:rFonts w:ascii="Arial" w:cs="Arial" w:eastAsia="Arial" w:hAnsi="Arial"/>
                  <w:sz w:val="18"/>
                  <w:szCs w:val="18"/>
                  <w:color w:val="0000FF"/>
                </w:rPr>
                <w:t>Multi-Tenant Industrial Lease, by and between the</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40" w:type="dxa"/>
            <w:vAlign w:val="bottom"/>
            <w:tcBorders>
              <w:top w:val="single" w:sz="8" w:color="0000FF"/>
            </w:tcBorders>
            <w:gridSpan w:val="15"/>
          </w:tcPr>
          <w:p>
            <w:pPr>
              <w:spacing w:after="0" w:line="156"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registrant and Nassau Land Company, L.P., dated</w:t>
              </w:r>
            </w:hyperlink>
          </w:p>
        </w:tc>
        <w:tc>
          <w:tcPr>
            <w:tcW w:w="80" w:type="dxa"/>
            <w:vAlign w:val="bottom"/>
            <w:gridSpan w:val="3"/>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r:id="rId115">
              <w:r>
                <w:rPr>
                  <w:rFonts w:ascii="Arial" w:cs="Arial" w:eastAsia="Arial" w:hAnsi="Arial"/>
                  <w:sz w:val="18"/>
                  <w:szCs w:val="18"/>
                  <w:color w:val="0000FF"/>
                  <w:w w:val="90"/>
                </w:rPr>
                <w:t>February 17, 2015 ("2015 Lease").</w:t>
              </w:r>
            </w:hyperlink>
          </w:p>
        </w:tc>
        <w:tc>
          <w:tcPr>
            <w:tcW w:w="1040" w:type="dxa"/>
            <w:vAlign w:val="bottom"/>
            <w:tcBorders>
              <w:top w:val="single" w:sz="8" w:color="0000FF"/>
            </w:tcBorders>
            <w:gridSpan w:val="5"/>
          </w:tcPr>
          <w:p>
            <w:pPr>
              <w:spacing w:after="0"/>
              <w:rPr>
                <w:sz w:val="13"/>
                <w:szCs w:val="13"/>
                <w:color w:val="auto"/>
              </w:rPr>
            </w:pPr>
          </w:p>
        </w:tc>
        <w:tc>
          <w:tcPr>
            <w:tcW w:w="160" w:type="dxa"/>
            <w:vAlign w:val="bottom"/>
            <w:gridSpan w:val="5"/>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w w:val="98"/>
              </w:rPr>
            </w:pPr>
            <w:hyperlink r:id="rId116">
              <w:r>
                <w:rPr>
                  <w:rFonts w:ascii="Arial" w:cs="Arial" w:eastAsia="Arial" w:hAnsi="Arial"/>
                  <w:sz w:val="18"/>
                  <w:szCs w:val="18"/>
                  <w:color w:val="0000FF"/>
                  <w:w w:val="98"/>
                </w:rPr>
                <w:t>First Amendment to 2015 Lease, by and between the</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11/9/2015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9"/>
          </w:tcPr>
          <w:p>
            <w:pPr>
              <w:spacing w:after="0" w:line="15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registrant and Nassau Land Company, L.P., dated</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116">
              <w:r>
                <w:rPr>
                  <w:rFonts w:ascii="Arial" w:cs="Arial" w:eastAsia="Arial" w:hAnsi="Arial"/>
                  <w:sz w:val="18"/>
                  <w:szCs w:val="18"/>
                  <w:color w:val="0000FF"/>
                  <w:w w:val="89"/>
                </w:rPr>
                <w:t>October 5, 2015.</w:t>
              </w:r>
            </w:hyperlink>
          </w:p>
        </w:tc>
        <w:tc>
          <w:tcPr>
            <w:tcW w:w="2340" w:type="dxa"/>
            <w:vAlign w:val="bottom"/>
            <w:tcBorders>
              <w:top w:val="single" w:sz="8" w:color="0000FF"/>
            </w:tcBorders>
            <w:gridSpan w:val="10"/>
          </w:tcPr>
          <w:p>
            <w:pPr>
              <w:spacing w:after="0"/>
              <w:rPr>
                <w:sz w:val="13"/>
                <w:szCs w:val="13"/>
                <w:color w:val="auto"/>
              </w:rPr>
            </w:pPr>
          </w:p>
        </w:tc>
        <w:tc>
          <w:tcPr>
            <w:tcW w:w="160" w:type="dxa"/>
            <w:vAlign w:val="bottom"/>
            <w:gridSpan w:val="5"/>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Second Amendment to 2015 Lease, by and between the</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2/29/2016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registrant and Nassau Land Company, L.P., dated</w:t>
              </w:r>
            </w:hyperlink>
          </w:p>
        </w:tc>
        <w:tc>
          <w:tcPr>
            <w:tcW w:w="10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February 22, 2016.</w:t>
              </w:r>
            </w:hyperlink>
          </w:p>
        </w:tc>
        <w:tc>
          <w:tcPr>
            <w:tcW w:w="2180" w:type="dxa"/>
            <w:vAlign w:val="bottom"/>
            <w:tcBorders>
              <w:top w:val="single" w:sz="8" w:color="0000FF"/>
            </w:tcBorders>
            <w:gridSpan w:val="7"/>
          </w:tcPr>
          <w:p>
            <w:pPr>
              <w:spacing w:after="0"/>
              <w:rPr>
                <w:sz w:val="13"/>
                <w:szCs w:val="13"/>
                <w:color w:val="auto"/>
              </w:rPr>
            </w:pPr>
          </w:p>
        </w:tc>
        <w:tc>
          <w:tcPr>
            <w:tcW w:w="160" w:type="dxa"/>
            <w:vAlign w:val="bottom"/>
            <w:gridSpan w:val="5"/>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10"/>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rPr>
            </w:pPr>
            <w:hyperlink r:id="rId118">
              <w:r>
                <w:rPr>
                  <w:rFonts w:ascii="Arial" w:cs="Arial" w:eastAsia="Arial" w:hAnsi="Arial"/>
                  <w:sz w:val="18"/>
                  <w:szCs w:val="18"/>
                  <w:color w:val="0000FF"/>
                </w:rPr>
                <w:t>Third Amendment to Lease, by and between the</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7/30/2018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tcBorders>
            <w:gridSpan w:val="12"/>
          </w:tcPr>
          <w:p>
            <w:pPr>
              <w:spacing w:after="0" w:line="156" w:lineRule="exact"/>
              <w:rPr>
                <w:rFonts w:ascii="Arial" w:cs="Arial" w:eastAsia="Arial" w:hAnsi="Arial"/>
                <w:sz w:val="18"/>
                <w:szCs w:val="18"/>
                <w:color w:val="0000FF"/>
                <w:w w:val="86"/>
              </w:rPr>
            </w:pPr>
            <w:hyperlink r:id="rId118">
              <w:r>
                <w:rPr>
                  <w:rFonts w:ascii="Arial" w:cs="Arial" w:eastAsia="Arial" w:hAnsi="Arial"/>
                  <w:sz w:val="18"/>
                  <w:szCs w:val="18"/>
                  <w:color w:val="0000FF"/>
                  <w:w w:val="86"/>
                </w:rPr>
                <w:t>registrant and Nassau Land Company, L.P., dated</w:t>
              </w:r>
            </w:hyperlink>
          </w:p>
        </w:tc>
        <w:tc>
          <w:tcPr>
            <w:tcW w:w="700" w:type="dxa"/>
            <w:vAlign w:val="bottom"/>
            <w:gridSpan w:val="20"/>
          </w:tcPr>
          <w:p>
            <w:pPr>
              <w:jc w:val="right"/>
              <w:ind w:right="280"/>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July</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18">
              <w:r>
                <w:rPr>
                  <w:rFonts w:ascii="Arial" w:cs="Arial" w:eastAsia="Arial" w:hAnsi="Arial"/>
                  <w:sz w:val="18"/>
                  <w:szCs w:val="18"/>
                  <w:color w:val="0000FF"/>
                  <w:w w:val="89"/>
                </w:rPr>
                <w:t>1, 2018.</w:t>
              </w:r>
            </w:hyperlink>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rPr>
            </w:pPr>
            <w:hyperlink r:id="rId119">
              <w:r>
                <w:rPr>
                  <w:rFonts w:ascii="Arial" w:cs="Arial" w:eastAsia="Arial" w:hAnsi="Arial"/>
                  <w:sz w:val="18"/>
                  <w:szCs w:val="18"/>
                  <w:color w:val="0000FF"/>
                </w:rPr>
                <w:t>Multi-Tenant Industrial Lease, by and between the</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7/30/2018</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tcBorders>
            <w:gridSpan w:val="16"/>
          </w:tcPr>
          <w:p>
            <w:pPr>
              <w:spacing w:after="0" w:line="156" w:lineRule="exact"/>
              <w:rPr>
                <w:rFonts w:ascii="Arial" w:cs="Arial" w:eastAsia="Arial" w:hAnsi="Arial"/>
                <w:sz w:val="18"/>
                <w:szCs w:val="18"/>
                <w:color w:val="0000FF"/>
                <w:w w:val="90"/>
              </w:rPr>
            </w:pPr>
            <w:hyperlink r:id="rId119">
              <w:r>
                <w:rPr>
                  <w:rFonts w:ascii="Arial" w:cs="Arial" w:eastAsia="Arial" w:hAnsi="Arial"/>
                  <w:sz w:val="18"/>
                  <w:szCs w:val="18"/>
                  <w:color w:val="0000FF"/>
                  <w:w w:val="90"/>
                </w:rPr>
                <w:t>registrant and Nassau Land Company, L.P., dated</w:t>
              </w:r>
            </w:hyperlink>
          </w:p>
        </w:tc>
        <w:tc>
          <w:tcPr>
            <w:tcW w:w="520" w:type="dxa"/>
            <w:vAlign w:val="bottom"/>
            <w:gridSpan w:val="16"/>
          </w:tcPr>
          <w:p>
            <w:pPr>
              <w:jc w:val="right"/>
              <w:ind w:right="280"/>
              <w:spacing w:after="0" w:line="155" w:lineRule="exact"/>
              <w:rPr>
                <w:rFonts w:ascii="Arial" w:cs="Arial" w:eastAsia="Arial" w:hAnsi="Arial"/>
                <w:sz w:val="17"/>
                <w:szCs w:val="17"/>
                <w:color w:val="0000FF"/>
                <w:w w:val="72"/>
              </w:rPr>
            </w:pPr>
            <w:hyperlink r:id="rId119">
              <w:r>
                <w:rPr>
                  <w:rFonts w:ascii="Arial" w:cs="Arial" w:eastAsia="Arial" w:hAnsi="Arial"/>
                  <w:sz w:val="17"/>
                  <w:szCs w:val="17"/>
                  <w:color w:val="0000FF"/>
                  <w:w w:val="72"/>
                </w:rPr>
                <w:t>July</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19">
              <w:r>
                <w:rPr>
                  <w:rFonts w:ascii="Arial" w:cs="Arial" w:eastAsia="Arial" w:hAnsi="Arial"/>
                  <w:sz w:val="18"/>
                  <w:szCs w:val="18"/>
                  <w:color w:val="0000FF"/>
                  <w:w w:val="89"/>
                </w:rPr>
                <w:t>1, 2018.</w:t>
              </w:r>
            </w:hyperlink>
          </w:p>
        </w:tc>
        <w:tc>
          <w:tcPr>
            <w:tcW w:w="5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32"/>
          </w:tcPr>
          <w:p>
            <w:pPr>
              <w:spacing w:after="0"/>
              <w:rPr>
                <w:rFonts w:ascii="Arial" w:cs="Arial" w:eastAsia="Arial" w:hAnsi="Arial"/>
                <w:sz w:val="18"/>
                <w:szCs w:val="18"/>
                <w:color w:val="0000FF"/>
                <w:w w:val="96"/>
              </w:rPr>
            </w:pPr>
            <w:hyperlink r:id="rId120">
              <w:r>
                <w:rPr>
                  <w:rFonts w:ascii="Arial" w:cs="Arial" w:eastAsia="Arial" w:hAnsi="Arial"/>
                  <w:sz w:val="18"/>
                  <w:szCs w:val="18"/>
                  <w:color w:val="0000FF"/>
                  <w:w w:val="96"/>
                </w:rPr>
                <w:t>WeWork Membership Agreement, by and between the</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2/28/2019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20" w:type="dxa"/>
            <w:vAlign w:val="bottom"/>
            <w:tcBorders>
              <w:top w:val="single" w:sz="8" w:color="0000FF"/>
            </w:tcBorders>
            <w:gridSpan w:val="22"/>
          </w:tcPr>
          <w:p>
            <w:pPr>
              <w:spacing w:after="0" w:line="195" w:lineRule="exact"/>
              <w:rPr>
                <w:rFonts w:ascii="Arial" w:cs="Arial" w:eastAsia="Arial" w:hAnsi="Arial"/>
                <w:sz w:val="18"/>
                <w:szCs w:val="18"/>
                <w:u w:val="single" w:color="auto"/>
                <w:color w:val="0000FF"/>
                <w:w w:val="94"/>
              </w:rPr>
            </w:pPr>
            <w:hyperlink r:id="rId120">
              <w:r>
                <w:rPr>
                  <w:rFonts w:ascii="Arial" w:cs="Arial" w:eastAsia="Arial" w:hAnsi="Arial"/>
                  <w:sz w:val="18"/>
                  <w:szCs w:val="18"/>
                  <w:u w:val="single" w:color="auto"/>
                  <w:color w:val="0000FF"/>
                  <w:w w:val="94"/>
                </w:rPr>
                <w:t>registrant and WeWork, dated September 28, 2018.</w:t>
              </w:r>
            </w:hyperlink>
          </w:p>
        </w:tc>
        <w:tc>
          <w:tcPr>
            <w:tcW w:w="260" w:type="dxa"/>
            <w:vAlign w:val="bottom"/>
            <w:gridSpan w:val="10"/>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3"/>
              </w:rPr>
              <w:t>10.9#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32"/>
          </w:tcPr>
          <w:p>
            <w:pPr>
              <w:spacing w:after="0" w:line="190" w:lineRule="exact"/>
              <w:rPr>
                <w:rFonts w:ascii="Arial" w:cs="Arial" w:eastAsia="Arial" w:hAnsi="Arial"/>
                <w:sz w:val="18"/>
                <w:szCs w:val="18"/>
                <w:color w:val="0000FF"/>
                <w:w w:val="99"/>
              </w:rPr>
            </w:pPr>
            <w:hyperlink r:id="rId121">
              <w:r>
                <w:rPr>
                  <w:rFonts w:ascii="Arial" w:cs="Arial" w:eastAsia="Arial" w:hAnsi="Arial"/>
                  <w:sz w:val="18"/>
                  <w:szCs w:val="18"/>
                  <w:color w:val="0000FF"/>
                  <w:w w:val="99"/>
                </w:rPr>
                <w:t>2007 Stock Incentive Plan, as amended, and related</w:t>
              </w:r>
            </w:hyperlink>
          </w:p>
        </w:tc>
        <w:tc>
          <w:tcPr>
            <w:tcW w:w="9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2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121">
              <w:r>
                <w:rPr>
                  <w:rFonts w:ascii="Arial" w:cs="Arial" w:eastAsia="Arial" w:hAnsi="Arial"/>
                  <w:sz w:val="18"/>
                  <w:szCs w:val="18"/>
                  <w:color w:val="0000FF"/>
                </w:rPr>
                <w:t>form agreements.</w:t>
              </w:r>
            </w:hyperlink>
          </w:p>
        </w:tc>
        <w:tc>
          <w:tcPr>
            <w:tcW w:w="460" w:type="dxa"/>
            <w:vAlign w:val="bottom"/>
            <w:gridSpan w:val="14"/>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920" w:type="dxa"/>
            <w:vAlign w:val="bottom"/>
            <w:gridSpan w:val="28"/>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32"/>
          </w:tcPr>
          <w:p>
            <w:pPr>
              <w:spacing w:after="0"/>
              <w:rPr>
                <w:rFonts w:ascii="Arial" w:cs="Arial" w:eastAsia="Arial" w:hAnsi="Arial"/>
                <w:sz w:val="18"/>
                <w:szCs w:val="18"/>
                <w:color w:val="0000FF"/>
                <w:w w:val="92"/>
              </w:rPr>
            </w:pPr>
            <w:hyperlink r:id="rId122">
              <w:r>
                <w:rPr>
                  <w:rFonts w:ascii="Arial" w:cs="Arial" w:eastAsia="Arial" w:hAnsi="Arial"/>
                  <w:sz w:val="18"/>
                  <w:szCs w:val="18"/>
                  <w:u w:val="single" w:color="auto"/>
                  <w:color w:val="0000FF"/>
                  <w:w w:val="92"/>
                </w:rPr>
                <w:t>2015 Stock Incentive Plan and related form agreements</w:t>
              </w:r>
              <w:r>
                <w:rPr>
                  <w:rFonts w:ascii="Arial" w:cs="Arial" w:eastAsia="Arial" w:hAnsi="Arial"/>
                  <w:sz w:val="18"/>
                  <w:szCs w:val="18"/>
                  <w:color w:val="0000FF"/>
                  <w:w w:val="92"/>
                </w:rPr>
                <w:t>.</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32"/>
          </w:tcPr>
          <w:p>
            <w:pPr>
              <w:spacing w:after="0"/>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2015 Employee Stock Purchase Plan.</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6/4/2015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10.12#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32"/>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Long-Term Cash Incentive Plan.</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2/26/2018</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5"/>
        </w:trPr>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b w:val="1"/>
                <w:bCs w:val="1"/>
                <w:color w:val="auto"/>
                <w:w w:val="92"/>
              </w:rPr>
              <w:t>Incorporated by Reference</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40" w:type="dxa"/>
            <w:vAlign w:val="bottom"/>
            <w:gridSpan w:val="22"/>
            <w:vMerge w:val="restart"/>
          </w:tcPr>
          <w:p>
            <w:pPr>
              <w:ind w:left="440"/>
              <w:spacing w:after="0"/>
              <w:rPr>
                <w:sz w:val="20"/>
                <w:szCs w:val="20"/>
                <w:color w:val="auto"/>
              </w:rPr>
            </w:pPr>
            <w:r>
              <w:rPr>
                <w:rFonts w:ascii="Arial" w:cs="Arial" w:eastAsia="Arial" w:hAnsi="Arial"/>
                <w:sz w:val="18"/>
                <w:szCs w:val="18"/>
                <w:b w:val="1"/>
                <w:bCs w:val="1"/>
                <w:color w:val="auto"/>
              </w:rPr>
              <w:t>Exhibit Description</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3"/>
              </w:rPr>
              <w:t>Form</w:t>
            </w:r>
          </w:p>
        </w:tc>
        <w:tc>
          <w:tcPr>
            <w:tcW w:w="136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File No.</w:t>
            </w:r>
          </w:p>
        </w:tc>
        <w:tc>
          <w:tcPr>
            <w:tcW w:w="10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Exhibit</w:t>
            </w:r>
          </w:p>
        </w:tc>
        <w:tc>
          <w:tcPr>
            <w:tcW w:w="13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Filing Date</w:t>
            </w:r>
          </w:p>
        </w:tc>
        <w:tc>
          <w:tcPr>
            <w:tcW w:w="1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gridSpan w:val="22"/>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10.13#</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gridSpan w:val="24"/>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Form of Long-Term Cash Incentive Award Offer.</w:t>
              </w:r>
            </w:hyperlink>
          </w:p>
        </w:tc>
        <w:tc>
          <w:tcPr>
            <w:tcW w:w="120" w:type="dxa"/>
            <w:vAlign w:val="bottom"/>
          </w:tcPr>
          <w:p>
            <w:pPr>
              <w:spacing w:after="0"/>
              <w:rPr>
                <w:sz w:val="19"/>
                <w:szCs w:val="19"/>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10-K</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9"/>
                <w:szCs w:val="19"/>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2/26/2018</w:t>
            </w:r>
          </w:p>
        </w:tc>
        <w:tc>
          <w:tcPr>
            <w:tcW w:w="10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3"/>
              </w:rPr>
              <w:t>10.14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25"/>
          </w:tcPr>
          <w:p>
            <w:pPr>
              <w:spacing w:after="0" w:line="190" w:lineRule="exact"/>
              <w:rPr>
                <w:rFonts w:ascii="Arial" w:cs="Arial" w:eastAsia="Arial" w:hAnsi="Arial"/>
                <w:sz w:val="18"/>
                <w:szCs w:val="18"/>
                <w:color w:val="0000FF"/>
              </w:rPr>
            </w:pPr>
            <w:hyperlink w:anchor="page89">
              <w:r>
                <w:rPr>
                  <w:rFonts w:ascii="Arial" w:cs="Arial" w:eastAsia="Arial" w:hAnsi="Arial"/>
                  <w:sz w:val="18"/>
                  <w:szCs w:val="18"/>
                  <w:color w:val="0000FF"/>
                </w:rPr>
                <w:t>Form of Indemnification Agreement by and between</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Borders>
              <w:top w:val="single" w:sz="8" w:color="0000FF"/>
            </w:tcBorders>
            <w:gridSpan w:val="16"/>
          </w:tcPr>
          <w:p>
            <w:pPr>
              <w:spacing w:after="0" w:line="156" w:lineRule="exact"/>
              <w:rPr>
                <w:rFonts w:ascii="Arial" w:cs="Arial" w:eastAsia="Arial" w:hAnsi="Arial"/>
                <w:sz w:val="18"/>
                <w:szCs w:val="18"/>
                <w:color w:val="0000FF"/>
                <w:w w:val="93"/>
              </w:rPr>
            </w:pPr>
            <w:hyperlink w:anchor="page89">
              <w:r>
                <w:rPr>
                  <w:rFonts w:ascii="Arial" w:cs="Arial" w:eastAsia="Arial" w:hAnsi="Arial"/>
                  <w:sz w:val="18"/>
                  <w:szCs w:val="18"/>
                  <w:color w:val="0000FF"/>
                  <w:w w:val="93"/>
                </w:rPr>
                <w:t>the registrant and each of its executive officers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8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89">
              <w:r>
                <w:rPr>
                  <w:rFonts w:ascii="Arial" w:cs="Arial" w:eastAsia="Arial" w:hAnsi="Arial"/>
                  <w:sz w:val="18"/>
                  <w:szCs w:val="18"/>
                  <w:color w:val="0000FF"/>
                </w:rPr>
                <w:t>directors.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10.15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5"/>
          </w:tcPr>
          <w:p>
            <w:pPr>
              <w:spacing w:after="0"/>
              <w:rPr>
                <w:rFonts w:ascii="Arial" w:cs="Arial" w:eastAsia="Arial" w:hAnsi="Arial"/>
                <w:sz w:val="18"/>
                <w:szCs w:val="18"/>
                <w:color w:val="0000FF"/>
                <w:w w:val="96"/>
              </w:rPr>
            </w:pPr>
            <w:hyperlink r:id="rId128">
              <w:r>
                <w:rPr>
                  <w:rFonts w:ascii="Arial" w:cs="Arial" w:eastAsia="Arial" w:hAnsi="Arial"/>
                  <w:sz w:val="18"/>
                  <w:szCs w:val="18"/>
                  <w:color w:val="0000FF"/>
                  <w:w w:val="96"/>
                </w:rPr>
                <w:t>Credit Agreement, by and among the registrant, Wells</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333-204262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5/18/2015</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0"/>
              </w:rPr>
            </w:pPr>
            <w:hyperlink r:id="rId128">
              <w:r>
                <w:rPr>
                  <w:rFonts w:ascii="Arial" w:cs="Arial" w:eastAsia="Arial" w:hAnsi="Arial"/>
                  <w:sz w:val="18"/>
                  <w:szCs w:val="18"/>
                  <w:color w:val="0000FF"/>
                  <w:w w:val="90"/>
                </w:rPr>
                <w:t>Fargo Bank, N.A., as administrative agent, and the</w:t>
              </w:r>
            </w:hyperlink>
          </w:p>
        </w:tc>
        <w:tc>
          <w:tcPr>
            <w:tcW w:w="2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25"/>
          </w:tcPr>
          <w:p>
            <w:pPr>
              <w:spacing w:after="0" w:line="195" w:lineRule="exact"/>
              <w:rPr>
                <w:rFonts w:ascii="Arial" w:cs="Arial" w:eastAsia="Arial" w:hAnsi="Arial"/>
                <w:sz w:val="18"/>
                <w:szCs w:val="18"/>
                <w:u w:val="single" w:color="auto"/>
                <w:color w:val="0000FF"/>
                <w:w w:val="95"/>
              </w:rPr>
            </w:pPr>
            <w:hyperlink r:id="rId128">
              <w:r>
                <w:rPr>
                  <w:rFonts w:ascii="Arial" w:cs="Arial" w:eastAsia="Arial" w:hAnsi="Arial"/>
                  <w:sz w:val="18"/>
                  <w:szCs w:val="18"/>
                  <w:u w:val="single" w:color="auto"/>
                  <w:color w:val="0000FF"/>
                  <w:w w:val="95"/>
                </w:rPr>
                <w:t>lenders that are parties thereto, dated March 16, 2015.</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3"/>
              </w:rPr>
              <w:t>10.16</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25"/>
          </w:tcPr>
          <w:p>
            <w:pPr>
              <w:spacing w:after="0" w:line="190" w:lineRule="exact"/>
              <w:rPr>
                <w:rFonts w:ascii="Arial" w:cs="Arial" w:eastAsia="Arial" w:hAnsi="Arial"/>
                <w:sz w:val="18"/>
                <w:szCs w:val="18"/>
                <w:color w:val="0000FF"/>
                <w:w w:val="95"/>
              </w:rPr>
            </w:pPr>
            <w:hyperlink r:id="rId129">
              <w:r>
                <w:rPr>
                  <w:rFonts w:ascii="Arial" w:cs="Arial" w:eastAsia="Arial" w:hAnsi="Arial"/>
                  <w:sz w:val="18"/>
                  <w:szCs w:val="18"/>
                  <w:color w:val="0000FF"/>
                  <w:w w:val="95"/>
                </w:rPr>
                <w:t>Amendment Number One to Credit Agreement, by and</w:t>
              </w:r>
            </w:hyperlink>
          </w:p>
        </w:tc>
        <w:tc>
          <w:tcPr>
            <w:tcW w:w="920" w:type="dxa"/>
            <w:vAlign w:val="bottom"/>
            <w:gridSpan w:val="2"/>
          </w:tcPr>
          <w:p>
            <w:pPr>
              <w:jc w:val="center"/>
              <w:ind w:right="100"/>
              <w:spacing w:after="0" w:line="190" w:lineRule="exact"/>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6"/>
                <w:szCs w:val="16"/>
                <w:color w:val="auto"/>
              </w:rPr>
            </w:pPr>
          </w:p>
        </w:tc>
        <w:tc>
          <w:tcPr>
            <w:tcW w:w="980" w:type="dxa"/>
            <w:vAlign w:val="bottom"/>
          </w:tcPr>
          <w:p>
            <w:pPr>
              <w:jc w:val="center"/>
              <w:spacing w:after="0" w:line="190" w:lineRule="exact"/>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6"/>
                <w:szCs w:val="16"/>
                <w:color w:val="auto"/>
              </w:rPr>
            </w:pPr>
          </w:p>
        </w:tc>
        <w:tc>
          <w:tcPr>
            <w:tcW w:w="1220" w:type="dxa"/>
            <w:vAlign w:val="bottom"/>
          </w:tcPr>
          <w:p>
            <w:pPr>
              <w:jc w:val="center"/>
              <w:spacing w:after="0" w:line="190" w:lineRule="exact"/>
              <w:rPr>
                <w:sz w:val="20"/>
                <w:szCs w:val="20"/>
                <w:color w:val="auto"/>
              </w:rPr>
            </w:pPr>
            <w:r>
              <w:rPr>
                <w:rFonts w:ascii="Arial" w:cs="Arial" w:eastAsia="Arial" w:hAnsi="Arial"/>
                <w:sz w:val="18"/>
                <w:szCs w:val="18"/>
                <w:color w:val="auto"/>
                <w:w w:val="92"/>
              </w:rPr>
              <w:t>11/9/2015</w:t>
            </w: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among the registrant, Wells Fargo 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5"/>
          </w:tcPr>
          <w:p>
            <w:pPr>
              <w:spacing w:after="0" w:line="156" w:lineRule="exact"/>
              <w:rPr>
                <w:rFonts w:ascii="Arial" w:cs="Arial" w:eastAsia="Arial" w:hAnsi="Arial"/>
                <w:sz w:val="18"/>
                <w:szCs w:val="18"/>
                <w:color w:val="0000FF"/>
                <w:w w:val="98"/>
              </w:rPr>
            </w:pPr>
            <w:hyperlink r:id="rId129">
              <w:r>
                <w:rPr>
                  <w:rFonts w:ascii="Arial" w:cs="Arial" w:eastAsia="Arial" w:hAnsi="Arial"/>
                  <w:sz w:val="18"/>
                  <w:szCs w:val="18"/>
                  <w:color w:val="0000FF"/>
                  <w:w w:val="98"/>
                </w:rPr>
                <w:t>administrative agent, and the lenders that are parties</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thereto, dated October 9, 2015.</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10.17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5"/>
          </w:tcPr>
          <w:p>
            <w:pPr>
              <w:spacing w:after="0"/>
              <w:rPr>
                <w:rFonts w:ascii="Arial" w:cs="Arial" w:eastAsia="Arial" w:hAnsi="Arial"/>
                <w:sz w:val="18"/>
                <w:szCs w:val="18"/>
                <w:color w:val="0000FF"/>
                <w:w w:val="95"/>
              </w:rPr>
            </w:pPr>
            <w:hyperlink r:id="rId130">
              <w:r>
                <w:rPr>
                  <w:rFonts w:ascii="Arial" w:cs="Arial" w:eastAsia="Arial" w:hAnsi="Arial"/>
                  <w:sz w:val="18"/>
                  <w:szCs w:val="18"/>
                  <w:color w:val="0000FF"/>
                  <w:w w:val="95"/>
                </w:rPr>
                <w:t>Amendment Number Two to Credit Agreement, by and</w:t>
              </w:r>
            </w:hyperlink>
          </w:p>
        </w:tc>
        <w:tc>
          <w:tcPr>
            <w:tcW w:w="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2/28/2019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among the registrant, Wells Fargo Bank, N.A., as</w:t>
              </w:r>
            </w:hyperlink>
          </w:p>
        </w:tc>
        <w:tc>
          <w:tcPr>
            <w:tcW w:w="16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5"/>
          </w:tcPr>
          <w:p>
            <w:pPr>
              <w:spacing w:after="0" w:line="156" w:lineRule="exact"/>
              <w:rPr>
                <w:rFonts w:ascii="Arial" w:cs="Arial" w:eastAsia="Arial" w:hAnsi="Arial"/>
                <w:sz w:val="18"/>
                <w:szCs w:val="18"/>
                <w:color w:val="0000FF"/>
                <w:w w:val="98"/>
              </w:rPr>
            </w:pPr>
            <w:hyperlink r:id="rId130">
              <w:r>
                <w:rPr>
                  <w:rFonts w:ascii="Arial" w:cs="Arial" w:eastAsia="Arial" w:hAnsi="Arial"/>
                  <w:sz w:val="18"/>
                  <w:szCs w:val="18"/>
                  <w:color w:val="0000FF"/>
                  <w:w w:val="98"/>
                </w:rPr>
                <w:t>administrative agent, and the lenders that are parties</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88"/>
              </w:rPr>
            </w:pPr>
            <w:hyperlink r:id="rId130">
              <w:r>
                <w:rPr>
                  <w:rFonts w:ascii="Arial" w:cs="Arial" w:eastAsia="Arial" w:hAnsi="Arial"/>
                  <w:sz w:val="18"/>
                  <w:szCs w:val="18"/>
                  <w:color w:val="0000FF"/>
                  <w:w w:val="88"/>
                </w:rPr>
                <w:t>thereto, dated December 24, 2018.</w:t>
              </w:r>
            </w:hyperlink>
          </w:p>
        </w:tc>
        <w:tc>
          <w:tcPr>
            <w:tcW w:w="1260" w:type="dxa"/>
            <w:vAlign w:val="bottom"/>
            <w:tcBorders>
              <w:top w:val="single" w:sz="8" w:color="0000FF"/>
            </w:tcBorders>
            <w:gridSpan w:val="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18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3"/>
              </w:rPr>
              <w:t>10.18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5"/>
          </w:tcPr>
          <w:p>
            <w:pPr>
              <w:spacing w:after="0"/>
              <w:rPr>
                <w:rFonts w:ascii="Arial" w:cs="Arial" w:eastAsia="Arial" w:hAnsi="Arial"/>
                <w:sz w:val="18"/>
                <w:szCs w:val="18"/>
                <w:color w:val="0000FF"/>
                <w:w w:val="93"/>
              </w:rPr>
            </w:pPr>
            <w:hyperlink r:id="rId131">
              <w:r>
                <w:rPr>
                  <w:rFonts w:ascii="Arial" w:cs="Arial" w:eastAsia="Arial" w:hAnsi="Arial"/>
                  <w:sz w:val="18"/>
                  <w:szCs w:val="18"/>
                  <w:color w:val="0000FF"/>
                  <w:w w:val="93"/>
                </w:rPr>
                <w:t>Resignation Agreement and General Release of Claims</w:t>
              </w:r>
            </w:hyperlink>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001-37468</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8/7/2017</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2"/>
          </w:tcPr>
          <w:p>
            <w:pPr>
              <w:spacing w:after="0" w:line="156" w:lineRule="exact"/>
              <w:rPr>
                <w:rFonts w:ascii="Arial" w:cs="Arial" w:eastAsia="Arial" w:hAnsi="Arial"/>
                <w:sz w:val="18"/>
                <w:szCs w:val="18"/>
                <w:color w:val="0000FF"/>
                <w:w w:val="98"/>
              </w:rPr>
            </w:pPr>
            <w:hyperlink r:id="rId131">
              <w:r>
                <w:rPr>
                  <w:rFonts w:ascii="Arial" w:cs="Arial" w:eastAsia="Arial" w:hAnsi="Arial"/>
                  <w:sz w:val="18"/>
                  <w:szCs w:val="18"/>
                  <w:color w:val="0000FF"/>
                  <w:w w:val="98"/>
                </w:rPr>
                <w:t>by and between the registrant and Brian Donahoo,</w:t>
              </w:r>
            </w:hyperlink>
          </w:p>
        </w:tc>
        <w:tc>
          <w:tcPr>
            <w:tcW w:w="180" w:type="dxa"/>
            <w:vAlign w:val="bottom"/>
            <w:gridSpan w:val="3"/>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9"/>
              </w:rPr>
            </w:pPr>
            <w:hyperlink r:id="rId131">
              <w:r>
                <w:rPr>
                  <w:rFonts w:ascii="Arial" w:cs="Arial" w:eastAsia="Arial" w:hAnsi="Arial"/>
                  <w:sz w:val="18"/>
                  <w:szCs w:val="18"/>
                  <w:color w:val="0000FF"/>
                  <w:w w:val="89"/>
                </w:rPr>
                <w:t>dated August 3, 2017.</w:t>
              </w:r>
            </w:hyperlink>
          </w:p>
        </w:tc>
        <w:tc>
          <w:tcPr>
            <w:tcW w:w="202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21.1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80" w:type="dxa"/>
            <w:vAlign w:val="bottom"/>
            <w:gridSpan w:val="25"/>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Subsidiaries of the registrant.</w:t>
              </w:r>
            </w:hyperlink>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5"/>
              </w:rPr>
              <w:t>23.1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25"/>
          </w:tcPr>
          <w:p>
            <w:pPr>
              <w:spacing w:after="0" w:line="190" w:lineRule="exact"/>
              <w:rPr>
                <w:rFonts w:ascii="Arial" w:cs="Arial" w:eastAsia="Arial" w:hAnsi="Arial"/>
                <w:sz w:val="18"/>
                <w:szCs w:val="18"/>
                <w:color w:val="0000FF"/>
                <w:w w:val="98"/>
              </w:rPr>
            </w:pPr>
            <w:hyperlink w:anchor="page106">
              <w:r>
                <w:rPr>
                  <w:rFonts w:ascii="Arial" w:cs="Arial" w:eastAsia="Arial" w:hAnsi="Arial"/>
                  <w:sz w:val="18"/>
                  <w:szCs w:val="18"/>
                  <w:color w:val="0000FF"/>
                  <w:w w:val="98"/>
                </w:rPr>
                <w:t>Consent of independent registered public accounting</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106">
              <w:r>
                <w:rPr>
                  <w:rFonts w:ascii="Arial" w:cs="Arial" w:eastAsia="Arial" w:hAnsi="Arial"/>
                  <w:sz w:val="18"/>
                  <w:szCs w:val="18"/>
                  <w:color w:val="0000FF"/>
                </w:rPr>
                <w:t>firm.</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24.1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gridSpan w:val="25"/>
          </w:tcPr>
          <w:p>
            <w:pPr>
              <w:spacing w:after="0"/>
              <w:rPr>
                <w:rFonts w:ascii="Arial" w:cs="Arial" w:eastAsia="Arial" w:hAnsi="Arial"/>
                <w:sz w:val="18"/>
                <w:szCs w:val="18"/>
                <w:color w:val="0000FF"/>
                <w:w w:val="98"/>
              </w:rPr>
            </w:pPr>
            <w:hyperlink w:anchor="page84">
              <w:r>
                <w:rPr>
                  <w:rFonts w:ascii="Arial" w:cs="Arial" w:eastAsia="Arial" w:hAnsi="Arial"/>
                  <w:sz w:val="18"/>
                  <w:szCs w:val="18"/>
                  <w:color w:val="0000FF"/>
                  <w:w w:val="98"/>
                </w:rPr>
                <w:t>Power of Attorney (included on the signature page of</w:t>
              </w:r>
            </w:hyperlink>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this report).</w:t>
              </w:r>
            </w:hyperlink>
          </w:p>
        </w:tc>
        <w:tc>
          <w:tcPr>
            <w:tcW w:w="60" w:type="dxa"/>
            <w:vAlign w:val="bottom"/>
            <w:gridSpan w:val="2"/>
          </w:tcPr>
          <w:p>
            <w:pPr>
              <w:spacing w:after="0"/>
              <w:rPr>
                <w:sz w:val="13"/>
                <w:szCs w:val="13"/>
                <w:color w:val="auto"/>
              </w:rPr>
            </w:pPr>
          </w:p>
        </w:tc>
        <w:tc>
          <w:tcPr>
            <w:tcW w:w="26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gridSpan w:val="2"/>
          </w:tcPr>
          <w:p>
            <w:pPr>
              <w:jc w:val="center"/>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40" w:type="dxa"/>
            <w:vAlign w:val="bottom"/>
            <w:tcBorders>
              <w:bottom w:val="single" w:sz="8" w:color="0000FF"/>
            </w:tcBorders>
            <w:gridSpan w:val="13"/>
          </w:tcPr>
          <w:p>
            <w:pPr>
              <w:spacing w:after="0"/>
              <w:rPr>
                <w:rFonts w:ascii="Arial" w:cs="Arial" w:eastAsia="Arial" w:hAnsi="Arial"/>
                <w:sz w:val="18"/>
                <w:szCs w:val="18"/>
                <w:color w:val="0000FF"/>
                <w:w w:val="93"/>
              </w:rPr>
            </w:pPr>
            <w:hyperlink w:anchor="page107">
              <w:r>
                <w:rPr>
                  <w:rFonts w:ascii="Arial" w:cs="Arial" w:eastAsia="Arial" w:hAnsi="Arial"/>
                  <w:sz w:val="18"/>
                  <w:szCs w:val="18"/>
                  <w:color w:val="0000FF"/>
                  <w:w w:val="93"/>
                </w:rPr>
                <w:t>Certification of Chief Executive Officer pursuant to</w:t>
              </w:r>
            </w:hyperlink>
          </w:p>
        </w:tc>
        <w:tc>
          <w:tcPr>
            <w:tcW w:w="440" w:type="dxa"/>
            <w:vAlign w:val="bottom"/>
            <w:gridSpan w:val="12"/>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5"/>
          </w:tcPr>
          <w:p>
            <w:pPr>
              <w:spacing w:after="0" w:line="156" w:lineRule="exact"/>
              <w:rPr>
                <w:rFonts w:ascii="Arial" w:cs="Arial" w:eastAsia="Arial" w:hAnsi="Arial"/>
                <w:sz w:val="18"/>
                <w:szCs w:val="18"/>
                <w:color w:val="0000FF"/>
                <w:w w:val="98"/>
              </w:rPr>
            </w:pPr>
            <w:hyperlink w:anchor="page107">
              <w:r>
                <w:rPr>
                  <w:rFonts w:ascii="Arial" w:cs="Arial" w:eastAsia="Arial" w:hAnsi="Arial"/>
                  <w:sz w:val="18"/>
                  <w:szCs w:val="18"/>
                  <w:color w:val="0000FF"/>
                  <w:w w:val="98"/>
                </w:rPr>
                <w:t>Rule 13a-14(a) or Rule 15d-14(a) promulgated under</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w w:val="94"/>
              </w:rPr>
            </w:pPr>
            <w:hyperlink w:anchor="page107">
              <w:r>
                <w:rPr>
                  <w:rFonts w:ascii="Arial" w:cs="Arial" w:eastAsia="Arial" w:hAnsi="Arial"/>
                  <w:sz w:val="18"/>
                  <w:szCs w:val="18"/>
                  <w:u w:val="single" w:color="auto"/>
                  <w:color w:val="0000FF"/>
                  <w:w w:val="94"/>
                </w:rPr>
                <w:t>the Securities Exchange Act of 1934, as amended.</w:t>
              </w:r>
            </w:hyperlink>
          </w:p>
        </w:tc>
        <w:tc>
          <w:tcPr>
            <w:tcW w:w="80" w:type="dxa"/>
            <w:vAlign w:val="bottom"/>
            <w:gridSpan w:val="3"/>
          </w:tcPr>
          <w:p>
            <w:pPr>
              <w:spacing w:after="0"/>
              <w:rPr>
                <w:sz w:val="16"/>
                <w:szCs w:val="16"/>
                <w:color w:val="auto"/>
              </w:rPr>
            </w:pPr>
          </w:p>
        </w:tc>
        <w:tc>
          <w:tcPr>
            <w:tcW w:w="260" w:type="dxa"/>
            <w:vAlign w:val="bottom"/>
            <w:gridSpan w:val="5"/>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Borders>
              <w:bottom w:val="single" w:sz="8" w:color="0000FF"/>
            </w:tcBorders>
            <w:gridSpan w:val="12"/>
          </w:tcPr>
          <w:p>
            <w:pPr>
              <w:spacing w:after="0" w:line="190" w:lineRule="exact"/>
              <w:rPr>
                <w:rFonts w:ascii="Arial" w:cs="Arial" w:eastAsia="Arial" w:hAnsi="Arial"/>
                <w:sz w:val="18"/>
                <w:szCs w:val="18"/>
                <w:color w:val="0000FF"/>
                <w:w w:val="93"/>
              </w:rPr>
            </w:pPr>
            <w:hyperlink w:anchor="page108">
              <w:r>
                <w:rPr>
                  <w:rFonts w:ascii="Arial" w:cs="Arial" w:eastAsia="Arial" w:hAnsi="Arial"/>
                  <w:sz w:val="18"/>
                  <w:szCs w:val="18"/>
                  <w:color w:val="0000FF"/>
                  <w:w w:val="93"/>
                </w:rPr>
                <w:t>Certification of Chief Financial Officer pursuant to</w:t>
              </w:r>
            </w:hyperlink>
          </w:p>
        </w:tc>
        <w:tc>
          <w:tcPr>
            <w:tcW w:w="480" w:type="dxa"/>
            <w:vAlign w:val="bottom"/>
            <w:gridSpan w:val="13"/>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5"/>
          </w:tcPr>
          <w:p>
            <w:pPr>
              <w:spacing w:after="0" w:line="156" w:lineRule="exact"/>
              <w:rPr>
                <w:rFonts w:ascii="Arial" w:cs="Arial" w:eastAsia="Arial" w:hAnsi="Arial"/>
                <w:sz w:val="18"/>
                <w:szCs w:val="18"/>
                <w:color w:val="0000FF"/>
                <w:w w:val="98"/>
              </w:rPr>
            </w:pPr>
            <w:hyperlink w:anchor="page108">
              <w:r>
                <w:rPr>
                  <w:rFonts w:ascii="Arial" w:cs="Arial" w:eastAsia="Arial" w:hAnsi="Arial"/>
                  <w:sz w:val="18"/>
                  <w:szCs w:val="18"/>
                  <w:color w:val="0000FF"/>
                  <w:w w:val="98"/>
                </w:rPr>
                <w:t>Rule 13a-14(a) or Rule 15d-14(a) promulgated under</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40" w:type="dxa"/>
            <w:vAlign w:val="bottom"/>
            <w:tcBorders>
              <w:top w:val="single" w:sz="8" w:color="0000FF"/>
            </w:tcBorders>
            <w:gridSpan w:val="17"/>
          </w:tcPr>
          <w:p>
            <w:pPr>
              <w:spacing w:after="0" w:line="195" w:lineRule="exact"/>
              <w:rPr>
                <w:rFonts w:ascii="Arial" w:cs="Arial" w:eastAsia="Arial" w:hAnsi="Arial"/>
                <w:sz w:val="18"/>
                <w:szCs w:val="18"/>
                <w:u w:val="single" w:color="auto"/>
                <w:color w:val="0000FF"/>
                <w:w w:val="94"/>
              </w:rPr>
            </w:pPr>
            <w:hyperlink w:anchor="page108">
              <w:r>
                <w:rPr>
                  <w:rFonts w:ascii="Arial" w:cs="Arial" w:eastAsia="Arial" w:hAnsi="Arial"/>
                  <w:sz w:val="18"/>
                  <w:szCs w:val="18"/>
                  <w:u w:val="single" w:color="auto"/>
                  <w:color w:val="0000FF"/>
                  <w:w w:val="94"/>
                </w:rPr>
                <w:t>the Securities Exchange Act of 1934, as amended.</w:t>
              </w:r>
            </w:hyperlink>
          </w:p>
        </w:tc>
        <w:tc>
          <w:tcPr>
            <w:tcW w:w="80" w:type="dxa"/>
            <w:vAlign w:val="bottom"/>
            <w:gridSpan w:val="3"/>
          </w:tcPr>
          <w:p>
            <w:pPr>
              <w:spacing w:after="0"/>
              <w:rPr>
                <w:sz w:val="16"/>
                <w:szCs w:val="16"/>
                <w:color w:val="auto"/>
              </w:rPr>
            </w:pPr>
          </w:p>
        </w:tc>
        <w:tc>
          <w:tcPr>
            <w:tcW w:w="260" w:type="dxa"/>
            <w:vAlign w:val="bottom"/>
            <w:gridSpan w:val="5"/>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60" w:type="dxa"/>
            <w:vAlign w:val="bottom"/>
            <w:gridSpan w:val="2"/>
          </w:tcPr>
          <w:p>
            <w:pPr>
              <w:jc w:val="center"/>
              <w:spacing w:after="0" w:line="190" w:lineRule="exact"/>
              <w:rPr>
                <w:sz w:val="20"/>
                <w:szCs w:val="20"/>
                <w:color w:val="auto"/>
              </w:rPr>
            </w:pPr>
            <w:r>
              <w:rPr>
                <w:rFonts w:ascii="Arial" w:cs="Arial" w:eastAsia="Arial" w:hAnsi="Arial"/>
                <w:sz w:val="18"/>
                <w:szCs w:val="18"/>
                <w:color w:val="auto"/>
                <w:w w:val="99"/>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80" w:type="dxa"/>
            <w:vAlign w:val="bottom"/>
            <w:gridSpan w:val="25"/>
          </w:tcPr>
          <w:p>
            <w:pPr>
              <w:spacing w:after="0" w:line="190" w:lineRule="exact"/>
              <w:rPr>
                <w:rFonts w:ascii="Arial" w:cs="Arial" w:eastAsia="Arial" w:hAnsi="Arial"/>
                <w:sz w:val="18"/>
                <w:szCs w:val="18"/>
                <w:color w:val="0000FF"/>
              </w:rPr>
            </w:pPr>
            <w:hyperlink w:anchor="page109">
              <w:r>
                <w:rPr>
                  <w:rFonts w:ascii="Arial" w:cs="Arial" w:eastAsia="Arial" w:hAnsi="Arial"/>
                  <w:sz w:val="18"/>
                  <w:szCs w:val="18"/>
                  <w:color w:val="0000FF"/>
                </w:rPr>
                <w:t>Certifications of Chief Executive Officer and Chief</w:t>
              </w:r>
            </w:hyperlink>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0"/>
              <w:spacing w:after="0" w:line="190"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80" w:type="dxa"/>
            <w:vAlign w:val="bottom"/>
            <w:gridSpan w:val="25"/>
          </w:tcPr>
          <w:p>
            <w:pPr>
              <w:spacing w:after="0" w:line="156" w:lineRule="exact"/>
              <w:rPr>
                <w:rFonts w:ascii="Arial" w:cs="Arial" w:eastAsia="Arial" w:hAnsi="Arial"/>
                <w:sz w:val="18"/>
                <w:szCs w:val="18"/>
                <w:color w:val="0000FF"/>
                <w:w w:val="97"/>
              </w:rPr>
            </w:pPr>
            <w:hyperlink w:anchor="page109">
              <w:r>
                <w:rPr>
                  <w:rFonts w:ascii="Arial" w:cs="Arial" w:eastAsia="Arial" w:hAnsi="Arial"/>
                  <w:sz w:val="18"/>
                  <w:szCs w:val="18"/>
                  <w:color w:val="0000FF"/>
                  <w:w w:val="97"/>
                </w:rPr>
                <w:t>Financial Officer, pursuant to 18 U.S.C. Section 1350,</w:t>
              </w:r>
            </w:hyperlink>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w:anchor="page109">
              <w:r>
                <w:rPr>
                  <w:rFonts w:ascii="Arial" w:cs="Arial" w:eastAsia="Arial" w:hAnsi="Arial"/>
                  <w:sz w:val="18"/>
                  <w:szCs w:val="18"/>
                  <w:color w:val="0000FF"/>
                  <w:w w:val="92"/>
                </w:rPr>
                <w:t>as adopted pursuant to Section 906 of the Sarbanes-</w:t>
              </w:r>
            </w:hyperlink>
          </w:p>
        </w:tc>
        <w:tc>
          <w:tcPr>
            <w:tcW w:w="260" w:type="dxa"/>
            <w:vAlign w:val="bottom"/>
            <w:gridSpan w:val="5"/>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w:anchor="page109">
              <w:r>
                <w:rPr>
                  <w:rFonts w:ascii="Arial" w:cs="Arial" w:eastAsia="Arial" w:hAnsi="Arial"/>
                  <w:sz w:val="18"/>
                  <w:szCs w:val="18"/>
                  <w:color w:val="0000FF"/>
                  <w:w w:val="93"/>
                </w:rPr>
                <w:t>Oxley Act of 2002.</w:t>
              </w:r>
            </w:hyperlink>
          </w:p>
        </w:tc>
        <w:tc>
          <w:tcPr>
            <w:tcW w:w="2340" w:type="dxa"/>
            <w:vAlign w:val="bottom"/>
            <w:tcBorders>
              <w:top w:val="single" w:sz="8" w:color="0000FF"/>
            </w:tcBorders>
            <w:gridSpan w:val="9"/>
          </w:tcPr>
          <w:p>
            <w:pPr>
              <w:spacing w:after="0"/>
              <w:rPr>
                <w:sz w:val="13"/>
                <w:szCs w:val="13"/>
                <w:color w:val="auto"/>
              </w:rPr>
            </w:pPr>
          </w:p>
        </w:tc>
        <w:tc>
          <w:tcPr>
            <w:tcW w:w="440" w:type="dxa"/>
            <w:vAlign w:val="bottom"/>
            <w:gridSpan w:val="12"/>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1"/>
                <w:szCs w:val="21"/>
                <w:color w:val="auto"/>
              </w:rPr>
            </w:pPr>
          </w:p>
        </w:tc>
        <w:tc>
          <w:tcPr>
            <w:tcW w:w="4180" w:type="dxa"/>
            <w:vAlign w:val="bottom"/>
            <w:gridSpan w:val="25"/>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4"/>
              </w:rPr>
              <w:t>101.CAL</w:t>
            </w:r>
          </w:p>
        </w:tc>
        <w:tc>
          <w:tcPr>
            <w:tcW w:w="20" w:type="dxa"/>
            <w:vAlign w:val="bottom"/>
          </w:tcPr>
          <w:p>
            <w:pPr>
              <w:spacing w:after="0"/>
              <w:rPr>
                <w:sz w:val="15"/>
                <w:szCs w:val="15"/>
                <w:color w:val="auto"/>
              </w:rPr>
            </w:pPr>
          </w:p>
        </w:tc>
        <w:tc>
          <w:tcPr>
            <w:tcW w:w="4180" w:type="dxa"/>
            <w:vAlign w:val="bottom"/>
            <w:gridSpan w:val="25"/>
          </w:tcPr>
          <w:p>
            <w:pPr>
              <w:spacing w:after="0" w:line="176" w:lineRule="exact"/>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15"/>
                <w:szCs w:val="15"/>
                <w:color w:val="auto"/>
              </w:rPr>
            </w:pPr>
          </w:p>
        </w:tc>
        <w:tc>
          <w:tcPr>
            <w:tcW w:w="4180" w:type="dxa"/>
            <w:vAlign w:val="bottom"/>
            <w:gridSpan w:val="25"/>
          </w:tcPr>
          <w:p>
            <w:pPr>
              <w:spacing w:after="0" w:line="176" w:lineRule="exact"/>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5"/>
              </w:rPr>
              <w:t>101.LAB</w:t>
            </w:r>
          </w:p>
        </w:tc>
        <w:tc>
          <w:tcPr>
            <w:tcW w:w="20" w:type="dxa"/>
            <w:vAlign w:val="bottom"/>
          </w:tcPr>
          <w:p>
            <w:pPr>
              <w:spacing w:after="0"/>
              <w:rPr>
                <w:sz w:val="15"/>
                <w:szCs w:val="15"/>
                <w:color w:val="auto"/>
              </w:rPr>
            </w:pPr>
          </w:p>
        </w:tc>
        <w:tc>
          <w:tcPr>
            <w:tcW w:w="4180" w:type="dxa"/>
            <w:vAlign w:val="bottom"/>
            <w:gridSpan w:val="25"/>
          </w:tcPr>
          <w:p>
            <w:pPr>
              <w:spacing w:after="0" w:line="176" w:lineRule="exact"/>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1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15"/>
                <w:szCs w:val="15"/>
                <w:color w:val="auto"/>
              </w:rPr>
            </w:pPr>
          </w:p>
        </w:tc>
        <w:tc>
          <w:tcPr>
            <w:tcW w:w="4180" w:type="dxa"/>
            <w:vAlign w:val="bottom"/>
            <w:gridSpan w:val="25"/>
          </w:tcPr>
          <w:p>
            <w:pPr>
              <w:spacing w:after="0" w:line="176" w:lineRule="exact"/>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80" w:type="dxa"/>
            <w:vAlign w:val="bottom"/>
            <w:gridSpan w:val="25"/>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gridSpan w:val="25"/>
          </w:tcPr>
          <w:p>
            <w:pPr>
              <w:spacing w:after="0" w:line="176" w:lineRule="exact"/>
              <w:rPr>
                <w:sz w:val="20"/>
                <w:szCs w:val="20"/>
                <w:color w:val="auto"/>
              </w:rPr>
            </w:pPr>
            <w:r>
              <w:rPr>
                <w:rFonts w:ascii="Arial" w:cs="Arial" w:eastAsia="Arial" w:hAnsi="Arial"/>
                <w:sz w:val="18"/>
                <w:szCs w:val="18"/>
                <w:color w:val="auto"/>
                <w:w w:val="99"/>
              </w:rPr>
              <w:t>Cover Page Interactive Data File (formatted as Inline</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20"/>
              <w:spacing w:after="0" w:line="17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80" w:type="dxa"/>
            <w:vAlign w:val="bottom"/>
            <w:gridSpan w:val="25"/>
          </w:tcPr>
          <w:p>
            <w:pPr>
              <w:spacing w:after="0"/>
              <w:rPr>
                <w:sz w:val="20"/>
                <w:szCs w:val="20"/>
                <w:color w:val="auto"/>
              </w:rPr>
            </w:pPr>
            <w:r>
              <w:rPr>
                <w:rFonts w:ascii="Arial" w:cs="Arial" w:eastAsia="Arial" w:hAnsi="Arial"/>
                <w:sz w:val="18"/>
                <w:szCs w:val="18"/>
                <w:color w:val="auto"/>
              </w:rPr>
              <w:t>XBRL and contained in Exhibit 101)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65"/>
        </w:trPr>
        <w:tc>
          <w:tcPr>
            <w:tcW w:w="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86" w:name="page87"/>
    <w:bookmarkEnd w:id="86"/>
    <w:p>
      <w:pPr>
        <w:ind w:left="1100" w:hanging="1074"/>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1100" w:hanging="1074"/>
        <w:spacing w:after="0" w:line="219"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Annual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to be signed on its behalf by the undersigned thereunto duly authorized.</w:t>
      </w:r>
    </w:p>
    <w:p>
      <w:pPr>
        <w:spacing w:after="0" w:line="72"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AppFolio, Inc.</w:t>
      </w:r>
    </w:p>
    <w:p>
      <w:pPr>
        <w:spacing w:after="0" w:line="391" w:lineRule="exact"/>
        <w:rPr>
          <w:sz w:val="20"/>
          <w:szCs w:val="20"/>
          <w:color w:val="auto"/>
        </w:rPr>
      </w:pPr>
    </w:p>
    <w:p>
      <w:pPr>
        <w:ind w:left="40"/>
        <w:spacing w:after="0"/>
        <w:tabs>
          <w:tab w:leader="none" w:pos="720" w:val="left"/>
          <w:tab w:leader="none" w:pos="4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2021</w:t>
      </w:r>
      <w:r>
        <w:rPr>
          <w:sz w:val="20"/>
          <w:szCs w:val="20"/>
          <w:color w:val="auto"/>
        </w:rPr>
        <w:tab/>
      </w:r>
      <w:r>
        <w:rPr>
          <w:rFonts w:ascii="Arial" w:cs="Arial" w:eastAsia="Arial" w:hAnsi="Arial"/>
          <w:sz w:val="16"/>
          <w:szCs w:val="16"/>
          <w:color w:val="auto"/>
        </w:rPr>
        <w:t>By: /s/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14605</wp:posOffset>
            </wp:positionV>
            <wp:extent cx="25971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Ida Kane</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84" w:right="5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Jason Randall and Ida Kane, and each or either of them, acting individually, as his or her true and lawful attorney-in-fact and agent, with full power of substitution and resubstitution for him or her and in his or her name, place and stead, in any and all capacities, to sign any and all amendments to this Annual Report, and to file the same, with all exhibits thereto and other documents in connection therewith, with the SEC, granting unto said attorney-in-fact and agent,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any of them, or their or his or her substitutes, may lawfully do or cause to be done or by virtue hereof.</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the requirements of the Exchange Act, as amended, this Annual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SIGNATURE</w:t>
            </w:r>
          </w:p>
        </w:tc>
        <w:tc>
          <w:tcPr>
            <w:tcW w:w="200" w:type="dxa"/>
            <w:vAlign w:val="bottom"/>
          </w:tcPr>
          <w:p>
            <w:pPr>
              <w:spacing w:after="0"/>
              <w:rPr>
                <w:sz w:val="20"/>
                <w:szCs w:val="20"/>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372"/>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88"/>
              </w:rPr>
              <w:t>/s/ Jason Randall</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 Director</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528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(Principal Executive Officer)</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87"/>
              </w:rPr>
              <w:t>Jason Randall</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1"/>
              </w:rPr>
              <w:t>/s/ Ida Kane</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34"/>
        </w:trPr>
        <w:tc>
          <w:tcPr>
            <w:tcW w:w="348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(Principal Financial and Accounting Officer)</w:t>
            </w:r>
          </w:p>
        </w:tc>
        <w:tc>
          <w:tcPr>
            <w:tcW w:w="2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480" w:type="dxa"/>
            <w:vAlign w:val="bottom"/>
          </w:tcPr>
          <w:p>
            <w:pPr>
              <w:jc w:val="center"/>
              <w:spacing w:after="0"/>
              <w:rPr>
                <w:sz w:val="20"/>
                <w:szCs w:val="20"/>
                <w:color w:val="auto"/>
              </w:rPr>
            </w:pPr>
            <w:r>
              <w:rPr>
                <w:rFonts w:ascii="Arial" w:cs="Arial" w:eastAsia="Arial" w:hAnsi="Arial"/>
                <w:sz w:val="18"/>
                <w:szCs w:val="18"/>
                <w:color w:val="auto"/>
                <w:w w:val="91"/>
              </w:rPr>
              <w:t>Ida Kane</w:t>
            </w:r>
          </w:p>
        </w:tc>
        <w:tc>
          <w:tcPr>
            <w:tcW w:w="2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Andreas von Blottnitz</w:t>
            </w:r>
          </w:p>
        </w:tc>
        <w:tc>
          <w:tcPr>
            <w:tcW w:w="200" w:type="dxa"/>
            <w:vAlign w:val="bottom"/>
          </w:tcPr>
          <w:p>
            <w:pPr>
              <w:spacing w:after="0"/>
              <w:rPr>
                <w:sz w:val="24"/>
                <w:szCs w:val="24"/>
                <w:color w:val="auto"/>
              </w:rPr>
            </w:pPr>
          </w:p>
        </w:tc>
        <w:tc>
          <w:tcPr>
            <w:tcW w:w="52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Chairman of the Board</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94"/>
              </w:rPr>
              <w:t>Andreas von Blottnitz</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2"/>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Timothy Bliss</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95"/>
              </w:rPr>
              <w:t>Timothy Bliss</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Agnes Bundy Scanlan</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90"/>
              </w:rPr>
              <w:t>Agnes Bundy Scanlan</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Janet Kerr</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89"/>
              </w:rPr>
              <w:t>Janet Kerr</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William Rauth</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95"/>
              </w:rPr>
              <w:t>William Rauth</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Klaus Schauser</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88"/>
              </w:rPr>
              <w:t>Klaus Schauser</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3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Winifred Webb</w:t>
            </w:r>
          </w:p>
        </w:tc>
        <w:tc>
          <w:tcPr>
            <w:tcW w:w="200" w:type="dxa"/>
            <w:vAlign w:val="bottom"/>
          </w:tcPr>
          <w:p>
            <w:pPr>
              <w:spacing w:after="0"/>
              <w:rPr>
                <w:sz w:val="24"/>
                <w:szCs w:val="24"/>
                <w:color w:val="auto"/>
              </w:rPr>
            </w:pPr>
          </w:p>
        </w:tc>
        <w:tc>
          <w:tcPr>
            <w:tcW w:w="5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c>
          <w:tcPr>
            <w:tcW w:w="0" w:type="dxa"/>
            <w:vAlign w:val="bottom"/>
          </w:tcPr>
          <w:p>
            <w:pPr>
              <w:spacing w:after="0"/>
              <w:rPr>
                <w:sz w:val="1"/>
                <w:szCs w:val="1"/>
                <w:color w:val="auto"/>
              </w:rPr>
            </w:pPr>
          </w:p>
        </w:tc>
      </w:tr>
      <w:tr>
        <w:trPr>
          <w:trHeight w:val="224"/>
        </w:trPr>
        <w:tc>
          <w:tcPr>
            <w:tcW w:w="3480" w:type="dxa"/>
            <w:vAlign w:val="bottom"/>
          </w:tcPr>
          <w:p>
            <w:pPr>
              <w:jc w:val="center"/>
              <w:spacing w:after="0"/>
              <w:rPr>
                <w:sz w:val="20"/>
                <w:szCs w:val="20"/>
                <w:color w:val="auto"/>
              </w:rPr>
            </w:pPr>
            <w:r>
              <w:rPr>
                <w:rFonts w:ascii="Arial" w:cs="Arial" w:eastAsia="Arial" w:hAnsi="Arial"/>
                <w:sz w:val="18"/>
                <w:szCs w:val="18"/>
                <w:color w:val="auto"/>
                <w:w w:val="93"/>
              </w:rPr>
              <w:t>Winifred Webb</w:t>
            </w:r>
          </w:p>
        </w:tc>
        <w:tc>
          <w:tcPr>
            <w:tcW w:w="2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INDEMNITEES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Each of the individuals identified below is a party to an indemnification agreement with AppFolio, Inc. in the form attached herewith as Exhibit 10.14.</w:t>
      </w:r>
    </w:p>
    <w:p>
      <w:pPr>
        <w:spacing w:after="0" w:line="260" w:lineRule="exact"/>
        <w:rPr>
          <w:sz w:val="20"/>
          <w:szCs w:val="20"/>
          <w:color w:val="auto"/>
        </w:rPr>
      </w:pPr>
    </w:p>
    <w:tbl>
      <w:tblPr>
        <w:tblLayout w:type="fixed"/>
        <w:tblInd w:w="202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Name</w:t>
            </w:r>
          </w:p>
        </w:tc>
        <w:tc>
          <w:tcPr>
            <w:tcW w:w="9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Date Signed</w:t>
            </w:r>
          </w:p>
        </w:tc>
        <w:tc>
          <w:tcPr>
            <w:tcW w:w="260" w:type="dxa"/>
            <w:vAlign w:val="bottom"/>
          </w:tcPr>
          <w:p>
            <w:pPr>
              <w:spacing w:after="0"/>
              <w:rPr>
                <w:sz w:val="17"/>
                <w:szCs w:val="17"/>
                <w:color w:val="auto"/>
              </w:rPr>
            </w:pPr>
          </w:p>
        </w:tc>
      </w:tr>
      <w:tr>
        <w:trPr>
          <w:trHeight w:val="249"/>
        </w:trPr>
        <w:tc>
          <w:tcPr>
            <w:tcW w:w="192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Jon Walker</w:t>
            </w:r>
          </w:p>
        </w:tc>
        <w:tc>
          <w:tcPr>
            <w:tcW w:w="3360" w:type="dxa"/>
            <w:vAlign w:val="bottom"/>
          </w:tcPr>
          <w:p>
            <w:pPr>
              <w:spacing w:after="0"/>
              <w:rPr>
                <w:sz w:val="21"/>
                <w:szCs w:val="21"/>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March 8, 2015</w:t>
            </w:r>
          </w:p>
        </w:tc>
      </w:tr>
      <w:tr>
        <w:trPr>
          <w:trHeight w:val="229"/>
        </w:trPr>
        <w:tc>
          <w:tcPr>
            <w:tcW w:w="192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Timothy Bliss</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March 8, 2015</w:t>
            </w:r>
          </w:p>
        </w:tc>
      </w:tr>
      <w:tr>
        <w:trPr>
          <w:trHeight w:val="230"/>
        </w:trPr>
        <w:tc>
          <w:tcPr>
            <w:tcW w:w="192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Ida Kane</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March 8, 2015</w:t>
            </w:r>
          </w:p>
        </w:tc>
      </w:tr>
      <w:tr>
        <w:trPr>
          <w:trHeight w:val="229"/>
        </w:trPr>
        <w:tc>
          <w:tcPr>
            <w:tcW w:w="192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Andreas von Blottnitz</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March 8, 2015</w:t>
            </w:r>
          </w:p>
        </w:tc>
      </w:tr>
      <w:tr>
        <w:trPr>
          <w:trHeight w:val="229"/>
        </w:trPr>
        <w:tc>
          <w:tcPr>
            <w:tcW w:w="1920" w:type="dxa"/>
            <w:vAlign w:val="bottom"/>
            <w:gridSpan w:val="3"/>
          </w:tcPr>
          <w:p>
            <w:pPr>
              <w:jc w:val="center"/>
              <w:ind w:right="320"/>
              <w:spacing w:after="0"/>
              <w:rPr>
                <w:sz w:val="20"/>
                <w:szCs w:val="20"/>
                <w:color w:val="auto"/>
              </w:rPr>
            </w:pPr>
            <w:r>
              <w:rPr>
                <w:rFonts w:ascii="Arial" w:cs="Arial" w:eastAsia="Arial" w:hAnsi="Arial"/>
                <w:sz w:val="18"/>
                <w:szCs w:val="18"/>
                <w:color w:val="auto"/>
                <w:w w:val="88"/>
              </w:rPr>
              <w:t>Klaus Schauser</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2"/>
              </w:rPr>
              <w:t>March 8, 2015</w:t>
            </w:r>
          </w:p>
        </w:tc>
      </w:tr>
      <w:tr>
        <w:trPr>
          <w:trHeight w:val="230"/>
        </w:trPr>
        <w:tc>
          <w:tcPr>
            <w:tcW w:w="192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Janet Kerr</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March 12, 2015</w:t>
            </w:r>
          </w:p>
        </w:tc>
      </w:tr>
      <w:tr>
        <w:trPr>
          <w:trHeight w:val="229"/>
        </w:trPr>
        <w:tc>
          <w:tcPr>
            <w:tcW w:w="1920" w:type="dxa"/>
            <w:vAlign w:val="bottom"/>
            <w:gridSpan w:val="3"/>
          </w:tcPr>
          <w:p>
            <w:pPr>
              <w:jc w:val="center"/>
              <w:ind w:right="340"/>
              <w:spacing w:after="0"/>
              <w:rPr>
                <w:sz w:val="20"/>
                <w:szCs w:val="20"/>
                <w:color w:val="auto"/>
              </w:rPr>
            </w:pPr>
            <w:r>
              <w:rPr>
                <w:rFonts w:ascii="Arial" w:cs="Arial" w:eastAsia="Arial" w:hAnsi="Arial"/>
                <w:sz w:val="18"/>
                <w:szCs w:val="18"/>
                <w:color w:val="auto"/>
                <w:w w:val="95"/>
              </w:rPr>
              <w:t>William Rauth</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March 16, 2015</w:t>
            </w:r>
          </w:p>
        </w:tc>
      </w:tr>
      <w:tr>
        <w:trPr>
          <w:trHeight w:val="229"/>
        </w:trPr>
        <w:tc>
          <w:tcPr>
            <w:tcW w:w="1920" w:type="dxa"/>
            <w:vAlign w:val="bottom"/>
            <w:gridSpan w:val="3"/>
          </w:tcPr>
          <w:p>
            <w:pPr>
              <w:jc w:val="center"/>
              <w:ind w:right="320"/>
              <w:spacing w:after="0"/>
              <w:rPr>
                <w:sz w:val="20"/>
                <w:szCs w:val="20"/>
                <w:color w:val="auto"/>
              </w:rPr>
            </w:pPr>
            <w:r>
              <w:rPr>
                <w:rFonts w:ascii="Arial" w:cs="Arial" w:eastAsia="Arial" w:hAnsi="Arial"/>
                <w:sz w:val="18"/>
                <w:szCs w:val="18"/>
                <w:color w:val="auto"/>
                <w:w w:val="87"/>
              </w:rPr>
              <w:t>Jason Randall</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August 3, 2017</w:t>
            </w:r>
          </w:p>
        </w:tc>
      </w:tr>
      <w:tr>
        <w:trPr>
          <w:trHeight w:val="230"/>
        </w:trPr>
        <w:tc>
          <w:tcPr>
            <w:tcW w:w="19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Winifred Webb</w:t>
            </w:r>
          </w:p>
        </w:tc>
        <w:tc>
          <w:tcPr>
            <w:tcW w:w="3360" w:type="dxa"/>
            <w:vAlign w:val="bottom"/>
          </w:tcPr>
          <w:p>
            <w:pPr>
              <w:spacing w:after="0"/>
              <w:rPr>
                <w:sz w:val="19"/>
                <w:szCs w:val="19"/>
                <w:color w:val="auto"/>
              </w:rPr>
            </w:pPr>
          </w:p>
        </w:tc>
        <w:tc>
          <w:tcPr>
            <w:tcW w:w="1840" w:type="dxa"/>
            <w:vAlign w:val="bottom"/>
            <w:gridSpan w:val="3"/>
          </w:tcPr>
          <w:p>
            <w:pPr>
              <w:jc w:val="center"/>
              <w:ind w:left="350"/>
              <w:spacing w:after="0"/>
              <w:rPr>
                <w:sz w:val="20"/>
                <w:szCs w:val="20"/>
                <w:color w:val="auto"/>
              </w:rPr>
            </w:pPr>
            <w:r>
              <w:rPr>
                <w:rFonts w:ascii="Arial" w:cs="Arial" w:eastAsia="Arial" w:hAnsi="Arial"/>
                <w:sz w:val="18"/>
                <w:szCs w:val="18"/>
                <w:color w:val="auto"/>
                <w:w w:val="89"/>
              </w:rPr>
              <w:t>December 1, 2019</w:t>
            </w:r>
          </w:p>
        </w:tc>
      </w:tr>
      <w:tr>
        <w:trPr>
          <w:trHeight w:val="229"/>
        </w:trPr>
        <w:tc>
          <w:tcPr>
            <w:tcW w:w="1920" w:type="dxa"/>
            <w:vAlign w:val="bottom"/>
            <w:gridSpan w:val="3"/>
          </w:tcPr>
          <w:p>
            <w:pPr>
              <w:jc w:val="center"/>
              <w:ind w:right="320"/>
              <w:spacing w:after="0"/>
              <w:rPr>
                <w:sz w:val="20"/>
                <w:szCs w:val="20"/>
                <w:color w:val="auto"/>
              </w:rPr>
            </w:pPr>
            <w:r>
              <w:rPr>
                <w:rFonts w:ascii="Arial" w:cs="Arial" w:eastAsia="Arial" w:hAnsi="Arial"/>
                <w:sz w:val="18"/>
                <w:szCs w:val="18"/>
                <w:color w:val="auto"/>
                <w:w w:val="90"/>
              </w:rPr>
              <w:t>Agnes Bundy Scanlan</w:t>
            </w:r>
          </w:p>
        </w:tc>
        <w:tc>
          <w:tcPr>
            <w:tcW w:w="3360" w:type="dxa"/>
            <w:vAlign w:val="bottom"/>
          </w:tcPr>
          <w:p>
            <w:pPr>
              <w:spacing w:after="0"/>
              <w:rPr>
                <w:sz w:val="19"/>
                <w:szCs w:val="19"/>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November 1, 2020</w:t>
            </w:r>
          </w:p>
        </w:tc>
      </w:tr>
      <w:tr>
        <w:trPr>
          <w:trHeight w:val="230"/>
        </w:trPr>
        <w:tc>
          <w:tcPr>
            <w:tcW w:w="192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William Shane Trigg</w:t>
            </w:r>
          </w:p>
        </w:tc>
        <w:tc>
          <w:tcPr>
            <w:tcW w:w="3360" w:type="dxa"/>
            <w:vAlign w:val="bottom"/>
          </w:tcPr>
          <w:p>
            <w:pPr>
              <w:spacing w:after="0"/>
              <w:rPr>
                <w:sz w:val="20"/>
                <w:szCs w:val="20"/>
                <w:color w:val="auto"/>
              </w:rPr>
            </w:pPr>
          </w:p>
        </w:tc>
        <w:tc>
          <w:tcPr>
            <w:tcW w:w="1840" w:type="dxa"/>
            <w:vAlign w:val="bottom"/>
            <w:gridSpan w:val="3"/>
          </w:tcPr>
          <w:p>
            <w:pPr>
              <w:jc w:val="center"/>
              <w:ind w:left="330"/>
              <w:spacing w:after="0"/>
              <w:rPr>
                <w:sz w:val="20"/>
                <w:szCs w:val="20"/>
                <w:color w:val="auto"/>
              </w:rPr>
            </w:pPr>
            <w:r>
              <w:rPr>
                <w:rFonts w:ascii="Arial" w:cs="Arial" w:eastAsia="Arial" w:hAnsi="Arial"/>
                <w:sz w:val="18"/>
                <w:szCs w:val="18"/>
                <w:color w:val="auto"/>
                <w:w w:val="89"/>
              </w:rPr>
              <w:t>December 17, 2020</w:t>
            </w:r>
          </w:p>
        </w:tc>
      </w:tr>
      <w:tr>
        <w:trPr>
          <w:trHeight w:val="513"/>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0" w:type="dxa"/>
            <w:vAlign w:val="bottom"/>
            <w:gridSpan w:val="4"/>
          </w:tcPr>
          <w:p>
            <w:pPr>
              <w:spacing w:after="0"/>
              <w:rPr>
                <w:sz w:val="20"/>
                <w:szCs w:val="20"/>
                <w:color w:val="auto"/>
              </w:rPr>
            </w:pPr>
            <w:r>
              <w:rPr>
                <w:rFonts w:ascii="Arial" w:cs="Arial" w:eastAsia="Arial" w:hAnsi="Arial"/>
                <w:sz w:val="21"/>
                <w:szCs w:val="21"/>
                <w:b w:val="1"/>
                <w:bCs w:val="1"/>
                <w:color w:val="auto"/>
              </w:rPr>
              <w:t>INDEMNIFICATION AGREEMENT</w:t>
            </w:r>
          </w:p>
        </w:tc>
      </w:tr>
      <w:tr>
        <w:trPr>
          <w:trHeight w:val="20"/>
        </w:trPr>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Indemnification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dated ________, 20 , is by and between AppFolio, Inc., a Delaware</w:t>
      </w:r>
    </w:p>
    <w:p>
      <w:pPr>
        <w:spacing w:after="0" w:line="49" w:lineRule="exact"/>
        <w:rPr>
          <w:sz w:val="20"/>
          <w:szCs w:val="20"/>
          <w:color w:val="auto"/>
        </w:rPr>
      </w:pPr>
    </w:p>
    <w:p>
      <w:pPr>
        <w:spacing w:after="0"/>
        <w:rPr>
          <w:sz w:val="20"/>
          <w:szCs w:val="20"/>
          <w:color w:val="auto"/>
        </w:rPr>
      </w:pPr>
      <w:r>
        <w:rPr>
          <w:rFonts w:ascii="Arial" w:cs="Arial" w:eastAsia="Arial" w:hAnsi="Arial"/>
          <w:sz w:val="21"/>
          <w:szCs w:val="21"/>
          <w:color w:val="auto"/>
        </w:rPr>
        <w:t>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__________ (“</w:t>
      </w:r>
      <w:r>
        <w:rPr>
          <w:rFonts w:ascii="Arial" w:cs="Arial" w:eastAsia="Arial" w:hAnsi="Arial"/>
          <w:sz w:val="21"/>
          <w:szCs w:val="21"/>
          <w:b w:val="1"/>
          <w:bCs w:val="1"/>
          <w:color w:val="auto"/>
        </w:rPr>
        <w:t>Indemnitee</w:t>
      </w:r>
      <w:r>
        <w:rPr>
          <w:rFonts w:ascii="Arial" w:cs="Arial" w:eastAsia="Arial" w:hAnsi="Arial"/>
          <w:sz w:val="21"/>
          <w:szCs w:val="21"/>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21"/>
          <w:szCs w:val="21"/>
          <w:color w:val="auto"/>
        </w:rPr>
        <w:t>A. Indemnitee is a director or an officer of the Company.</w:t>
      </w:r>
    </w:p>
    <w:p>
      <w:pPr>
        <w:spacing w:after="0" w:line="212" w:lineRule="exact"/>
        <w:rPr>
          <w:sz w:val="20"/>
          <w:szCs w:val="20"/>
          <w:color w:val="auto"/>
        </w:rPr>
      </w:pPr>
    </w:p>
    <w:p>
      <w:pPr>
        <w:jc w:val="both"/>
        <w:ind w:firstLine="269"/>
        <w:spacing w:after="0" w:line="255" w:lineRule="auto"/>
        <w:rPr>
          <w:sz w:val="20"/>
          <w:szCs w:val="20"/>
          <w:color w:val="auto"/>
        </w:rPr>
      </w:pPr>
      <w:r>
        <w:rPr>
          <w:rFonts w:ascii="Arial" w:cs="Arial" w:eastAsia="Arial" w:hAnsi="Arial"/>
          <w:sz w:val="21"/>
          <w:szCs w:val="21"/>
          <w:color w:val="auto"/>
        </w:rPr>
        <w:t>B. The board of directors of the Company (the “</w:t>
      </w:r>
      <w:r>
        <w:rPr>
          <w:rFonts w:ascii="Arial" w:cs="Arial" w:eastAsia="Arial" w:hAnsi="Arial"/>
          <w:sz w:val="21"/>
          <w:szCs w:val="21"/>
          <w:b w:val="1"/>
          <w:bCs w:val="1"/>
          <w:color w:val="auto"/>
        </w:rPr>
        <w:t>Board</w:t>
      </w:r>
      <w:r>
        <w:rPr>
          <w:rFonts w:ascii="Arial" w:cs="Arial" w:eastAsia="Arial" w:hAnsi="Arial"/>
          <w:sz w:val="21"/>
          <w:szCs w:val="21"/>
          <w:color w:val="auto"/>
        </w:rPr>
        <w:t>”) has determined that enhancing the ability of the Company to retain and attract as directors and officers the most capable persons is in the best interests of the Company and that the Company therefore should seek to assure such persons that indemnification is available.</w:t>
      </w:r>
    </w:p>
    <w:p>
      <w:pPr>
        <w:spacing w:after="0" w:line="181" w:lineRule="exact"/>
        <w:rPr>
          <w:sz w:val="20"/>
          <w:szCs w:val="20"/>
          <w:color w:val="auto"/>
        </w:rPr>
      </w:pPr>
    </w:p>
    <w:p>
      <w:pPr>
        <w:jc w:val="both"/>
        <w:ind w:firstLine="352"/>
        <w:spacing w:after="0" w:line="274" w:lineRule="auto"/>
        <w:rPr>
          <w:sz w:val="20"/>
          <w:szCs w:val="20"/>
          <w:color w:val="auto"/>
        </w:rPr>
      </w:pPr>
      <w:r>
        <w:rPr>
          <w:rFonts w:ascii="Arial" w:cs="Arial" w:eastAsia="Arial" w:hAnsi="Arial"/>
          <w:sz w:val="19"/>
          <w:szCs w:val="19"/>
          <w:color w:val="auto"/>
        </w:rPr>
        <w:t>C. In recognition of the need to provide Indemnitee with substantial protection against personal liability, in order to procure Indemnitee’s continued service as a director or officer of the Company and to enhance Indemnitee’s ability to serve the Company in an effective manner, and in order to provide such protection pursuant to express contract rights (intended to be enforceable irrespective of, among other things, any amendment to the Company’s certificate of incorporation or bylaws (collectively, the “</w:t>
      </w:r>
      <w:r>
        <w:rPr>
          <w:rFonts w:ascii="Arial" w:cs="Arial" w:eastAsia="Arial" w:hAnsi="Arial"/>
          <w:sz w:val="19"/>
          <w:szCs w:val="19"/>
          <w:b w:val="1"/>
          <w:bCs w:val="1"/>
          <w:color w:val="auto"/>
        </w:rPr>
        <w:t>Constituent</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Documents</w:t>
      </w:r>
      <w:r>
        <w:rPr>
          <w:rFonts w:ascii="Arial" w:cs="Arial" w:eastAsia="Arial" w:hAnsi="Arial"/>
          <w:sz w:val="19"/>
          <w:szCs w:val="19"/>
          <w:color w:val="auto"/>
        </w:rPr>
        <w:t>”), any change in the composition of the Board or any change in control or business combination transaction relating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the Company wishes to provide in this Agreement for the indemnification of, and the advancement of Expenses (as defined in Section 2 below) to, Indemnitee as set forth in this Agreement and to the extent insurance is maintained for the continued coverage of Indemnitee under the Company’s directors’ and officers’ liability insurance policies.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NOW, THEREFORE, in consideration of the foregoing and the Indemnitee’s agreement to continue to provide services to the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Company, the parties hereby agree as follows:</w:t>
      </w:r>
    </w:p>
    <w:p>
      <w:pPr>
        <w:sectPr>
          <w:pgSz w:w="11900" w:h="16838" w:orient="portrait"/>
          <w:cols w:equalWidth="0" w:num="1">
            <w:col w:w="11240"/>
          </w:cols>
          <w:pgMar w:left="320" w:top="1417" w:right="339" w:bottom="1440" w:gutter="0" w:footer="0" w:header="0"/>
        </w:sectPr>
      </w:pPr>
    </w:p>
    <w:bookmarkStart w:id="89" w:name="page90"/>
    <w:bookmarkEnd w:id="89"/>
    <w:p>
      <w:pPr>
        <w:jc w:val="both"/>
        <w:ind w:left="-20" w:firstLine="656"/>
        <w:spacing w:after="0" w:line="272" w:lineRule="auto"/>
        <w:tabs>
          <w:tab w:leader="none" w:pos="84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Services to the Company</w:t>
      </w:r>
      <w:r>
        <w:rPr>
          <w:rFonts w:ascii="Arial" w:cs="Arial" w:eastAsia="Arial" w:hAnsi="Arial"/>
          <w:sz w:val="19"/>
          <w:szCs w:val="19"/>
          <w:color w:val="auto"/>
        </w:rPr>
        <w:t>. Indemnitee agrees to continue to serve as a director or officer of the Company for so long as Indemnitee is duly elected or appointed, until Indemnitee tenders Indemnitee’s resignation or until Indemnitee is terminated by the Company, as applicable. This Agreement shall not be deemed an employment agreement between the Company (or any of its subsidiaries or another Enterprise) and Indemnitee. Indemnitee specifically acknowledges that Indemnitee’s service to the Company or any of its subsidiaries or another Enterprise (as defined in Section 2 below) is at will and the Indemnitee may be discharged at any time for any reason, with or without cause, except as may be otherwise provided in any written employment agreement between Indemnitee and the Company (or any of its subsidiaries or another Enterprise), other applicable formal severance policies duly adopted by the Board or, with respect to service as a director or officer of the Company, by the Company’s Constituent Documents or Delaware law. This Agreement shall continue in force after Indemnitee has ceased to serve as a director or officer of the Company or, at the request of the Company, of any of its subsidiaries or Enterprise, as defined in Section 2 below.</w:t>
      </w:r>
    </w:p>
    <w:p>
      <w:pPr>
        <w:spacing w:after="0" w:line="169" w:lineRule="exact"/>
        <w:rPr>
          <w:rFonts w:ascii="Arial" w:cs="Arial" w:eastAsia="Arial" w:hAnsi="Arial"/>
          <w:sz w:val="19"/>
          <w:szCs w:val="19"/>
          <w:color w:val="auto"/>
        </w:rPr>
      </w:pPr>
    </w:p>
    <w:p>
      <w:pPr>
        <w:ind w:left="840" w:hanging="204"/>
        <w:spacing w:after="0"/>
        <w:tabs>
          <w:tab w:leader="none" w:pos="840"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For purposes of this Agreement, the following terms shall have the following meanings:</w:t>
      </w:r>
    </w:p>
    <w:p>
      <w:pPr>
        <w:spacing w:after="0" w:line="225" w:lineRule="exact"/>
        <w:rPr>
          <w:rFonts w:ascii="Arial" w:cs="Arial" w:eastAsia="Arial" w:hAnsi="Arial"/>
          <w:sz w:val="21"/>
          <w:szCs w:val="21"/>
          <w:color w:val="auto"/>
        </w:rPr>
      </w:pPr>
    </w:p>
    <w:p>
      <w:pPr>
        <w:ind w:left="1580" w:hanging="296"/>
        <w:spacing w:after="0"/>
        <w:tabs>
          <w:tab w:leader="none" w:pos="1580" w:val="left"/>
        </w:tabs>
        <w:numPr>
          <w:ilvl w:val="1"/>
          <w:numId w:val="21"/>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shall have the meaning ascribed to it in the prefatory language above.</w:t>
      </w:r>
    </w:p>
    <w:p>
      <w:pPr>
        <w:spacing w:after="0" w:line="219" w:lineRule="exact"/>
        <w:rPr>
          <w:rFonts w:ascii="Arial" w:cs="Arial" w:eastAsia="Arial" w:hAnsi="Arial"/>
          <w:sz w:val="22"/>
          <w:szCs w:val="22"/>
          <w:color w:val="auto"/>
        </w:rPr>
      </w:pPr>
    </w:p>
    <w:p>
      <w:pPr>
        <w:ind w:left="1580" w:hanging="296"/>
        <w:spacing w:after="0"/>
        <w:tabs>
          <w:tab w:leader="none" w:pos="1580" w:val="left"/>
        </w:tabs>
        <w:numPr>
          <w:ilvl w:val="1"/>
          <w:numId w:val="2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Beneficial Owner</w:t>
      </w:r>
      <w:r>
        <w:rPr>
          <w:rFonts w:ascii="Arial" w:cs="Arial" w:eastAsia="Arial" w:hAnsi="Arial"/>
          <w:sz w:val="19"/>
          <w:szCs w:val="19"/>
          <w:color w:val="auto"/>
        </w:rPr>
        <w:t>” has the meaning given to the term “beneficial owner” in Rule 13d-3 under the Exchange Act.</w:t>
      </w:r>
    </w:p>
    <w:p>
      <w:pPr>
        <w:spacing w:after="0" w:line="254" w:lineRule="exact"/>
        <w:rPr>
          <w:rFonts w:ascii="Arial" w:cs="Arial" w:eastAsia="Arial" w:hAnsi="Arial"/>
          <w:sz w:val="19"/>
          <w:szCs w:val="19"/>
          <w:color w:val="auto"/>
        </w:rPr>
      </w:pPr>
    </w:p>
    <w:p>
      <w:pPr>
        <w:ind w:left="1580" w:hanging="296"/>
        <w:spacing w:after="0"/>
        <w:tabs>
          <w:tab w:leader="none" w:pos="1580" w:val="left"/>
        </w:tabs>
        <w:numPr>
          <w:ilvl w:val="1"/>
          <w:numId w:val="21"/>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w:t>
      </w:r>
      <w:r>
        <w:rPr>
          <w:rFonts w:ascii="Arial" w:cs="Arial" w:eastAsia="Arial" w:hAnsi="Arial"/>
          <w:sz w:val="21"/>
          <w:szCs w:val="21"/>
          <w:color w:val="auto"/>
        </w:rPr>
        <w:t>” shall have the meaning ascribed to it in the Recitals above.</w:t>
      </w:r>
    </w:p>
    <w:p>
      <w:pPr>
        <w:spacing w:after="0" w:line="219" w:lineRule="exact"/>
        <w:rPr>
          <w:rFonts w:ascii="Arial" w:cs="Arial" w:eastAsia="Arial" w:hAnsi="Arial"/>
          <w:sz w:val="22"/>
          <w:szCs w:val="22"/>
          <w:color w:val="auto"/>
        </w:rPr>
      </w:pPr>
    </w:p>
    <w:p>
      <w:pPr>
        <w:ind w:left="1580" w:hanging="296"/>
        <w:spacing w:after="0"/>
        <w:tabs>
          <w:tab w:leader="none" w:pos="1580" w:val="left"/>
        </w:tabs>
        <w:numPr>
          <w:ilvl w:val="1"/>
          <w:numId w:val="21"/>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Combination</w:t>
      </w:r>
      <w:r>
        <w:rPr>
          <w:rFonts w:ascii="Arial" w:cs="Arial" w:eastAsia="Arial" w:hAnsi="Arial"/>
          <w:sz w:val="21"/>
          <w:szCs w:val="21"/>
          <w:color w:val="auto"/>
        </w:rPr>
        <w:t>” means a reorganization, a merger or a consolidation.</w:t>
      </w:r>
    </w:p>
    <w:p>
      <w:pPr>
        <w:spacing w:after="0" w:line="219" w:lineRule="exact"/>
        <w:rPr>
          <w:rFonts w:ascii="Arial" w:cs="Arial" w:eastAsia="Arial" w:hAnsi="Arial"/>
          <w:sz w:val="22"/>
          <w:szCs w:val="22"/>
          <w:color w:val="auto"/>
        </w:rPr>
      </w:pPr>
    </w:p>
    <w:p>
      <w:pPr>
        <w:ind w:left="1580" w:hanging="296"/>
        <w:spacing w:after="0"/>
        <w:tabs>
          <w:tab w:leader="none" w:pos="1580" w:val="left"/>
        </w:tabs>
        <w:numPr>
          <w:ilvl w:val="1"/>
          <w:numId w:val="21"/>
        </w:numPr>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means the occurrence after the date of this Agreement of any of the following events:</w:t>
      </w:r>
    </w:p>
    <w:p>
      <w:pPr>
        <w:spacing w:after="0" w:line="237" w:lineRule="exact"/>
        <w:rPr>
          <w:rFonts w:ascii="Arial" w:cs="Arial" w:eastAsia="Arial" w:hAnsi="Arial"/>
          <w:sz w:val="21"/>
          <w:szCs w:val="21"/>
          <w:color w:val="auto"/>
        </w:rPr>
      </w:pPr>
    </w:p>
    <w:p>
      <w:pPr>
        <w:jc w:val="both"/>
        <w:ind w:left="-20" w:firstLine="1952"/>
        <w:spacing w:after="0" w:line="265" w:lineRule="auto"/>
        <w:tabs>
          <w:tab w:leader="none" w:pos="2182" w:val="left"/>
        </w:tabs>
        <w:numPr>
          <w:ilvl w:val="2"/>
          <w:numId w:val="21"/>
        </w:numPr>
        <w:rPr>
          <w:rFonts w:ascii="Arial" w:cs="Arial" w:eastAsia="Arial" w:hAnsi="Arial"/>
          <w:sz w:val="21"/>
          <w:szCs w:val="21"/>
          <w:color w:val="auto"/>
        </w:rPr>
      </w:pPr>
      <w:r>
        <w:rPr>
          <w:rFonts w:ascii="Arial" w:cs="Arial" w:eastAsia="Arial" w:hAnsi="Arial"/>
          <w:sz w:val="20"/>
          <w:szCs w:val="20"/>
          <w:u w:val="single" w:color="auto"/>
          <w:color w:val="auto"/>
        </w:rPr>
        <w:t>Acquisition of Stock by Third Party</w:t>
      </w:r>
      <w:r>
        <w:rPr>
          <w:rFonts w:ascii="Arial" w:cs="Arial" w:eastAsia="Arial" w:hAnsi="Arial"/>
          <w:sz w:val="20"/>
          <w:szCs w:val="20"/>
          <w:color w:val="auto"/>
        </w:rPr>
        <w:t>. Any Person (as defined below) who is not a current stockholder of the Company becomes hereafter the Beneficial Owner, directly or indirectly, of securities of the Company representing thirty percent (30%) or more of the Company’s Voting Securities, unless the change in the relative Beneficial Ownership of the Company’s securities by any Person results solely from a reduction in the aggregate number of outstanding Voting Securities;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40" w:top="1422" w:right="339" w:bottom="1440" w:gutter="0" w:footer="0" w:header="0"/>
        </w:sectPr>
      </w:pPr>
    </w:p>
    <w:bookmarkStart w:id="90" w:name="page91"/>
    <w:bookmarkEnd w:id="90"/>
    <w:p>
      <w:pPr>
        <w:jc w:val="both"/>
        <w:ind w:firstLine="1952"/>
        <w:spacing w:after="0" w:line="289" w:lineRule="auto"/>
        <w:tabs>
          <w:tab w:leader="none" w:pos="2262"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Corporate Transactions</w:t>
      </w:r>
      <w:r>
        <w:rPr>
          <w:rFonts w:ascii="Arial" w:cs="Arial" w:eastAsia="Arial" w:hAnsi="Arial"/>
          <w:sz w:val="19"/>
          <w:szCs w:val="19"/>
          <w:color w:val="auto"/>
        </w:rPr>
        <w:t>. The consummation of a Business Combination, unless immediately following such Business Combination, (1) the Beneficial Owners of the Voting Securities of the Company immediately prior to such transaction beneficially own, directly or indirectly, more than fifty percent (50%) of the combined voting power of the outstanding Voting Securities of the entity resulting from such transaction, (2) no Person (excluding any corporation resulting from such Business Combination) is the Beneficial Owner, directly or indirectly, of twenty percent (20%)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(as defined below), at the time of the execution of the initial agreement or of the action of the Board, providing for such Business Combination;</w:t>
      </w:r>
    </w:p>
    <w:p>
      <w:pPr>
        <w:spacing w:after="0" w:line="164" w:lineRule="exact"/>
        <w:rPr>
          <w:rFonts w:ascii="Arial" w:cs="Arial" w:eastAsia="Arial" w:hAnsi="Arial"/>
          <w:sz w:val="19"/>
          <w:szCs w:val="19"/>
          <w:color w:val="auto"/>
        </w:rPr>
      </w:pPr>
    </w:p>
    <w:p>
      <w:pPr>
        <w:ind w:firstLine="1952"/>
        <w:spacing w:after="0" w:line="252" w:lineRule="auto"/>
        <w:tabs>
          <w:tab w:leader="none" w:pos="2349" w:val="left"/>
        </w:tabs>
        <w:numPr>
          <w:ilvl w:val="1"/>
          <w:numId w:val="22"/>
        </w:numPr>
        <w:rPr>
          <w:rFonts w:ascii="Arial" w:cs="Arial" w:eastAsia="Arial" w:hAnsi="Arial"/>
          <w:sz w:val="22"/>
          <w:szCs w:val="22"/>
          <w:color w:val="auto"/>
        </w:rPr>
      </w:pPr>
      <w:r>
        <w:rPr>
          <w:rFonts w:ascii="Arial" w:cs="Arial" w:eastAsia="Arial" w:hAnsi="Arial"/>
          <w:sz w:val="21"/>
          <w:szCs w:val="21"/>
          <w:u w:val="single" w:color="auto"/>
          <w:color w:val="auto"/>
        </w:rPr>
        <w:t>Change in Board of Directors</w:t>
      </w:r>
      <w:r>
        <w:rPr>
          <w:rFonts w:ascii="Arial" w:cs="Arial" w:eastAsia="Arial" w:hAnsi="Arial"/>
          <w:sz w:val="21"/>
          <w:szCs w:val="21"/>
          <w:color w:val="auto"/>
        </w:rPr>
        <w:t>. The Continuing Directors cease for any reason to constitute at least a majority of the members of the Board; or</w:t>
      </w:r>
    </w:p>
    <w:p>
      <w:pPr>
        <w:spacing w:after="0" w:line="196" w:lineRule="exact"/>
        <w:rPr>
          <w:rFonts w:ascii="Arial" w:cs="Arial" w:eastAsia="Arial" w:hAnsi="Arial"/>
          <w:sz w:val="22"/>
          <w:szCs w:val="22"/>
          <w:color w:val="auto"/>
        </w:rPr>
      </w:pPr>
    </w:p>
    <w:p>
      <w:pPr>
        <w:jc w:val="both"/>
        <w:ind w:firstLine="1952"/>
        <w:spacing w:after="0" w:line="283" w:lineRule="auto"/>
        <w:tabs>
          <w:tab w:leader="none" w:pos="2310"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i w:val="1"/>
          <w:iCs w:val="1"/>
          <w:color w:val="auto"/>
        </w:rPr>
        <w:t>.</w:t>
      </w:r>
      <w:r>
        <w:rPr>
          <w:rFonts w:ascii="Arial" w:cs="Arial" w:eastAsia="Arial" w:hAnsi="Arial"/>
          <w:sz w:val="19"/>
          <w:szCs w:val="19"/>
          <w:color w:val="auto"/>
        </w:rPr>
        <w:t xml:space="preserve"> The stockholders of the Company approve a plan of complete liquidation or dissolution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164" w:lineRule="exact"/>
        <w:rPr>
          <w:rFonts w:ascii="Arial" w:cs="Arial" w:eastAsia="Arial" w:hAnsi="Arial"/>
          <w:sz w:val="19"/>
          <w:szCs w:val="19"/>
          <w:color w:val="auto"/>
        </w:rPr>
      </w:pPr>
    </w:p>
    <w:p>
      <w:pPr>
        <w:ind w:left="1580" w:hanging="276"/>
        <w:spacing w:after="0"/>
        <w:tabs>
          <w:tab w:leader="none" w:pos="1580" w:val="left"/>
        </w:tabs>
        <w:numPr>
          <w:ilvl w:val="0"/>
          <w:numId w:val="23"/>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Claim</w:t>
      </w:r>
      <w:r>
        <w:rPr>
          <w:rFonts w:ascii="Arial" w:cs="Arial" w:eastAsia="Arial" w:hAnsi="Arial"/>
          <w:sz w:val="21"/>
          <w:szCs w:val="21"/>
          <w:color w:val="auto"/>
        </w:rPr>
        <w:t>” means:</w:t>
      </w:r>
    </w:p>
    <w:p>
      <w:pPr>
        <w:spacing w:after="0" w:line="225" w:lineRule="exact"/>
        <w:rPr>
          <w:rFonts w:ascii="Arial" w:cs="Arial" w:eastAsia="Arial" w:hAnsi="Arial"/>
          <w:sz w:val="22"/>
          <w:szCs w:val="22"/>
          <w:color w:val="auto"/>
        </w:rPr>
      </w:pPr>
    </w:p>
    <w:p>
      <w:pPr>
        <w:jc w:val="both"/>
        <w:ind w:firstLine="1952"/>
        <w:spacing w:after="0" w:line="247" w:lineRule="auto"/>
        <w:tabs>
          <w:tab w:leader="none" w:pos="2229" w:val="left"/>
        </w:tabs>
        <w:numPr>
          <w:ilvl w:val="1"/>
          <w:numId w:val="23"/>
        </w:numPr>
        <w:rPr>
          <w:rFonts w:ascii="Arial" w:cs="Arial" w:eastAsia="Arial" w:hAnsi="Arial"/>
          <w:sz w:val="22"/>
          <w:szCs w:val="22"/>
          <w:color w:val="auto"/>
        </w:rPr>
      </w:pPr>
      <w:r>
        <w:rPr>
          <w:rFonts w:ascii="Arial" w:cs="Arial" w:eastAsia="Arial" w:hAnsi="Arial"/>
          <w:sz w:val="21"/>
          <w:szCs w:val="21"/>
          <w:color w:val="auto"/>
        </w:rPr>
        <w:t>any threatened, pending or completed action, suit, demand, proceeding or alternative dispute resolution mechanism, whether civil, criminal, administrative, arbitrative, investigative or other, and whether made pursuant to federal, state or other law; or</w:t>
      </w:r>
    </w:p>
    <w:p>
      <w:pPr>
        <w:spacing w:after="0" w:line="201" w:lineRule="exact"/>
        <w:rPr>
          <w:rFonts w:ascii="Arial" w:cs="Arial" w:eastAsia="Arial" w:hAnsi="Arial"/>
          <w:sz w:val="22"/>
          <w:szCs w:val="22"/>
          <w:color w:val="auto"/>
        </w:rPr>
      </w:pPr>
    </w:p>
    <w:p>
      <w:pPr>
        <w:ind w:right="20" w:firstLine="1952"/>
        <w:spacing w:after="0" w:line="252" w:lineRule="auto"/>
        <w:tabs>
          <w:tab w:leader="none" w:pos="2262" w:val="left"/>
        </w:tabs>
        <w:numPr>
          <w:ilvl w:val="1"/>
          <w:numId w:val="23"/>
        </w:numPr>
        <w:rPr>
          <w:rFonts w:ascii="Arial" w:cs="Arial" w:eastAsia="Arial" w:hAnsi="Arial"/>
          <w:sz w:val="22"/>
          <w:szCs w:val="22"/>
          <w:color w:val="auto"/>
        </w:rPr>
      </w:pPr>
      <w:r>
        <w:rPr>
          <w:rFonts w:ascii="Arial" w:cs="Arial" w:eastAsia="Arial" w:hAnsi="Arial"/>
          <w:sz w:val="21"/>
          <w:szCs w:val="21"/>
          <w:color w:val="auto"/>
        </w:rPr>
        <w:t>any inquiry, hearing or investigation that the Indemnitee determines might lead to the institution of any such action, suit, proceeding or alternative dispute resolution mechanism.</w:t>
      </w:r>
    </w:p>
    <w:p>
      <w:pPr>
        <w:spacing w:after="0" w:line="190" w:lineRule="exact"/>
        <w:rPr>
          <w:rFonts w:ascii="Arial" w:cs="Arial" w:eastAsia="Arial" w:hAnsi="Arial"/>
          <w:sz w:val="22"/>
          <w:szCs w:val="22"/>
          <w:color w:val="auto"/>
        </w:rPr>
      </w:pPr>
    </w:p>
    <w:p>
      <w:pPr>
        <w:ind w:left="1600" w:hanging="296"/>
        <w:spacing w:after="0"/>
        <w:tabs>
          <w:tab w:leader="none" w:pos="1600" w:val="left"/>
        </w:tabs>
        <w:numPr>
          <w:ilvl w:val="0"/>
          <w:numId w:val="23"/>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shall have the meaning ascribed to it in the prefatory language above.</w:t>
      </w:r>
    </w:p>
    <w:p>
      <w:pPr>
        <w:spacing w:after="0" w:line="219" w:lineRule="exact"/>
        <w:rPr>
          <w:rFonts w:ascii="Arial" w:cs="Arial" w:eastAsia="Arial" w:hAnsi="Arial"/>
          <w:sz w:val="22"/>
          <w:szCs w:val="22"/>
          <w:color w:val="auto"/>
        </w:rPr>
      </w:pPr>
    </w:p>
    <w:p>
      <w:pPr>
        <w:ind w:left="1600" w:hanging="296"/>
        <w:spacing w:after="0"/>
        <w:tabs>
          <w:tab w:leader="none" w:pos="1600" w:val="left"/>
        </w:tabs>
        <w:numPr>
          <w:ilvl w:val="0"/>
          <w:numId w:val="23"/>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Constituent Documents</w:t>
      </w:r>
      <w:r>
        <w:rPr>
          <w:rFonts w:ascii="Arial" w:cs="Arial" w:eastAsia="Arial" w:hAnsi="Arial"/>
          <w:sz w:val="21"/>
          <w:szCs w:val="21"/>
          <w:color w:val="auto"/>
        </w:rPr>
        <w:t>” shall have the meaning ascribed to it in the Recitals above.</w:t>
      </w:r>
    </w:p>
    <w:p>
      <w:pPr>
        <w:spacing w:after="0" w:line="219" w:lineRule="exact"/>
        <w:rPr>
          <w:rFonts w:ascii="Arial" w:cs="Arial" w:eastAsia="Arial" w:hAnsi="Arial"/>
          <w:sz w:val="22"/>
          <w:szCs w:val="22"/>
          <w:color w:val="auto"/>
        </w:rPr>
      </w:pPr>
    </w:p>
    <w:p>
      <w:pPr>
        <w:jc w:val="both"/>
        <w:ind w:firstLine="1304"/>
        <w:spacing w:after="0" w:line="245" w:lineRule="auto"/>
        <w:tabs>
          <w:tab w:leader="none" w:pos="1581" w:val="left"/>
        </w:tabs>
        <w:numPr>
          <w:ilvl w:val="0"/>
          <w:numId w:val="23"/>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Continuing Directors</w:t>
      </w:r>
      <w:r>
        <w:rPr>
          <w:rFonts w:ascii="Arial" w:cs="Arial" w:eastAsia="Arial" w:hAnsi="Arial"/>
          <w:sz w:val="21"/>
          <w:szCs w:val="21"/>
          <w:color w:val="auto"/>
        </w:rPr>
        <w:t>” means, during a period of two consecutive years, not including any period prior to the execution of this Agreement, the individuals collectively who at the beginning of such period constituted the Board (including for this purpose any new directors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w:t>
      </w:r>
    </w:p>
    <w:p>
      <w:pPr>
        <w:spacing w:after="0" w:line="200" w:lineRule="exact"/>
        <w:rPr>
          <w:rFonts w:ascii="Arial" w:cs="Arial" w:eastAsia="Arial" w:hAnsi="Arial"/>
          <w:sz w:val="22"/>
          <w:szCs w:val="22"/>
          <w:color w:val="auto"/>
        </w:rPr>
      </w:pPr>
    </w:p>
    <w:p>
      <w:pPr>
        <w:ind w:left="1560" w:hanging="256"/>
        <w:spacing w:after="0"/>
        <w:tabs>
          <w:tab w:leader="none" w:pos="1560" w:val="left"/>
        </w:tabs>
        <w:numPr>
          <w:ilvl w:val="0"/>
          <w:numId w:val="23"/>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Delaware Court</w:t>
      </w:r>
      <w:r>
        <w:rPr>
          <w:rFonts w:ascii="Arial" w:cs="Arial" w:eastAsia="Arial" w:hAnsi="Arial"/>
          <w:sz w:val="21"/>
          <w:szCs w:val="21"/>
          <w:color w:val="auto"/>
        </w:rPr>
        <w:t>” means the Court of Chancery of the State of Delaware.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28" w:right="339" w:bottom="1440" w:gutter="0" w:footer="0" w:header="0"/>
        </w:sectPr>
      </w:pPr>
    </w:p>
    <w:bookmarkStart w:id="91" w:name="page92"/>
    <w:bookmarkEnd w:id="91"/>
    <w:p>
      <w:pPr>
        <w:ind w:firstLine="1304"/>
        <w:spacing w:after="0" w:line="258" w:lineRule="auto"/>
        <w:tabs>
          <w:tab w:leader="none" w:pos="1602" w:val="left"/>
        </w:tabs>
        <w:numPr>
          <w:ilvl w:val="0"/>
          <w:numId w:val="24"/>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Disinterested Director</w:t>
      </w:r>
      <w:r>
        <w:rPr>
          <w:rFonts w:ascii="Arial" w:cs="Arial" w:eastAsia="Arial" w:hAnsi="Arial"/>
          <w:sz w:val="21"/>
          <w:szCs w:val="21"/>
          <w:color w:val="auto"/>
        </w:rPr>
        <w:t>” means a director of the Company who is not and was not a party to the Claim in respect of which indemnification is sought by Indemnitee.</w:t>
      </w:r>
    </w:p>
    <w:p>
      <w:pPr>
        <w:spacing w:after="0" w:line="183" w:lineRule="exact"/>
        <w:rPr>
          <w:rFonts w:ascii="Arial" w:cs="Arial" w:eastAsia="Arial" w:hAnsi="Arial"/>
          <w:sz w:val="22"/>
          <w:szCs w:val="22"/>
          <w:color w:val="auto"/>
        </w:rPr>
      </w:pPr>
    </w:p>
    <w:p>
      <w:pPr>
        <w:ind w:left="1560" w:hanging="256"/>
        <w:spacing w:after="0"/>
        <w:tabs>
          <w:tab w:leader="none" w:pos="1560" w:val="left"/>
        </w:tabs>
        <w:numPr>
          <w:ilvl w:val="0"/>
          <w:numId w:val="24"/>
        </w:numPr>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b w:val="1"/>
          <w:bCs w:val="1"/>
          <w:color w:val="auto"/>
        </w:rPr>
        <w:t>Enterprise</w:t>
      </w:r>
      <w:r>
        <w:rPr>
          <w:rFonts w:ascii="Arial" w:cs="Arial" w:eastAsia="Arial" w:hAnsi="Arial"/>
          <w:sz w:val="20"/>
          <w:szCs w:val="20"/>
          <w:color w:val="auto"/>
        </w:rPr>
        <w:t>” means, any corporation, limited liability company, partnership, joint venture, trust or other entity.</w:t>
      </w:r>
    </w:p>
    <w:p>
      <w:pPr>
        <w:spacing w:after="0" w:line="231" w:lineRule="exact"/>
        <w:rPr>
          <w:rFonts w:ascii="Arial" w:cs="Arial" w:eastAsia="Arial" w:hAnsi="Arial"/>
          <w:sz w:val="21"/>
          <w:szCs w:val="21"/>
          <w:color w:val="auto"/>
        </w:rPr>
      </w:pPr>
    </w:p>
    <w:p>
      <w:pPr>
        <w:ind w:left="1660" w:hanging="356"/>
        <w:spacing w:after="0"/>
        <w:tabs>
          <w:tab w:leader="none" w:pos="1660" w:val="left"/>
        </w:tabs>
        <w:numPr>
          <w:ilvl w:val="0"/>
          <w:numId w:val="24"/>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means the Securities Exchange Act of 1934, as amended.</w:t>
      </w:r>
    </w:p>
    <w:p>
      <w:pPr>
        <w:spacing w:after="0" w:line="219" w:lineRule="exact"/>
        <w:rPr>
          <w:rFonts w:ascii="Arial" w:cs="Arial" w:eastAsia="Arial" w:hAnsi="Arial"/>
          <w:sz w:val="22"/>
          <w:szCs w:val="22"/>
          <w:color w:val="auto"/>
        </w:rPr>
      </w:pPr>
    </w:p>
    <w:p>
      <w:pPr>
        <w:ind w:right="20" w:firstLine="1304"/>
        <w:spacing w:after="0" w:line="258" w:lineRule="auto"/>
        <w:tabs>
          <w:tab w:leader="none" w:pos="1602" w:val="left"/>
        </w:tabs>
        <w:numPr>
          <w:ilvl w:val="0"/>
          <w:numId w:val="24"/>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Expense Advance</w:t>
      </w:r>
      <w:r>
        <w:rPr>
          <w:rFonts w:ascii="Arial" w:cs="Arial" w:eastAsia="Arial" w:hAnsi="Arial"/>
          <w:sz w:val="21"/>
          <w:szCs w:val="21"/>
          <w:color w:val="auto"/>
        </w:rPr>
        <w:t>” means any payment of Expense advanced to Indemnitee by the Company pursuant to Section 4 or Section 5 hereof.</w:t>
      </w:r>
    </w:p>
    <w:p>
      <w:pPr>
        <w:spacing w:after="0" w:line="183" w:lineRule="exact"/>
        <w:rPr>
          <w:rFonts w:ascii="Arial" w:cs="Arial" w:eastAsia="Arial" w:hAnsi="Arial"/>
          <w:sz w:val="22"/>
          <w:szCs w:val="22"/>
          <w:color w:val="auto"/>
        </w:rPr>
      </w:pPr>
    </w:p>
    <w:p>
      <w:pPr>
        <w:jc w:val="both"/>
        <w:ind w:firstLine="1304"/>
        <w:spacing w:after="0" w:line="275" w:lineRule="auto"/>
        <w:tabs>
          <w:tab w:leader="none" w:pos="1602"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Expenses</w:t>
      </w:r>
      <w:r>
        <w:rPr>
          <w:rFonts w:ascii="Arial" w:cs="Arial" w:eastAsia="Arial" w:hAnsi="Arial"/>
          <w:sz w:val="19"/>
          <w:szCs w:val="19"/>
          <w:color w:val="auto"/>
        </w:rPr>
        <w:t>” 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or participate in, any Claim. Expenses also shall include (i) Expenses incurred in connection with any appeal resulting from any Claim, including without limitation the premium, security for, and other costs relating to any cost bond, supersedes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70" w:lineRule="exact"/>
        <w:rPr>
          <w:rFonts w:ascii="Arial" w:cs="Arial" w:eastAsia="Arial" w:hAnsi="Arial"/>
          <w:sz w:val="19"/>
          <w:szCs w:val="19"/>
          <w:color w:val="auto"/>
        </w:rPr>
      </w:pPr>
    </w:p>
    <w:p>
      <w:pPr>
        <w:jc w:val="both"/>
        <w:ind w:firstLine="1304"/>
        <w:spacing w:after="0" w:line="281" w:lineRule="auto"/>
        <w:tabs>
          <w:tab w:leader="none" w:pos="1629"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Indemnifiable Event</w:t>
      </w:r>
      <w:r>
        <w:rPr>
          <w:rFonts w:ascii="Arial" w:cs="Arial" w:eastAsia="Arial" w:hAnsi="Arial"/>
          <w:sz w:val="19"/>
          <w:szCs w:val="19"/>
          <w:color w:val="auto"/>
        </w:rPr>
        <w:t>” means any event or occurrence, whether occurring before, on or after the date of this Agreement, related to the fact that Indemnitee is or was a director, officer, employee or agent of the Company or any subsidiary of the Company, or is or was serving at the request of the Company as a director, officer, employee, member, manager, trustee or agent of another Enterprise or by reason of an action or inaction by Indemnitee in any such capacity (whether or not serving in such capacity at the time any Loss (as defined below) is incurred for which indemnification can be provided under this Agreement).</w:t>
      </w:r>
    </w:p>
    <w:p>
      <w:pPr>
        <w:spacing w:after="0" w:line="165" w:lineRule="exact"/>
        <w:rPr>
          <w:rFonts w:ascii="Arial" w:cs="Arial" w:eastAsia="Arial" w:hAnsi="Arial"/>
          <w:sz w:val="19"/>
          <w:szCs w:val="19"/>
          <w:color w:val="auto"/>
        </w:rPr>
      </w:pPr>
    </w:p>
    <w:p>
      <w:pPr>
        <w:ind w:left="1600" w:hanging="296"/>
        <w:spacing w:after="0"/>
        <w:tabs>
          <w:tab w:leader="none" w:pos="1600" w:val="left"/>
        </w:tabs>
        <w:numPr>
          <w:ilvl w:val="0"/>
          <w:numId w:val="24"/>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Indemnitee</w:t>
      </w:r>
      <w:r>
        <w:rPr>
          <w:rFonts w:ascii="Arial" w:cs="Arial" w:eastAsia="Arial" w:hAnsi="Arial"/>
          <w:sz w:val="21"/>
          <w:szCs w:val="21"/>
          <w:color w:val="auto"/>
        </w:rPr>
        <w:t>” shall have the meaning ascribed to it in the prefatory language above.</w:t>
      </w:r>
    </w:p>
    <w:p>
      <w:pPr>
        <w:spacing w:after="0" w:line="219" w:lineRule="exact"/>
        <w:rPr>
          <w:rFonts w:ascii="Arial" w:cs="Arial" w:eastAsia="Arial" w:hAnsi="Arial"/>
          <w:sz w:val="22"/>
          <w:szCs w:val="22"/>
          <w:color w:val="auto"/>
        </w:rPr>
      </w:pPr>
    </w:p>
    <w:p>
      <w:pPr>
        <w:jc w:val="both"/>
        <w:ind w:firstLine="1304"/>
        <w:spacing w:after="0" w:line="278" w:lineRule="auto"/>
        <w:tabs>
          <w:tab w:leader="none" w:pos="1566"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Independent Counsel</w:t>
      </w:r>
      <w:r>
        <w:rPr>
          <w:rFonts w:ascii="Arial" w:cs="Arial" w:eastAsia="Arial" w:hAnsi="Arial"/>
          <w:sz w:val="19"/>
          <w:szCs w:val="19"/>
          <w:color w:val="auto"/>
        </w:rPr>
        <w:t>” means a law firm, or a member of a law firm, that is experienced in matters of corporate law and neither presently performs, nor in the past five (5) years has performed, services for either: (i) the Company or Indemnitee (other than in connection with matters concerning other indemnitees under similar agreements) or (ii) any other party to the Claim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9" w:lineRule="exact"/>
        <w:rPr>
          <w:rFonts w:ascii="Arial" w:cs="Arial" w:eastAsia="Arial" w:hAnsi="Arial"/>
          <w:sz w:val="19"/>
          <w:szCs w:val="19"/>
          <w:color w:val="auto"/>
        </w:rPr>
      </w:pPr>
    </w:p>
    <w:p>
      <w:pPr>
        <w:jc w:val="both"/>
        <w:ind w:firstLine="1304"/>
        <w:spacing w:after="0" w:line="245" w:lineRule="auto"/>
        <w:tabs>
          <w:tab w:leader="none" w:pos="1618" w:val="left"/>
        </w:tabs>
        <w:numPr>
          <w:ilvl w:val="0"/>
          <w:numId w:val="24"/>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Losses</w:t>
      </w:r>
      <w:r>
        <w:rPr>
          <w:rFonts w:ascii="Arial" w:cs="Arial" w:eastAsia="Arial" w:hAnsi="Arial"/>
          <w:sz w:val="21"/>
          <w:szCs w:val="21"/>
          <w:color w:val="auto"/>
        </w:rPr>
        <w:t>” means any and all Expenses, damages, losses, liabilities, judgments, fines, penalties (whether civil, criminal or other), ERISA excise taxes, amounts paid or payable in settlement, including any interest, assessments, any federal, state, local or foreign taxes imposed as a result of the actual or deemed receipt of any payments under this Agreement and all other charges paid or payable in connection with investigating, defending, being a witness in or participating in (including on appeal), or preparing to defend, be a witness or participate in, any Claim.</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0" w:right="339" w:bottom="1440" w:gutter="0" w:footer="0" w:header="0"/>
        </w:sectPr>
      </w:pPr>
    </w:p>
    <w:bookmarkStart w:id="92" w:name="page93"/>
    <w:bookmarkEnd w:id="92"/>
    <w:p>
      <w:pPr>
        <w:ind w:left="1560" w:hanging="256"/>
        <w:spacing w:after="0"/>
        <w:tabs>
          <w:tab w:leader="none" w:pos="1560" w:val="left"/>
        </w:tabs>
        <w:numPr>
          <w:ilvl w:val="1"/>
          <w:numId w:val="25"/>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Notification Date</w:t>
      </w:r>
      <w:r>
        <w:rPr>
          <w:rFonts w:ascii="Arial" w:cs="Arial" w:eastAsia="Arial" w:hAnsi="Arial"/>
          <w:sz w:val="21"/>
          <w:szCs w:val="21"/>
          <w:color w:val="auto"/>
        </w:rPr>
        <w:t>” shall have the meaning ascribed to it in Section 10(c) below.</w:t>
      </w:r>
    </w:p>
    <w:p>
      <w:pPr>
        <w:spacing w:after="0" w:line="219" w:lineRule="exact"/>
        <w:rPr>
          <w:rFonts w:ascii="Arial" w:cs="Arial" w:eastAsia="Arial" w:hAnsi="Arial"/>
          <w:sz w:val="22"/>
          <w:szCs w:val="22"/>
          <w:color w:val="auto"/>
        </w:rPr>
      </w:pPr>
    </w:p>
    <w:p>
      <w:pPr>
        <w:ind w:left="1600" w:hanging="296"/>
        <w:spacing w:after="0"/>
        <w:tabs>
          <w:tab w:leader="none" w:pos="1600" w:val="left"/>
        </w:tabs>
        <w:numPr>
          <w:ilvl w:val="1"/>
          <w:numId w:val="25"/>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Other Indemnity Provisions</w:t>
      </w:r>
      <w:r>
        <w:rPr>
          <w:rFonts w:ascii="Arial" w:cs="Arial" w:eastAsia="Arial" w:hAnsi="Arial"/>
          <w:sz w:val="21"/>
          <w:szCs w:val="21"/>
          <w:color w:val="auto"/>
        </w:rPr>
        <w:t>” shall have the meaning ascribed to it in Section 14 below.</w:t>
      </w:r>
    </w:p>
    <w:p>
      <w:pPr>
        <w:spacing w:after="0" w:line="219" w:lineRule="exact"/>
        <w:rPr>
          <w:rFonts w:ascii="Arial" w:cs="Arial" w:eastAsia="Arial" w:hAnsi="Arial"/>
          <w:sz w:val="22"/>
          <w:szCs w:val="22"/>
          <w:color w:val="auto"/>
        </w:rPr>
      </w:pPr>
    </w:p>
    <w:p>
      <w:pPr>
        <w:jc w:val="both"/>
        <w:ind w:firstLine="1304"/>
        <w:spacing w:after="0" w:line="249" w:lineRule="auto"/>
        <w:tabs>
          <w:tab w:leader="none" w:pos="1602" w:val="left"/>
        </w:tabs>
        <w:numPr>
          <w:ilvl w:val="1"/>
          <w:numId w:val="25"/>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individual, corporation, firm, partnership, joint venture, limited liability company, estate, trust, business association, organization, governmental entity or other entity and includes the meaning set forth in Sections 13(d) and 14(d) of the Exchange Act.</w:t>
      </w:r>
    </w:p>
    <w:p>
      <w:pPr>
        <w:spacing w:after="0" w:line="194" w:lineRule="exact"/>
        <w:rPr>
          <w:rFonts w:ascii="Arial" w:cs="Arial" w:eastAsia="Arial" w:hAnsi="Arial"/>
          <w:sz w:val="22"/>
          <w:szCs w:val="22"/>
          <w:color w:val="auto"/>
        </w:rPr>
      </w:pPr>
    </w:p>
    <w:p>
      <w:pPr>
        <w:ind w:left="1660" w:hanging="356"/>
        <w:spacing w:after="0"/>
        <w:tabs>
          <w:tab w:leader="none" w:pos="1660" w:val="left"/>
        </w:tabs>
        <w:numPr>
          <w:ilvl w:val="1"/>
          <w:numId w:val="25"/>
        </w:numPr>
        <w:rPr>
          <w:rFonts w:ascii="Arial" w:cs="Arial" w:eastAsia="Arial" w:hAnsi="Arial"/>
          <w:sz w:val="22"/>
          <w:szCs w:val="22"/>
          <w:color w:val="auto"/>
        </w:rPr>
      </w:pPr>
      <w:r>
        <w:rPr>
          <w:rFonts w:ascii="Arial" w:cs="Arial" w:eastAsia="Arial" w:hAnsi="Arial"/>
          <w:sz w:val="21"/>
          <w:szCs w:val="21"/>
          <w:color w:val="auto"/>
        </w:rPr>
        <w:t>“</w:t>
      </w:r>
      <w:r>
        <w:rPr>
          <w:rFonts w:ascii="Arial" w:cs="Arial" w:eastAsia="Arial" w:hAnsi="Arial"/>
          <w:sz w:val="21"/>
          <w:szCs w:val="21"/>
          <w:b w:val="1"/>
          <w:bCs w:val="1"/>
          <w:color w:val="auto"/>
        </w:rPr>
        <w:t>Standard of Conduct Determination</w:t>
      </w:r>
      <w:r>
        <w:rPr>
          <w:rFonts w:ascii="Arial" w:cs="Arial" w:eastAsia="Arial" w:hAnsi="Arial"/>
          <w:sz w:val="21"/>
          <w:szCs w:val="21"/>
          <w:color w:val="auto"/>
        </w:rPr>
        <w:t>” shall have the meaning ascribed to it in Section 10(b) below.</w:t>
      </w:r>
    </w:p>
    <w:p>
      <w:pPr>
        <w:spacing w:after="0" w:line="219" w:lineRule="exact"/>
        <w:rPr>
          <w:rFonts w:ascii="Arial" w:cs="Arial" w:eastAsia="Arial" w:hAnsi="Arial"/>
          <w:sz w:val="22"/>
          <w:szCs w:val="22"/>
          <w:color w:val="auto"/>
        </w:rPr>
      </w:pPr>
    </w:p>
    <w:p>
      <w:pPr>
        <w:ind w:left="1600" w:hanging="296"/>
        <w:spacing w:after="0"/>
        <w:tabs>
          <w:tab w:leader="none" w:pos="1600" w:val="left"/>
        </w:tabs>
        <w:numPr>
          <w:ilvl w:val="1"/>
          <w:numId w:val="25"/>
        </w:numPr>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Securities</w:t>
      </w:r>
      <w:r>
        <w:rPr>
          <w:rFonts w:ascii="Arial" w:cs="Arial" w:eastAsia="Arial" w:hAnsi="Arial"/>
          <w:sz w:val="20"/>
          <w:szCs w:val="20"/>
          <w:color w:val="auto"/>
        </w:rPr>
        <w:t>” means any securities of the Company that vote generally in the election of directors.</w:t>
      </w:r>
    </w:p>
    <w:p>
      <w:pPr>
        <w:spacing w:after="0" w:line="223" w:lineRule="exact"/>
        <w:rPr>
          <w:rFonts w:ascii="Arial" w:cs="Arial" w:eastAsia="Arial" w:hAnsi="Arial"/>
          <w:sz w:val="21"/>
          <w:szCs w:val="21"/>
          <w:color w:val="auto"/>
        </w:rPr>
      </w:pPr>
    </w:p>
    <w:p>
      <w:pPr>
        <w:jc w:val="both"/>
        <w:ind w:firstLine="656"/>
        <w:spacing w:after="0" w:line="246" w:lineRule="auto"/>
        <w:tabs>
          <w:tab w:leader="none" w:pos="882"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Subject to the terms of this Agreement, the Company shall indemnify Indemnitee, to the fullest extent permitted by the laws of the State of Delaware in effect on the date hereof, or as such laws may from time to time hereafter be amended to increase the scope of such permitted indemnification, against any and all Losses if Indemnitee was or is or becomes a party to or participant in, or is threatened to be made a party to or participant in, any Claim by reason of or arising in part out of an Indemnifiable Event, including, without limitation, Claims brought by or in the right of the Company, Claims brought by third parties, and Claims in which the Indemnitee is solely a witness.</w:t>
      </w:r>
    </w:p>
    <w:p>
      <w:pPr>
        <w:spacing w:after="0" w:line="188" w:lineRule="exact"/>
        <w:rPr>
          <w:rFonts w:ascii="Arial" w:cs="Arial" w:eastAsia="Arial" w:hAnsi="Arial"/>
          <w:sz w:val="21"/>
          <w:szCs w:val="21"/>
          <w:color w:val="auto"/>
        </w:rPr>
      </w:pPr>
    </w:p>
    <w:p>
      <w:pPr>
        <w:jc w:val="both"/>
        <w:ind w:firstLine="656"/>
        <w:spacing w:after="0" w:line="270" w:lineRule="auto"/>
        <w:tabs>
          <w:tab w:leader="none" w:pos="855"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Advancement of Expenses</w:t>
      </w:r>
      <w:r>
        <w:rPr>
          <w:rFonts w:ascii="Arial" w:cs="Arial" w:eastAsia="Arial" w:hAnsi="Arial"/>
          <w:sz w:val="19"/>
          <w:szCs w:val="19"/>
          <w:color w:val="auto"/>
        </w:rPr>
        <w:t>. Indemnitee shall have the right to advancement by the Company, prior to the final disposition of any Claim by final adjudication to which there are no further rights of appeal, of any and all Expenses actually and reasonably paid or incurred by Indemnitee in connection with any Claim arising out of an Indemnifiable Event. Indemnitee’s right to such advancement is not subject to the satisfaction of any standard of conduct. Without limiting the generality or effect of the foregoing, within twenty (20) calendar days after any request by Indemnitee, the Company shall, in accordance with such request, (a) pay such Expenses on behalf of Indemnitee, (b) advance to Indemnitee funds in an amount sufficient to pay such Expenses, or (c) reimburse Indemnitee for such Expenses. In connection with any request for Expense Advances, Indemnitee shall not be required to provide any documentation or information to the extent that the provision thereof would undermine or otherwise jeopardize attorney-client privilege. Execution and delivery to the Company of this Agreement by Indemnitee constitutes an undertaking by the Indemnitee, and Indemnitee hereby agrees, to repay any amounts paid, advanced or reimbursed by the Company pursuant to this Section 4 in respect of Expenses relating to, arising out of or resulting from any Claim in respect of which it shall be determined, pursuant to Section 10, following the final disposition of such Claim, that Indemnitee is not entitled to indemnification hereunder. No other form of undertaking shall be required other than the execution of this Agreement. Indemnitee’s obligation to reimburse the Company for Expense Advances shall be unsecured and no interest shall be charged thereon.</w:t>
      </w:r>
    </w:p>
    <w:p>
      <w:pPr>
        <w:spacing w:after="0" w:line="176" w:lineRule="exact"/>
        <w:rPr>
          <w:rFonts w:ascii="Arial" w:cs="Arial" w:eastAsia="Arial" w:hAnsi="Arial"/>
          <w:sz w:val="19"/>
          <w:szCs w:val="19"/>
          <w:color w:val="auto"/>
        </w:rPr>
      </w:pPr>
    </w:p>
    <w:p>
      <w:pPr>
        <w:jc w:val="both"/>
        <w:ind w:firstLine="656"/>
        <w:spacing w:after="0" w:line="249" w:lineRule="auto"/>
        <w:tabs>
          <w:tab w:leader="none" w:pos="855" w:val="left"/>
        </w:tabs>
        <w:numPr>
          <w:ilvl w:val="0"/>
          <w:numId w:val="26"/>
        </w:numPr>
        <w:rPr>
          <w:rFonts w:ascii="Arial" w:cs="Arial" w:eastAsia="Arial" w:hAnsi="Arial"/>
          <w:sz w:val="21"/>
          <w:szCs w:val="21"/>
          <w:color w:val="auto"/>
        </w:rPr>
      </w:pPr>
      <w:r>
        <w:rPr>
          <w:rFonts w:ascii="Arial" w:cs="Arial" w:eastAsia="Arial" w:hAnsi="Arial"/>
          <w:sz w:val="21"/>
          <w:szCs w:val="21"/>
          <w:u w:val="single" w:color="auto"/>
          <w:color w:val="auto"/>
        </w:rPr>
        <w:t>Indemnification for Expenses in Enforcing Rights</w:t>
      </w:r>
      <w:r>
        <w:rPr>
          <w:rFonts w:ascii="Arial" w:cs="Arial" w:eastAsia="Arial" w:hAnsi="Arial"/>
          <w:sz w:val="21"/>
          <w:szCs w:val="21"/>
          <w:color w:val="auto"/>
        </w:rPr>
        <w:t>. To the fullest extent allowable under applicable law, the Company shall also indemnify against, and, if requested by Indemnitee, shall advance to Indemnitee subject to and in accordance with Section 4, any Expenses actually and reasonably paid or incurred by Indemnitee in connection with any action or proceeding by Indemnitee for (a) indemnification or reimbursement or advance payment of Expenses by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30" w:right="3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0"/>
          <w:szCs w:val="20"/>
          <w:color w:val="auto"/>
        </w:rPr>
        <w:t>Company under any provision of this Agreement, or under any other agreement or provision of the Constituent Documents now or hereafter in effect relating to Claims relating to Indemnifiable Events, and/or (b) recovery under any directors’ and officers’ liability insurance policies maintained by the Company. However, in the event that Indemnitee is ultimately determined not to be entitled to such indemnification or insurance recovery, as the case may be, then all amounts advanced under this Section 5 shall be repaid. Indemnitee shall be required to reimburse the Company in the event that a final judicial determination is made that such action brought by Indemnitee was frivolous or not made in good faith.</w:t>
      </w:r>
    </w:p>
    <w:p>
      <w:pPr>
        <w:spacing w:after="0" w:line="179" w:lineRule="exact"/>
        <w:rPr>
          <w:sz w:val="20"/>
          <w:szCs w:val="20"/>
          <w:color w:val="auto"/>
        </w:rPr>
      </w:pPr>
    </w:p>
    <w:p>
      <w:pPr>
        <w:jc w:val="both"/>
        <w:ind w:firstLine="656"/>
        <w:spacing w:after="0" w:line="252" w:lineRule="auto"/>
        <w:tabs>
          <w:tab w:leader="none" w:pos="855"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Partial Indemnity</w:t>
      </w:r>
      <w:r>
        <w:rPr>
          <w:rFonts w:ascii="Arial" w:cs="Arial" w:eastAsia="Arial" w:hAnsi="Arial"/>
          <w:sz w:val="21"/>
          <w:szCs w:val="21"/>
          <w:color w:val="auto"/>
        </w:rPr>
        <w:t>. If Indemnitee is entitled under any provision of this Agreement to indemnification by the Company for a portion of any Losses in respect of a Claim related to an Indemnifiable Event but not for the total amount thereof, the Company shall nevertheless indemnify Indemnitee for the portion thereof to which Indemnitee is entitled.</w:t>
      </w:r>
    </w:p>
    <w:p>
      <w:pPr>
        <w:spacing w:after="0" w:line="184" w:lineRule="exact"/>
        <w:rPr>
          <w:rFonts w:ascii="Arial" w:cs="Arial" w:eastAsia="Arial" w:hAnsi="Arial"/>
          <w:sz w:val="21"/>
          <w:szCs w:val="21"/>
          <w:color w:val="auto"/>
        </w:rPr>
      </w:pPr>
    </w:p>
    <w:p>
      <w:pPr>
        <w:jc w:val="both"/>
        <w:ind w:firstLine="656"/>
        <w:spacing w:after="0" w:line="274" w:lineRule="auto"/>
        <w:tabs>
          <w:tab w:leader="none" w:pos="85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Contribution in the Event of Joint Liability</w:t>
      </w:r>
      <w:r>
        <w:rPr>
          <w:rFonts w:ascii="Arial" w:cs="Arial" w:eastAsia="Arial" w:hAnsi="Arial"/>
          <w:sz w:val="19"/>
          <w:szCs w:val="19"/>
          <w:color w:val="auto"/>
        </w:rPr>
        <w:t>. To the fullest extent permissible under applicable law, if the indemnification and hold harmless rights provided for in this Agreement are unavailable to Indemnitee in whole or in part for any reason whatsoever, the Company, in lieu of indemnifying and holding harmless Indemnitee, shall pay, in the first instance, the entire amount incurred by Indemnitee, whether for judgments, liabilities, fines, penalties, amounts paid or to be paid in settlement and/or for Expenses, in connection with any Indemnifiable Event, in such proportion as is deemed fair and reasonable in light of all of the circumstances of such Indemnifiable Event in order to reflect (i) the relative benefits received by the Company and Indemnitee as a result of the event(s) and/or transaction(s) giving cause to such proceeding; and/or (ii) the relative fault of the Company (and its directors, officers, employees, trustees, fiduciaries and agents) and Indemnitee in connection with such event(s) and/or transaction(s).</w:t>
      </w:r>
    </w:p>
    <w:p>
      <w:pPr>
        <w:spacing w:after="0" w:line="164" w:lineRule="exact"/>
        <w:rPr>
          <w:rFonts w:ascii="Arial" w:cs="Arial" w:eastAsia="Arial" w:hAnsi="Arial"/>
          <w:sz w:val="19"/>
          <w:szCs w:val="19"/>
          <w:color w:val="auto"/>
        </w:rPr>
      </w:pPr>
    </w:p>
    <w:p>
      <w:pPr>
        <w:ind w:left="860" w:hanging="204"/>
        <w:spacing w:after="0"/>
        <w:tabs>
          <w:tab w:leader="none" w:pos="860"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Notification and Defense of Claims</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jc w:val="both"/>
        <w:ind w:firstLine="1304"/>
        <w:spacing w:after="0" w:line="279" w:lineRule="auto"/>
        <w:tabs>
          <w:tab w:leader="none" w:pos="1590"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Notification of Claims</w:t>
      </w:r>
      <w:r>
        <w:rPr>
          <w:rFonts w:ascii="Arial" w:cs="Arial" w:eastAsia="Arial" w:hAnsi="Arial"/>
          <w:sz w:val="19"/>
          <w:szCs w:val="19"/>
          <w:color w:val="auto"/>
        </w:rPr>
        <w:t>. Indemnitee shall notify the Company in writing as soon as practicable of any Claim which could relate to an Indemnifiable Event or for which Indemnitee could seek Expense Advances, including a brief description (based upon information then available to Indemnitee) of the nature of, and the facts underlying, such Claim. The failure by Indemnitee to timely notify the Company hereunder shall not relieve the Company from any liability hereunder other than to the extent the Company’s ability to participate in the defense of such claim was materially and adversely prejudiced by such failure.</w:t>
      </w:r>
    </w:p>
    <w:p>
      <w:pPr>
        <w:spacing w:after="0" w:line="174" w:lineRule="exact"/>
        <w:rPr>
          <w:rFonts w:ascii="Arial" w:cs="Arial" w:eastAsia="Arial" w:hAnsi="Arial"/>
          <w:sz w:val="19"/>
          <w:szCs w:val="19"/>
          <w:color w:val="auto"/>
        </w:rPr>
      </w:pPr>
    </w:p>
    <w:p>
      <w:pPr>
        <w:jc w:val="both"/>
        <w:ind w:firstLine="1304"/>
        <w:spacing w:after="0" w:line="256" w:lineRule="auto"/>
        <w:tabs>
          <w:tab w:leader="none" w:pos="1642" w:val="left"/>
        </w:tabs>
        <w:numPr>
          <w:ilvl w:val="1"/>
          <w:numId w:val="27"/>
        </w:numPr>
        <w:rPr>
          <w:rFonts w:ascii="Arial" w:cs="Arial" w:eastAsia="Arial" w:hAnsi="Arial"/>
          <w:sz w:val="21"/>
          <w:szCs w:val="21"/>
          <w:color w:val="auto"/>
        </w:rPr>
      </w:pPr>
      <w:r>
        <w:rPr>
          <w:rFonts w:ascii="Arial" w:cs="Arial" w:eastAsia="Arial" w:hAnsi="Arial"/>
          <w:sz w:val="20"/>
          <w:szCs w:val="20"/>
          <w:u w:val="single" w:color="auto"/>
          <w:color w:val="auto"/>
        </w:rPr>
        <w:t>Defense of Claims</w:t>
      </w:r>
      <w:r>
        <w:rPr>
          <w:rFonts w:ascii="Arial" w:cs="Arial" w:eastAsia="Arial" w:hAnsi="Arial"/>
          <w:sz w:val="20"/>
          <w:szCs w:val="20"/>
          <w:color w:val="auto"/>
        </w:rPr>
        <w:t>. The Company shall be entitled to participate in the defense of any Claim relating to an Indemnifiable Event at its own expense and, except as otherwise provided below, to the extent the Company so wishes, it may assume the defense thereof with counsel reasonably satisfactory to Indemnitee. After notice from the Company to Indemnitee of its election to assume the defense of any such Claim, the Company shall not be liable to Indemnitee under this Agreement or otherwise for any Expenses subsequently directly incurred by Indemnitee in connection with Indemnitee’s defense of such Claim other than reasonable costs of investigation or as otherwise provided below. Indemnitee shall have the right to employ its own legal counsel in such Claim, but all Expenses related to such counsel incurred after notice from the Company of its assumption of the defense shall be at Indemnitee’s own expense; provided, however, that if (i) Indemnitee’s employment of its own legal counsel has been authorized by the Company, (ii) Indemnitee’s counsel has reasonably determined that there may be a conflict of interest between Indemnitee and the Company in the defense of such Claim, (iii) after a Change in Control,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22" w:right="339" w:bottom="1440" w:gutter="0" w:footer="0" w:header="0"/>
        </w:sectPr>
      </w:pPr>
    </w:p>
    <w:bookmarkStart w:id="94" w:name="page95"/>
    <w:bookmarkEnd w:id="94"/>
    <w:p>
      <w:pPr>
        <w:jc w:val="both"/>
        <w:spacing w:after="0" w:line="249" w:lineRule="auto"/>
        <w:rPr>
          <w:sz w:val="20"/>
          <w:szCs w:val="20"/>
          <w:color w:val="auto"/>
        </w:rPr>
      </w:pPr>
      <w:r>
        <w:rPr>
          <w:rFonts w:ascii="Arial" w:cs="Arial" w:eastAsia="Arial" w:hAnsi="Arial"/>
          <w:sz w:val="21"/>
          <w:szCs w:val="21"/>
          <w:color w:val="auto"/>
        </w:rPr>
        <w:t>Indemnitee’s employment of its own counsel has been approved by the Independent Counsel or (iv) the Company shall not in fact have employed counsel to assume the defense of such Claim, then Indemnitee shall be entitled to retain its own separate counsel (but not more than one law firm plus, if applicable, local counsel in respect of any such Claim) and all Expenses related to such separate counsel shall be borne by the Company.</w:t>
      </w:r>
    </w:p>
    <w:p>
      <w:pPr>
        <w:spacing w:after="0" w:line="186" w:lineRule="exact"/>
        <w:rPr>
          <w:sz w:val="20"/>
          <w:szCs w:val="20"/>
          <w:color w:val="auto"/>
        </w:rPr>
      </w:pPr>
    </w:p>
    <w:p>
      <w:pPr>
        <w:jc w:val="both"/>
        <w:ind w:firstLine="656"/>
        <w:spacing w:after="0" w:line="247" w:lineRule="auto"/>
        <w:tabs>
          <w:tab w:leader="none" w:pos="855"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Procedure Upon Application for Indemnification</w:t>
      </w:r>
      <w:r>
        <w:rPr>
          <w:rFonts w:ascii="Arial" w:cs="Arial" w:eastAsia="Arial" w:hAnsi="Arial"/>
          <w:sz w:val="21"/>
          <w:szCs w:val="21"/>
          <w:color w:val="auto"/>
        </w:rPr>
        <w:t>. In order to obtain indemnification pursuant to this Agreement, Indemnitee shall submit to the Company a written request therefor, including in such request such documentation and information as is reasonably available to Indemnitee and is reasonably necessary to determine whether and to what extent Indemnitee is entitled to indemnification following the final disposition of the Claim. Indemnification shall be made insofar as the Company determines Indemnitee is entitled to indemnification in accordance with Section 10 below.</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22" w:right="339" w:bottom="1440" w:gutter="0" w:footer="0" w:header="0"/>
        </w:sectPr>
      </w:pPr>
    </w:p>
    <w:bookmarkStart w:id="95" w:name="page96"/>
    <w:bookmarkEnd w:id="95"/>
    <w:p>
      <w:pPr>
        <w:spacing w:after="0" w:line="334" w:lineRule="exact"/>
        <w:rPr>
          <w:sz w:val="20"/>
          <w:szCs w:val="20"/>
          <w:color w:val="auto"/>
        </w:rPr>
      </w:pPr>
    </w:p>
    <w:p>
      <w:pPr>
        <w:ind w:left="960" w:hanging="304"/>
        <w:spacing w:after="0"/>
        <w:tabs>
          <w:tab w:leader="none" w:pos="960"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Determination of Right to Indemnification</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1600" w:hanging="296"/>
        <w:spacing w:after="0"/>
        <w:tabs>
          <w:tab w:leader="none" w:pos="1600" w:val="left"/>
        </w:tabs>
        <w:numPr>
          <w:ilvl w:val="1"/>
          <w:numId w:val="29"/>
        </w:numPr>
        <w:rPr>
          <w:rFonts w:ascii="Arial" w:cs="Arial" w:eastAsia="Arial" w:hAnsi="Arial"/>
          <w:sz w:val="22"/>
          <w:szCs w:val="22"/>
          <w:color w:val="auto"/>
        </w:rPr>
      </w:pPr>
      <w:r>
        <w:rPr>
          <w:rFonts w:ascii="Arial" w:cs="Arial" w:eastAsia="Arial" w:hAnsi="Arial"/>
          <w:sz w:val="21"/>
          <w:szCs w:val="21"/>
          <w:u w:val="single" w:color="auto"/>
          <w:color w:val="auto"/>
        </w:rPr>
        <w:t>Mandatory Indemnification; Indemnification as a Witness</w:t>
      </w:r>
      <w:r>
        <w:rPr>
          <w:rFonts w:ascii="Arial" w:cs="Arial" w:eastAsia="Arial" w:hAnsi="Arial"/>
          <w:sz w:val="21"/>
          <w:szCs w:val="21"/>
          <w:color w:val="auto"/>
        </w:rPr>
        <w:t>.</w:t>
      </w:r>
    </w:p>
    <w:p>
      <w:pPr>
        <w:spacing w:after="0" w:line="219" w:lineRule="exact"/>
        <w:rPr>
          <w:rFonts w:ascii="Arial" w:cs="Arial" w:eastAsia="Arial" w:hAnsi="Arial"/>
          <w:sz w:val="22"/>
          <w:szCs w:val="22"/>
          <w:color w:val="auto"/>
        </w:rPr>
      </w:pPr>
    </w:p>
    <w:p>
      <w:pPr>
        <w:jc w:val="both"/>
        <w:ind w:firstLine="1952"/>
        <w:spacing w:after="0" w:line="244" w:lineRule="auto"/>
        <w:tabs>
          <w:tab w:leader="none" w:pos="2242" w:val="left"/>
        </w:tabs>
        <w:numPr>
          <w:ilvl w:val="2"/>
          <w:numId w:val="29"/>
        </w:numPr>
        <w:rPr>
          <w:rFonts w:ascii="Arial" w:cs="Arial" w:eastAsia="Arial" w:hAnsi="Arial"/>
          <w:sz w:val="22"/>
          <w:szCs w:val="22"/>
          <w:color w:val="auto"/>
        </w:rPr>
      </w:pPr>
      <w:r>
        <w:rPr>
          <w:rFonts w:ascii="Arial" w:cs="Arial" w:eastAsia="Arial" w:hAnsi="Arial"/>
          <w:sz w:val="21"/>
          <w:szCs w:val="21"/>
          <w:u w:val="single" w:color="auto"/>
          <w:color w:val="auto"/>
        </w:rPr>
        <w:t>Mandatory Indemnification</w:t>
      </w:r>
      <w:r>
        <w:rPr>
          <w:rFonts w:ascii="Arial" w:cs="Arial" w:eastAsia="Arial" w:hAnsi="Arial"/>
          <w:sz w:val="21"/>
          <w:szCs w:val="21"/>
          <w:color w:val="auto"/>
        </w:rPr>
        <w:t>. To the extent that Indemnitee shall have been successful on the merits or otherwise in defense of any Claim relating to an Indemnifiable Event or any portion thereof or in defense of any issue or matter therein, including without limitation dismissal without prejudice or settlement of the Claim (subject to the terms of Section 12 below), Indemnitee shall be indemnified against all Losses relating to such Claim in accordance with Section 3 to the fullest extent allowable by law.</w:t>
      </w:r>
    </w:p>
    <w:p>
      <w:pPr>
        <w:spacing w:after="0" w:line="205" w:lineRule="exact"/>
        <w:rPr>
          <w:rFonts w:ascii="Arial" w:cs="Arial" w:eastAsia="Arial" w:hAnsi="Arial"/>
          <w:sz w:val="22"/>
          <w:szCs w:val="22"/>
          <w:color w:val="auto"/>
        </w:rPr>
      </w:pPr>
    </w:p>
    <w:p>
      <w:pPr>
        <w:jc w:val="both"/>
        <w:ind w:firstLine="1952"/>
        <w:spacing w:after="0" w:line="247" w:lineRule="auto"/>
        <w:tabs>
          <w:tab w:leader="none" w:pos="2302" w:val="left"/>
        </w:tabs>
        <w:numPr>
          <w:ilvl w:val="2"/>
          <w:numId w:val="29"/>
        </w:numPr>
        <w:rPr>
          <w:rFonts w:ascii="Arial" w:cs="Arial" w:eastAsia="Arial" w:hAnsi="Arial"/>
          <w:sz w:val="22"/>
          <w:szCs w:val="22"/>
          <w:color w:val="auto"/>
        </w:rPr>
      </w:pPr>
      <w:r>
        <w:rPr>
          <w:rFonts w:ascii="Arial" w:cs="Arial" w:eastAsia="Arial" w:hAnsi="Arial"/>
          <w:sz w:val="21"/>
          <w:szCs w:val="21"/>
          <w:u w:val="single" w:color="auto"/>
          <w:color w:val="auto"/>
        </w:rPr>
        <w:t>Indemnification as a Witness</w:t>
      </w:r>
      <w:r>
        <w:rPr>
          <w:rFonts w:ascii="Arial" w:cs="Arial" w:eastAsia="Arial" w:hAnsi="Arial"/>
          <w:sz w:val="21"/>
          <w:szCs w:val="21"/>
          <w:color w:val="auto"/>
        </w:rPr>
        <w:t>. To the extent that Indemnitee’s involvement in a Claim relating to an Indemnifiable Event is to prepare to serve and serve as a witness, and not as a party, the Indemnitee shall be indemnified against all Losses incurred in connection therewith to the fullest extent allowable by law.</w:t>
      </w:r>
    </w:p>
    <w:p>
      <w:pPr>
        <w:spacing w:after="0" w:line="201" w:lineRule="exact"/>
        <w:rPr>
          <w:rFonts w:ascii="Arial" w:cs="Arial" w:eastAsia="Arial" w:hAnsi="Arial"/>
          <w:sz w:val="22"/>
          <w:szCs w:val="22"/>
          <w:color w:val="auto"/>
        </w:rPr>
      </w:pPr>
    </w:p>
    <w:p>
      <w:pPr>
        <w:jc w:val="both"/>
        <w:ind w:firstLine="1304"/>
        <w:spacing w:after="0" w:line="244" w:lineRule="auto"/>
        <w:tabs>
          <w:tab w:leader="none" w:pos="1615" w:val="left"/>
        </w:tabs>
        <w:numPr>
          <w:ilvl w:val="1"/>
          <w:numId w:val="29"/>
        </w:numPr>
        <w:rPr>
          <w:rFonts w:ascii="Arial" w:cs="Arial" w:eastAsia="Arial" w:hAnsi="Arial"/>
          <w:sz w:val="22"/>
          <w:szCs w:val="22"/>
          <w:color w:val="auto"/>
        </w:rPr>
      </w:pPr>
      <w:r>
        <w:rPr>
          <w:rFonts w:ascii="Arial" w:cs="Arial" w:eastAsia="Arial" w:hAnsi="Arial"/>
          <w:sz w:val="21"/>
          <w:szCs w:val="21"/>
          <w:u w:val="single" w:color="auto"/>
          <w:color w:val="auto"/>
        </w:rPr>
        <w:t>Standard of Conduct</w:t>
      </w:r>
      <w:r>
        <w:rPr>
          <w:rFonts w:ascii="Arial" w:cs="Arial" w:eastAsia="Arial" w:hAnsi="Arial"/>
          <w:sz w:val="21"/>
          <w:szCs w:val="21"/>
          <w:color w:val="auto"/>
        </w:rPr>
        <w:t>. To the extent that the provisions of Section 10(a) are inapplicable to a Claim related to an Indemnifiable Event that shall have been finally disposed of, any determination of whether Indemnitee has satisfied any applicable standard of conduct under Delaware law that is a legally required condition to indemnification of Indemnitee hereunder against Losses relating to such Claim and any determination that Expense Advances must be repaid to the Company (a “</w:t>
      </w:r>
      <w:r>
        <w:rPr>
          <w:rFonts w:ascii="Arial" w:cs="Arial" w:eastAsia="Arial" w:hAnsi="Arial"/>
          <w:sz w:val="21"/>
          <w:szCs w:val="21"/>
          <w:b w:val="1"/>
          <w:bCs w:val="1"/>
          <w:color w:val="auto"/>
        </w:rPr>
        <w:t>Standard of Conduct</w:t>
      </w:r>
      <w:r>
        <w:rPr>
          <w:rFonts w:ascii="Arial" w:cs="Arial" w:eastAsia="Arial" w:hAnsi="Arial"/>
          <w:sz w:val="21"/>
          <w:szCs w:val="21"/>
          <w:color w:val="auto"/>
        </w:rPr>
        <w:t xml:space="preserve"> </w:t>
      </w:r>
      <w:r>
        <w:rPr>
          <w:rFonts w:ascii="Arial" w:cs="Arial" w:eastAsia="Arial" w:hAnsi="Arial"/>
          <w:sz w:val="21"/>
          <w:szCs w:val="21"/>
          <w:b w:val="1"/>
          <w:bCs w:val="1"/>
          <w:color w:val="auto"/>
        </w:rPr>
        <w:t>Determination</w:t>
      </w:r>
      <w:r>
        <w:rPr>
          <w:rFonts w:ascii="Arial" w:cs="Arial" w:eastAsia="Arial" w:hAnsi="Arial"/>
          <w:sz w:val="21"/>
          <w:szCs w:val="21"/>
          <w:color w:val="auto"/>
        </w:rPr>
        <w:t>”) shall be made as follows:</w:t>
      </w:r>
    </w:p>
    <w:p>
      <w:pPr>
        <w:spacing w:after="0" w:line="205" w:lineRule="exact"/>
        <w:rPr>
          <w:rFonts w:ascii="Arial" w:cs="Arial" w:eastAsia="Arial" w:hAnsi="Arial"/>
          <w:sz w:val="22"/>
          <w:szCs w:val="22"/>
          <w:color w:val="auto"/>
        </w:rPr>
      </w:pPr>
    </w:p>
    <w:p>
      <w:pPr>
        <w:jc w:val="both"/>
        <w:ind w:firstLine="1952"/>
        <w:spacing w:after="0" w:line="245" w:lineRule="auto"/>
        <w:tabs>
          <w:tab w:leader="none" w:pos="2202" w:val="left"/>
        </w:tabs>
        <w:numPr>
          <w:ilvl w:val="2"/>
          <w:numId w:val="29"/>
        </w:numPr>
        <w:rPr>
          <w:rFonts w:ascii="Arial" w:cs="Arial" w:eastAsia="Arial" w:hAnsi="Arial"/>
          <w:sz w:val="22"/>
          <w:szCs w:val="22"/>
          <w:color w:val="auto"/>
        </w:rPr>
      </w:pPr>
      <w:r>
        <w:rPr>
          <w:rFonts w:ascii="Arial" w:cs="Arial" w:eastAsia="Arial" w:hAnsi="Arial"/>
          <w:sz w:val="21"/>
          <w:szCs w:val="21"/>
          <w:color w:val="auto"/>
        </w:rPr>
        <w:t>if no Change in Control has occurred, (A) by a majority vote of the Disinterested Directors, even if less than a quorum of the Board, (B) by a committee of Disinterested Directors designated by a majority vote of the Disinterested Directors, even though less than a quorum or (C) if there are no such Disinterested Directors, by Independent Counsel in a written opinion addressed to the Board, a copy of which shall be delivered to Indemnitee; and</w:t>
      </w:r>
    </w:p>
    <w:p>
      <w:pPr>
        <w:spacing w:after="0" w:line="203" w:lineRule="exact"/>
        <w:rPr>
          <w:rFonts w:ascii="Arial" w:cs="Arial" w:eastAsia="Arial" w:hAnsi="Arial"/>
          <w:sz w:val="22"/>
          <w:szCs w:val="22"/>
          <w:color w:val="auto"/>
        </w:rPr>
      </w:pPr>
    </w:p>
    <w:p>
      <w:pPr>
        <w:jc w:val="both"/>
        <w:ind w:firstLine="1952"/>
        <w:spacing w:after="0" w:line="247" w:lineRule="auto"/>
        <w:tabs>
          <w:tab w:leader="none" w:pos="2262" w:val="left"/>
        </w:tabs>
        <w:numPr>
          <w:ilvl w:val="2"/>
          <w:numId w:val="29"/>
        </w:numPr>
        <w:rPr>
          <w:rFonts w:ascii="Arial" w:cs="Arial" w:eastAsia="Arial" w:hAnsi="Arial"/>
          <w:sz w:val="22"/>
          <w:szCs w:val="22"/>
          <w:color w:val="auto"/>
        </w:rPr>
      </w:pPr>
      <w:r>
        <w:rPr>
          <w:rFonts w:ascii="Arial" w:cs="Arial" w:eastAsia="Arial" w:hAnsi="Arial"/>
          <w:sz w:val="21"/>
          <w:szCs w:val="21"/>
          <w:color w:val="auto"/>
        </w:rPr>
        <w:t>if a Change in Control shall have occurred, (A) if the Indemnitee so requests in writing, by a majority vote of the Disinterested Directors, even if less than a quorum of the Board or (B) otherwise, by Independent Counsel in a written opinion addressed to the Board, a copy of which shall be delivered to Indemnitee.</w:t>
      </w:r>
    </w:p>
    <w:p>
      <w:pPr>
        <w:spacing w:after="0" w:line="188" w:lineRule="exact"/>
        <w:rPr>
          <w:sz w:val="20"/>
          <w:szCs w:val="20"/>
          <w:color w:val="auto"/>
        </w:rPr>
      </w:pPr>
    </w:p>
    <w:p>
      <w:pPr>
        <w:jc w:val="both"/>
        <w:ind w:firstLine="1944"/>
        <w:spacing w:after="0" w:line="271" w:lineRule="auto"/>
        <w:rPr>
          <w:sz w:val="20"/>
          <w:szCs w:val="20"/>
          <w:color w:val="auto"/>
        </w:rPr>
      </w:pPr>
      <w:r>
        <w:rPr>
          <w:rFonts w:ascii="Arial" w:cs="Arial" w:eastAsia="Arial" w:hAnsi="Arial"/>
          <w:sz w:val="20"/>
          <w:szCs w:val="20"/>
          <w:color w:val="auto"/>
        </w:rPr>
        <w:t>The Company shall indemnify and hold harmless Indemnitee against and, if requested by Indemnitee, shall reimburse Indemnitee for, or advance to Indemnitee, within twenty (20) calendar days of such request, any and all Expenses incurred by Indemnitee in cooperating with the Person or Persons making such Standard of Conduct Determination.</w:t>
      </w:r>
    </w:p>
    <w:p>
      <w:pPr>
        <w:spacing w:after="0" w:line="71" w:lineRule="exact"/>
        <w:rPr>
          <w:sz w:val="20"/>
          <w:szCs w:val="20"/>
          <w:color w:val="auto"/>
        </w:rPr>
      </w:pPr>
    </w:p>
    <w:p>
      <w:pPr>
        <w:jc w:val="both"/>
        <w:ind w:firstLine="1304"/>
        <w:spacing w:after="0" w:line="275" w:lineRule="auto"/>
        <w:tabs>
          <w:tab w:leader="none" w:pos="1603"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Making the Standard of Conduct Determination</w:t>
      </w:r>
      <w:r>
        <w:rPr>
          <w:rFonts w:ascii="Arial" w:cs="Arial" w:eastAsia="Arial" w:hAnsi="Arial"/>
          <w:sz w:val="19"/>
          <w:szCs w:val="19"/>
          <w:color w:val="auto"/>
        </w:rPr>
        <w:t>. The Company shall use its reasonable best efforts to cause any Standard of Conduct Determination required under Section 10(b) to be made as promptly as practicable. If the Person or Persons designated to make the Standard of Conduct Determination under Section 10(b) shall not have made a determination within thirty (30) calendar days after the later of (A) receipt by the Company of a written request from Indemnitee for indemnification pursuant to Section 9 (the date of such receipt being the “</w:t>
      </w:r>
      <w:r>
        <w:rPr>
          <w:rFonts w:ascii="Arial" w:cs="Arial" w:eastAsia="Arial" w:hAnsi="Arial"/>
          <w:sz w:val="19"/>
          <w:szCs w:val="19"/>
          <w:b w:val="1"/>
          <w:bCs w:val="1"/>
          <w:color w:val="auto"/>
        </w:rPr>
        <w:t>Notification Date</w:t>
      </w:r>
      <w:r>
        <w:rPr>
          <w:rFonts w:ascii="Arial" w:cs="Arial" w:eastAsia="Arial" w:hAnsi="Arial"/>
          <w:sz w:val="19"/>
          <w:szCs w:val="19"/>
          <w:color w:val="auto"/>
        </w:rPr>
        <w:t>”) and (B) the selection of an Independent Counsel, if such determination is to be made by Independent Counsel, then Indemnitee shall be deemed to have satisfied the applicable standard of conduct, absent (i) a misstatement by Indemnitee of a material fact, or an omission of a material fact necessary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96" w:name="page97"/>
    <w:bookmarkEnd w:id="96"/>
    <w:p>
      <w:pPr>
        <w:jc w:val="both"/>
        <w:spacing w:after="0" w:line="260" w:lineRule="auto"/>
        <w:rPr>
          <w:sz w:val="20"/>
          <w:szCs w:val="20"/>
          <w:color w:val="auto"/>
        </w:rPr>
      </w:pPr>
      <w:r>
        <w:rPr>
          <w:rFonts w:ascii="Arial" w:cs="Arial" w:eastAsia="Arial" w:hAnsi="Arial"/>
          <w:sz w:val="20"/>
          <w:szCs w:val="20"/>
          <w:color w:val="auto"/>
        </w:rPr>
        <w:t>make Indemnitee’s statement not materially misleading, in connection with the request for indemnification, or (ii) a final judicial determination that any or all such indemnification is expressly prohibited under applicable law; provided, however, that such thirty (30) calendar day period may be extended for a reasonable time, not to exceed an additional fifteen (15) calendar days, if the Person or Persons making such determination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w:t>
      </w:r>
    </w:p>
    <w:p>
      <w:pPr>
        <w:spacing w:after="0" w:line="193" w:lineRule="exact"/>
        <w:rPr>
          <w:sz w:val="20"/>
          <w:szCs w:val="20"/>
          <w:color w:val="auto"/>
        </w:rPr>
      </w:pPr>
    </w:p>
    <w:p>
      <w:pPr>
        <w:ind w:left="1600" w:hanging="296"/>
        <w:spacing w:after="0"/>
        <w:tabs>
          <w:tab w:leader="none" w:pos="1600" w:val="left"/>
        </w:tabs>
        <w:numPr>
          <w:ilvl w:val="0"/>
          <w:numId w:val="31"/>
        </w:numPr>
        <w:rPr>
          <w:rFonts w:ascii="Arial" w:cs="Arial" w:eastAsia="Arial" w:hAnsi="Arial"/>
          <w:sz w:val="22"/>
          <w:szCs w:val="22"/>
          <w:color w:val="auto"/>
        </w:rPr>
      </w:pPr>
      <w:r>
        <w:rPr>
          <w:rFonts w:ascii="Arial" w:cs="Arial" w:eastAsia="Arial" w:hAnsi="Arial"/>
          <w:sz w:val="21"/>
          <w:szCs w:val="21"/>
          <w:u w:val="single" w:color="auto"/>
          <w:color w:val="auto"/>
        </w:rPr>
        <w:t>Payment of Indemnification</w:t>
      </w:r>
      <w:r>
        <w:rPr>
          <w:rFonts w:ascii="Arial" w:cs="Arial" w:eastAsia="Arial" w:hAnsi="Arial"/>
          <w:sz w:val="21"/>
          <w:szCs w:val="21"/>
          <w:color w:val="auto"/>
        </w:rPr>
        <w:t>. If, in regard to any Losses:</w:t>
      </w:r>
    </w:p>
    <w:p>
      <w:pPr>
        <w:spacing w:after="0" w:line="219" w:lineRule="exact"/>
        <w:rPr>
          <w:rFonts w:ascii="Arial" w:cs="Arial" w:eastAsia="Arial" w:hAnsi="Arial"/>
          <w:sz w:val="22"/>
          <w:szCs w:val="22"/>
          <w:color w:val="auto"/>
        </w:rPr>
      </w:pPr>
    </w:p>
    <w:p>
      <w:pPr>
        <w:ind w:left="2200" w:hanging="248"/>
        <w:spacing w:after="0"/>
        <w:tabs>
          <w:tab w:leader="none" w:pos="2200" w:val="left"/>
        </w:tabs>
        <w:numPr>
          <w:ilvl w:val="1"/>
          <w:numId w:val="31"/>
        </w:numPr>
        <w:rPr>
          <w:rFonts w:ascii="Arial" w:cs="Arial" w:eastAsia="Arial" w:hAnsi="Arial"/>
          <w:sz w:val="22"/>
          <w:szCs w:val="22"/>
          <w:color w:val="auto"/>
        </w:rPr>
      </w:pPr>
      <w:r>
        <w:rPr>
          <w:rFonts w:ascii="Arial" w:cs="Arial" w:eastAsia="Arial" w:hAnsi="Arial"/>
          <w:sz w:val="21"/>
          <w:szCs w:val="21"/>
          <w:color w:val="auto"/>
        </w:rPr>
        <w:t>Indemnitee shall be entitled to indemnification pursuant to Section 10(a);</w:t>
      </w:r>
    </w:p>
    <w:p>
      <w:pPr>
        <w:spacing w:after="0" w:line="219" w:lineRule="exact"/>
        <w:rPr>
          <w:rFonts w:ascii="Arial" w:cs="Arial" w:eastAsia="Arial" w:hAnsi="Arial"/>
          <w:sz w:val="22"/>
          <w:szCs w:val="22"/>
          <w:color w:val="auto"/>
        </w:rPr>
      </w:pPr>
    </w:p>
    <w:p>
      <w:pPr>
        <w:ind w:left="2280" w:hanging="328"/>
        <w:spacing w:after="0"/>
        <w:tabs>
          <w:tab w:leader="none" w:pos="2280" w:val="left"/>
        </w:tabs>
        <w:numPr>
          <w:ilvl w:val="1"/>
          <w:numId w:val="31"/>
        </w:numPr>
        <w:rPr>
          <w:rFonts w:ascii="Arial" w:cs="Arial" w:eastAsia="Arial" w:hAnsi="Arial"/>
          <w:sz w:val="19"/>
          <w:szCs w:val="19"/>
          <w:color w:val="auto"/>
        </w:rPr>
      </w:pPr>
      <w:r>
        <w:rPr>
          <w:rFonts w:ascii="Arial" w:cs="Arial" w:eastAsia="Arial" w:hAnsi="Arial"/>
          <w:sz w:val="19"/>
          <w:szCs w:val="19"/>
          <w:color w:val="auto"/>
        </w:rPr>
        <w:t>no Standard of Conduct Determination is legally required as a condition to indemnification of Indemnitee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hereunder; or</w:t>
      </w:r>
    </w:p>
    <w:p>
      <w:pPr>
        <w:spacing w:after="0" w:line="213" w:lineRule="exact"/>
        <w:rPr>
          <w:sz w:val="20"/>
          <w:szCs w:val="20"/>
          <w:color w:val="auto"/>
        </w:rPr>
      </w:pPr>
    </w:p>
    <w:p>
      <w:pPr>
        <w:ind w:firstLine="1952"/>
        <w:spacing w:after="0" w:line="252" w:lineRule="auto"/>
        <w:tabs>
          <w:tab w:leader="none" w:pos="2322" w:val="left"/>
        </w:tabs>
        <w:numPr>
          <w:ilvl w:val="0"/>
          <w:numId w:val="32"/>
        </w:numPr>
        <w:rPr>
          <w:rFonts w:ascii="Arial" w:cs="Arial" w:eastAsia="Arial" w:hAnsi="Arial"/>
          <w:sz w:val="22"/>
          <w:szCs w:val="22"/>
          <w:color w:val="auto"/>
        </w:rPr>
      </w:pPr>
      <w:r>
        <w:rPr>
          <w:rFonts w:ascii="Arial" w:cs="Arial" w:eastAsia="Arial" w:hAnsi="Arial"/>
          <w:sz w:val="21"/>
          <w:szCs w:val="21"/>
          <w:color w:val="auto"/>
        </w:rPr>
        <w:t>Indemnitee has been determined or deemed pursuant to Section 10(b) or Section 10(c) to have satisfied the Standard of Conduct Determination,</w:t>
      </w:r>
    </w:p>
    <w:p>
      <w:pPr>
        <w:spacing w:after="0" w:line="183" w:lineRule="exact"/>
        <w:rPr>
          <w:sz w:val="20"/>
          <w:szCs w:val="20"/>
          <w:color w:val="auto"/>
        </w:rPr>
      </w:pPr>
    </w:p>
    <w:p>
      <w:pPr>
        <w:jc w:val="both"/>
        <w:ind w:firstLine="1944"/>
        <w:spacing w:after="0" w:line="252" w:lineRule="auto"/>
        <w:rPr>
          <w:sz w:val="20"/>
          <w:szCs w:val="20"/>
          <w:color w:val="auto"/>
        </w:rPr>
      </w:pPr>
      <w:r>
        <w:rPr>
          <w:rFonts w:ascii="Arial" w:cs="Arial" w:eastAsia="Arial" w:hAnsi="Arial"/>
          <w:sz w:val="21"/>
          <w:szCs w:val="21"/>
          <w:color w:val="auto"/>
        </w:rPr>
        <w:t>then the Company shall pay to Indemnitee, within twenty (20) calendar days after the later of (A) the Notification Date or (B) the earliest date on which the applicable criterion specified in clause (i), (ii) or (iii) is satisfied, an amount equal to such Losses.</w:t>
      </w:r>
    </w:p>
    <w:p>
      <w:pPr>
        <w:spacing w:after="0" w:line="90" w:lineRule="exact"/>
        <w:rPr>
          <w:sz w:val="20"/>
          <w:szCs w:val="20"/>
          <w:color w:val="auto"/>
        </w:rPr>
      </w:pPr>
    </w:p>
    <w:p>
      <w:pPr>
        <w:jc w:val="both"/>
        <w:ind w:firstLine="1304"/>
        <w:spacing w:after="0" w:line="269" w:lineRule="auto"/>
        <w:tabs>
          <w:tab w:leader="none" w:pos="159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Selection of Independent Counsel for Standard of Conduct Determination</w:t>
      </w:r>
      <w:r>
        <w:rPr>
          <w:rFonts w:ascii="Arial" w:cs="Arial" w:eastAsia="Arial" w:hAnsi="Arial"/>
          <w:sz w:val="19"/>
          <w:szCs w:val="19"/>
          <w:color w:val="auto"/>
        </w:rPr>
        <w:t>. If a Standard of Conduct Determination is to be made by Independent Counsel pursuant to Section 10(b)(i), the Independent Counsel shall be selected by the Board of Directors, and the Company shall give written notice to Indemnitee advising Indemnitee of the identity of the Independent Counsel so selected. If a Standard of Conduct Determination is to be made by the Independent Counsel pursuant to Section 10(b)(ii), the Independent Counsel shall be selected by Indemnitee, and Indemnitee shall give written notice to the Company advising it of the identity of the Independent Counsel so selected. In either case, Indemnitee or the Company, as applicable, may, within ten (10) calendar days after receiving written notice of selection from the other, deliver to the other a written objection to such selection; provided, however, that such objection may be asserted only on the ground that the Independent Counsel so selected does not satisfy the criteria set forth in the definition of “Independent Counsel” in Section 2, and the objection shall set forth with particularity the factual basis of such assertion. Absent a proper and timely objection, the individual or firm so selected shall act as Independent Counsel. If such written objection is properly and timely made and substantiated, (i) the Independent Counsel so selected may not serve as Independent Counsel unless and until such objection is withdrawn or a court has determined that such objection is without merit; and (ii) the non-objecting party may, at its option, select an alternative Independent Counsel and give written notice to the other party advising such other party of the identity of the alternative Independent Counsel so selected, in which case the provisions of the two immediately preceding sentences, the introductory clause of this sentence and numbered clause (i) of this sentence shall apply to such subsequent selection and notice. If applicable, the provisions of clause (ii) of the immediately preceding sentence shall apply to successive alternative selections. If no Independent Counsel that is permitted under the foregoing provisions of this Section 10(e) to make the Standard of Conduct Determination shall have been selected within twenty (20) calendar days after the Company gives its initial notice pursuant to the first sentence of this Section 10(e) or Indemnitee gives its initial notice pursuant to the second sentence of this Section 10(e), as the case may be, either the Company or Indemnitee may petition the Delaware Court to resolve any objection which shall have been made by</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22" w:right="339" w:bottom="1440" w:gutter="0" w:footer="0" w:header="0"/>
        </w:sectPr>
      </w:pPr>
    </w:p>
    <w:bookmarkStart w:id="97" w:name="page98"/>
    <w:bookmarkEnd w:id="97"/>
    <w:p>
      <w:pPr>
        <w:jc w:val="both"/>
        <w:spacing w:after="0" w:line="277" w:lineRule="auto"/>
        <w:rPr>
          <w:sz w:val="20"/>
          <w:szCs w:val="20"/>
          <w:color w:val="auto"/>
        </w:rPr>
      </w:pPr>
      <w:r>
        <w:rPr>
          <w:rFonts w:ascii="Arial" w:cs="Arial" w:eastAsia="Arial" w:hAnsi="Arial"/>
          <w:sz w:val="19"/>
          <w:szCs w:val="19"/>
          <w:color w:val="auto"/>
        </w:rPr>
        <w:t>the Company or Indemnitee to the other’s selection of Independent Counsel and/or to appoint as Independent Counsel an individual or firm to be selected by the Court or such other person as the Court shall designate, and the individual or firm with respect to whom all objections are so resolved or the individual or firm so appointed will act as Independent Counsel. In all events, the Company shall pay all of the reasonable fees and expenses of the Independent Counsel incurred in connection with the Independent Counsel’s determination pursuant to Section 10(b) and shall fully indemnify and hold harmless such Independent Counsel against any and all expenses, claims, liabilities and damages arising out of or relating to this Agreement or its engagement pursuant hereto.</w:t>
      </w:r>
    </w:p>
    <w:p>
      <w:pPr>
        <w:spacing w:after="0" w:line="174" w:lineRule="exact"/>
        <w:rPr>
          <w:sz w:val="20"/>
          <w:szCs w:val="20"/>
          <w:color w:val="auto"/>
        </w:rPr>
      </w:pPr>
    </w:p>
    <w:p>
      <w:pPr>
        <w:ind w:left="1580" w:hanging="276"/>
        <w:spacing w:after="0"/>
        <w:tabs>
          <w:tab w:leader="none" w:pos="1580" w:val="left"/>
        </w:tabs>
        <w:numPr>
          <w:ilvl w:val="0"/>
          <w:numId w:val="34"/>
        </w:numPr>
        <w:rPr>
          <w:rFonts w:ascii="Arial" w:cs="Arial" w:eastAsia="Arial" w:hAnsi="Arial"/>
          <w:sz w:val="22"/>
          <w:szCs w:val="22"/>
          <w:color w:val="auto"/>
        </w:rPr>
      </w:pPr>
      <w:r>
        <w:rPr>
          <w:rFonts w:ascii="Arial" w:cs="Arial" w:eastAsia="Arial" w:hAnsi="Arial"/>
          <w:sz w:val="21"/>
          <w:szCs w:val="21"/>
          <w:u w:val="single" w:color="auto"/>
          <w:color w:val="auto"/>
        </w:rPr>
        <w:t>Presumptions and Defenses</w:t>
      </w:r>
      <w:r>
        <w:rPr>
          <w:rFonts w:ascii="Arial" w:cs="Arial" w:eastAsia="Arial" w:hAnsi="Arial"/>
          <w:sz w:val="21"/>
          <w:szCs w:val="21"/>
          <w:color w:val="auto"/>
        </w:rPr>
        <w:t>.</w:t>
      </w:r>
    </w:p>
    <w:p>
      <w:pPr>
        <w:spacing w:after="0" w:line="219" w:lineRule="exact"/>
        <w:rPr>
          <w:rFonts w:ascii="Arial" w:cs="Arial" w:eastAsia="Arial" w:hAnsi="Arial"/>
          <w:sz w:val="22"/>
          <w:szCs w:val="22"/>
          <w:color w:val="auto"/>
        </w:rPr>
      </w:pPr>
    </w:p>
    <w:p>
      <w:pPr>
        <w:jc w:val="both"/>
        <w:ind w:firstLine="1952"/>
        <w:spacing w:after="0" w:line="274" w:lineRule="auto"/>
        <w:tabs>
          <w:tab w:leader="none" w:pos="220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Indemnitee’s Entitlement to Indemnification</w:t>
      </w:r>
      <w:r>
        <w:rPr>
          <w:rFonts w:ascii="Arial" w:cs="Arial" w:eastAsia="Arial" w:hAnsi="Arial"/>
          <w:sz w:val="19"/>
          <w:szCs w:val="19"/>
          <w:color w:val="auto"/>
        </w:rPr>
        <w:t>. In making any Standard of Conduct Determination, the Person or Persons making such determination shall presume that Indemnitee has satisfied the applicable standard of conduct and is entitled to indemnification, and the Company shall have the burden of proof to overcome that presumption and establish that Indemnitee is not so entitled. Any Standard of Conduct Determination that is adverse to Indemnitee may be challenged by the Indemnitee in the Delaware Court. No determination by the Company (including by its directors or any Independent Counsel) that Indemnitee has not satisfied any applicable standard of conduct or failure by the Company to reach such a determination may be used as a defense to any legal proceedings brought by Indemnitee to secure indemnification or reimbursement or advance payment of Expenses by the Company hereunder or create a presumption that Indemnitee has not met any applicable standard of conduct.</w:t>
      </w:r>
    </w:p>
    <w:p>
      <w:pPr>
        <w:spacing w:after="0" w:line="177" w:lineRule="exact"/>
        <w:rPr>
          <w:rFonts w:ascii="Arial" w:cs="Arial" w:eastAsia="Arial" w:hAnsi="Arial"/>
          <w:sz w:val="19"/>
          <w:szCs w:val="19"/>
          <w:color w:val="auto"/>
        </w:rPr>
      </w:pPr>
    </w:p>
    <w:p>
      <w:pPr>
        <w:jc w:val="both"/>
        <w:ind w:firstLine="1952"/>
        <w:spacing w:after="0" w:line="256" w:lineRule="auto"/>
        <w:tabs>
          <w:tab w:leader="none" w:pos="2275" w:val="left"/>
        </w:tabs>
        <w:numPr>
          <w:ilvl w:val="1"/>
          <w:numId w:val="34"/>
        </w:numPr>
        <w:rPr>
          <w:rFonts w:ascii="Arial" w:cs="Arial" w:eastAsia="Arial" w:hAnsi="Arial"/>
          <w:sz w:val="21"/>
          <w:szCs w:val="21"/>
          <w:color w:val="auto"/>
        </w:rPr>
      </w:pPr>
      <w:r>
        <w:rPr>
          <w:rFonts w:ascii="Arial" w:cs="Arial" w:eastAsia="Arial" w:hAnsi="Arial"/>
          <w:sz w:val="20"/>
          <w:szCs w:val="20"/>
          <w:u w:val="single" w:color="auto"/>
          <w:color w:val="auto"/>
        </w:rPr>
        <w:t>Reliance as a Safe Harbor</w:t>
      </w:r>
      <w:r>
        <w:rPr>
          <w:rFonts w:ascii="Arial" w:cs="Arial" w:eastAsia="Arial" w:hAnsi="Arial"/>
          <w:sz w:val="20"/>
          <w:szCs w:val="20"/>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94" w:lineRule="exact"/>
        <w:rPr>
          <w:rFonts w:ascii="Arial" w:cs="Arial" w:eastAsia="Arial" w:hAnsi="Arial"/>
          <w:sz w:val="21"/>
          <w:szCs w:val="21"/>
          <w:color w:val="auto"/>
        </w:rPr>
      </w:pPr>
    </w:p>
    <w:p>
      <w:pPr>
        <w:jc w:val="both"/>
        <w:ind w:firstLine="1952"/>
        <w:spacing w:after="0" w:line="245" w:lineRule="auto"/>
        <w:tabs>
          <w:tab w:leader="none" w:pos="2322" w:val="left"/>
        </w:tabs>
        <w:numPr>
          <w:ilvl w:val="1"/>
          <w:numId w:val="34"/>
        </w:numPr>
        <w:rPr>
          <w:rFonts w:ascii="Arial" w:cs="Arial" w:eastAsia="Arial" w:hAnsi="Arial"/>
          <w:sz w:val="22"/>
          <w:szCs w:val="22"/>
          <w:color w:val="auto"/>
        </w:rPr>
      </w:pPr>
      <w:r>
        <w:rPr>
          <w:rFonts w:ascii="Arial" w:cs="Arial" w:eastAsia="Arial" w:hAnsi="Arial"/>
          <w:sz w:val="21"/>
          <w:szCs w:val="21"/>
          <w:u w:val="single" w:color="auto"/>
          <w:color w:val="auto"/>
        </w:rPr>
        <w:t>No Other Presumptions</w:t>
      </w:r>
      <w:r>
        <w:rPr>
          <w:rFonts w:ascii="Arial" w:cs="Arial" w:eastAsia="Arial" w:hAnsi="Arial"/>
          <w:sz w:val="21"/>
          <w:szCs w:val="21"/>
          <w:color w:val="auto"/>
        </w:rPr>
        <w:t>. For purposes of this Agreement, the termination of any Claim by judgment, order, settlement (whether with or without court approval) or conviction, or upon a plea of nolo contendere or its equivalent, will not create a presumption that Indemnitee did not meet any applicable standard of conduct or have any particular belief, or that indemnification hereunder is otherwise not permitted.</w:t>
      </w:r>
    </w:p>
    <w:p>
      <w:pPr>
        <w:spacing w:after="0" w:line="203" w:lineRule="exact"/>
        <w:rPr>
          <w:rFonts w:ascii="Arial" w:cs="Arial" w:eastAsia="Arial" w:hAnsi="Arial"/>
          <w:sz w:val="22"/>
          <w:szCs w:val="22"/>
          <w:color w:val="auto"/>
        </w:rPr>
      </w:pPr>
    </w:p>
    <w:p>
      <w:pPr>
        <w:jc w:val="both"/>
        <w:ind w:firstLine="1952"/>
        <w:spacing w:after="0" w:line="283" w:lineRule="auto"/>
        <w:tabs>
          <w:tab w:leader="none" w:pos="2310"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Defense to Indemnification and Burden of Proof</w:t>
      </w:r>
      <w:r>
        <w:rPr>
          <w:rFonts w:ascii="Arial" w:cs="Arial" w:eastAsia="Arial" w:hAnsi="Arial"/>
          <w:sz w:val="19"/>
          <w:szCs w:val="19"/>
          <w:color w:val="auto"/>
        </w:rPr>
        <w:t>. It shall be a defense to any action brought by Indemnitee against the Company to enforce this Agreement (other than an action brought to enforce a claim for Losses incurred in defending against a Claim related to an Indemnifiable Event in advance of its final disposition) that it is not permissible under applicable law for the Company to indemnify Indemnitee for the amount claimed. In connection with any such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22" w:right="339" w:bottom="1440" w:gutter="0" w:footer="0" w:header="0"/>
        </w:sectPr>
      </w:pPr>
    </w:p>
    <w:bookmarkStart w:id="98" w:name="page99"/>
    <w:bookmarkEnd w:id="98"/>
    <w:p>
      <w:pPr>
        <w:ind w:right="20"/>
        <w:spacing w:after="0" w:line="264" w:lineRule="auto"/>
        <w:rPr>
          <w:sz w:val="20"/>
          <w:szCs w:val="20"/>
          <w:color w:val="auto"/>
        </w:rPr>
      </w:pPr>
      <w:r>
        <w:rPr>
          <w:rFonts w:ascii="Arial" w:cs="Arial" w:eastAsia="Arial" w:hAnsi="Arial"/>
          <w:sz w:val="21"/>
          <w:szCs w:val="21"/>
          <w:color w:val="auto"/>
        </w:rPr>
        <w:t>action or any related Standard of Conduct Determination, the burden of proving such a defense or that the Indemnitee did not satisfy the applicable standard of conduct shall be on the Company.</w:t>
      </w:r>
    </w:p>
    <w:p>
      <w:pPr>
        <w:spacing w:after="0" w:line="184" w:lineRule="exact"/>
        <w:rPr>
          <w:sz w:val="20"/>
          <w:szCs w:val="20"/>
          <w:color w:val="auto"/>
        </w:rPr>
      </w:pPr>
    </w:p>
    <w:p>
      <w:pPr>
        <w:jc w:val="both"/>
        <w:ind w:firstLine="1952"/>
        <w:spacing w:after="0" w:line="243" w:lineRule="auto"/>
        <w:tabs>
          <w:tab w:leader="none" w:pos="2277" w:val="left"/>
        </w:tabs>
        <w:numPr>
          <w:ilvl w:val="2"/>
          <w:numId w:val="35"/>
        </w:numPr>
        <w:rPr>
          <w:rFonts w:ascii="Arial" w:cs="Arial" w:eastAsia="Arial" w:hAnsi="Arial"/>
          <w:sz w:val="22"/>
          <w:szCs w:val="22"/>
          <w:color w:val="auto"/>
        </w:rPr>
      </w:pPr>
      <w:r>
        <w:rPr>
          <w:rFonts w:ascii="Arial" w:cs="Arial" w:eastAsia="Arial" w:hAnsi="Arial"/>
          <w:sz w:val="21"/>
          <w:szCs w:val="21"/>
          <w:u w:val="single" w:color="auto"/>
          <w:color w:val="auto"/>
        </w:rPr>
        <w:t>Resolution of Claims</w:t>
      </w:r>
      <w:r>
        <w:rPr>
          <w:rFonts w:ascii="Arial" w:cs="Arial" w:eastAsia="Arial" w:hAnsi="Arial"/>
          <w:sz w:val="21"/>
          <w:szCs w:val="21"/>
          <w:color w:val="auto"/>
        </w:rPr>
        <w:t>. The Company acknowledges that a settlement or other disposition short of final judgment may be successful on the merits or otherwise for purposes of Section 10(a)(i) if it permits a party to avoid expense, delay, distraction, disruption and uncertainty. In the event that any Claim relating to an Indemnifiable Event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for purposes of Section 10(a)(i). The Company shall have the burden of proof to overcome this presumption.</w:t>
      </w:r>
    </w:p>
    <w:p>
      <w:pPr>
        <w:spacing w:after="0" w:line="193" w:lineRule="exact"/>
        <w:rPr>
          <w:rFonts w:ascii="Arial" w:cs="Arial" w:eastAsia="Arial" w:hAnsi="Arial"/>
          <w:sz w:val="22"/>
          <w:szCs w:val="22"/>
          <w:color w:val="auto"/>
        </w:rPr>
      </w:pPr>
    </w:p>
    <w:p>
      <w:pPr>
        <w:ind w:firstLine="656"/>
        <w:spacing w:after="0" w:line="264" w:lineRule="auto"/>
        <w:tabs>
          <w:tab w:leader="none" w:pos="964" w:val="left"/>
        </w:tabs>
        <w:numPr>
          <w:ilvl w:val="0"/>
          <w:numId w:val="36"/>
        </w:numPr>
        <w:rPr>
          <w:rFonts w:ascii="Arial" w:cs="Arial" w:eastAsia="Arial" w:hAnsi="Arial"/>
          <w:sz w:val="21"/>
          <w:szCs w:val="21"/>
          <w:color w:val="auto"/>
        </w:rPr>
      </w:pPr>
      <w:r>
        <w:rPr>
          <w:rFonts w:ascii="Arial" w:cs="Arial" w:eastAsia="Arial" w:hAnsi="Arial"/>
          <w:sz w:val="21"/>
          <w:szCs w:val="21"/>
          <w:u w:val="single" w:color="auto"/>
          <w:color w:val="auto"/>
        </w:rPr>
        <w:t>Exclusions from Indemnification</w:t>
      </w:r>
      <w:r>
        <w:rPr>
          <w:rFonts w:ascii="Arial" w:cs="Arial" w:eastAsia="Arial" w:hAnsi="Arial"/>
          <w:sz w:val="21"/>
          <w:szCs w:val="21"/>
          <w:color w:val="auto"/>
        </w:rPr>
        <w:t>. Notwithstanding anything in this Agreement to the contrary, the Company shall not be obligated to:</w:t>
      </w:r>
    </w:p>
    <w:p>
      <w:pPr>
        <w:spacing w:after="0" w:line="184" w:lineRule="exact"/>
        <w:rPr>
          <w:rFonts w:ascii="Arial" w:cs="Arial" w:eastAsia="Arial" w:hAnsi="Arial"/>
          <w:sz w:val="21"/>
          <w:szCs w:val="21"/>
          <w:color w:val="auto"/>
        </w:rPr>
      </w:pPr>
    </w:p>
    <w:p>
      <w:pPr>
        <w:jc w:val="both"/>
        <w:ind w:firstLine="1304"/>
        <w:spacing w:after="0" w:line="247" w:lineRule="auto"/>
        <w:tabs>
          <w:tab w:leader="none" w:pos="1630" w:val="left"/>
        </w:tabs>
        <w:numPr>
          <w:ilvl w:val="1"/>
          <w:numId w:val="36"/>
        </w:numPr>
        <w:rPr>
          <w:rFonts w:ascii="Arial" w:cs="Arial" w:eastAsia="Arial" w:hAnsi="Arial"/>
          <w:sz w:val="22"/>
          <w:szCs w:val="22"/>
          <w:color w:val="auto"/>
        </w:rPr>
      </w:pPr>
      <w:r>
        <w:rPr>
          <w:rFonts w:ascii="Arial" w:cs="Arial" w:eastAsia="Arial" w:hAnsi="Arial"/>
          <w:sz w:val="21"/>
          <w:szCs w:val="21"/>
          <w:color w:val="auto"/>
        </w:rPr>
        <w:t>indemnify or advance funds to Indemnitee for Expenses or Losses with respect to proceedings initiated by Indemnitee, including any proceedings against the Company or its directors, officers, employees or other indemnitees and not by way of defense, except:</w:t>
      </w:r>
    </w:p>
    <w:p>
      <w:pPr>
        <w:spacing w:after="0" w:line="201" w:lineRule="exact"/>
        <w:rPr>
          <w:rFonts w:ascii="Arial" w:cs="Arial" w:eastAsia="Arial" w:hAnsi="Arial"/>
          <w:sz w:val="22"/>
          <w:szCs w:val="22"/>
          <w:color w:val="auto"/>
        </w:rPr>
      </w:pPr>
    </w:p>
    <w:p>
      <w:pPr>
        <w:ind w:firstLine="1952"/>
        <w:spacing w:after="0" w:line="277" w:lineRule="auto"/>
        <w:tabs>
          <w:tab w:leader="none" w:pos="2202" w:val="left"/>
        </w:tabs>
        <w:numPr>
          <w:ilvl w:val="2"/>
          <w:numId w:val="36"/>
        </w:numPr>
        <w:rPr>
          <w:rFonts w:ascii="Arial" w:cs="Arial" w:eastAsia="Arial" w:hAnsi="Arial"/>
          <w:sz w:val="21"/>
          <w:szCs w:val="21"/>
          <w:color w:val="auto"/>
        </w:rPr>
      </w:pPr>
      <w:r>
        <w:rPr>
          <w:rFonts w:ascii="Arial" w:cs="Arial" w:eastAsia="Arial" w:hAnsi="Arial"/>
          <w:sz w:val="20"/>
          <w:szCs w:val="20"/>
          <w:color w:val="auto"/>
        </w:rPr>
        <w:t>proceedings referenced in Section 5 above (unless a court of competent jurisdiction determines that each of the material assertions made by Indemnitee in such proceeding was not made in good faith or was frivolous); or</w:t>
      </w:r>
    </w:p>
    <w:p>
      <w:pPr>
        <w:spacing w:after="0" w:line="171" w:lineRule="exact"/>
        <w:rPr>
          <w:sz w:val="20"/>
          <w:szCs w:val="20"/>
          <w:color w:val="auto"/>
        </w:rPr>
      </w:pPr>
    </w:p>
    <w:p>
      <w:pPr>
        <w:ind w:left="2260" w:hanging="308"/>
        <w:spacing w:after="0"/>
        <w:tabs>
          <w:tab w:leader="none" w:pos="2260" w:val="left"/>
        </w:tabs>
        <w:numPr>
          <w:ilvl w:val="2"/>
          <w:numId w:val="37"/>
        </w:numPr>
        <w:rPr>
          <w:rFonts w:ascii="Arial" w:cs="Arial" w:eastAsia="Arial" w:hAnsi="Arial"/>
          <w:sz w:val="21"/>
          <w:szCs w:val="21"/>
          <w:color w:val="auto"/>
        </w:rPr>
      </w:pPr>
      <w:r>
        <w:rPr>
          <w:rFonts w:ascii="Arial" w:cs="Arial" w:eastAsia="Arial" w:hAnsi="Arial"/>
          <w:sz w:val="20"/>
          <w:szCs w:val="20"/>
          <w:color w:val="auto"/>
        </w:rPr>
        <w:t>where the Company has joined in or the Board has consented to the initiation of such proceedings.</w:t>
      </w:r>
    </w:p>
    <w:p>
      <w:pPr>
        <w:spacing w:after="0" w:line="231" w:lineRule="exact"/>
        <w:rPr>
          <w:rFonts w:ascii="Arial" w:cs="Arial" w:eastAsia="Arial" w:hAnsi="Arial"/>
          <w:sz w:val="21"/>
          <w:szCs w:val="21"/>
          <w:color w:val="auto"/>
        </w:rPr>
      </w:pPr>
    </w:p>
    <w:p>
      <w:pPr>
        <w:ind w:firstLine="1304"/>
        <w:spacing w:after="0" w:line="252" w:lineRule="auto"/>
        <w:tabs>
          <w:tab w:leader="none" w:pos="1602" w:val="left"/>
        </w:tabs>
        <w:numPr>
          <w:ilvl w:val="1"/>
          <w:numId w:val="38"/>
        </w:numPr>
        <w:rPr>
          <w:rFonts w:ascii="Arial" w:cs="Arial" w:eastAsia="Arial" w:hAnsi="Arial"/>
          <w:sz w:val="22"/>
          <w:szCs w:val="22"/>
          <w:color w:val="auto"/>
        </w:rPr>
      </w:pPr>
      <w:r>
        <w:rPr>
          <w:rFonts w:ascii="Arial" w:cs="Arial" w:eastAsia="Arial" w:hAnsi="Arial"/>
          <w:sz w:val="21"/>
          <w:szCs w:val="21"/>
          <w:color w:val="auto"/>
        </w:rPr>
        <w:t>indemnify Indemnitee if a final decision by a court of competent jurisdiction determines that such indemnification is prohibited by applicable law.</w:t>
      </w:r>
    </w:p>
    <w:p>
      <w:pPr>
        <w:spacing w:after="0" w:line="196" w:lineRule="exact"/>
        <w:rPr>
          <w:rFonts w:ascii="Arial" w:cs="Arial" w:eastAsia="Arial" w:hAnsi="Arial"/>
          <w:sz w:val="22"/>
          <w:szCs w:val="22"/>
          <w:color w:val="auto"/>
        </w:rPr>
      </w:pPr>
    </w:p>
    <w:p>
      <w:pPr>
        <w:ind w:firstLine="1304"/>
        <w:spacing w:after="0" w:line="317" w:lineRule="auto"/>
        <w:tabs>
          <w:tab w:leader="none" w:pos="1590" w:val="left"/>
        </w:tabs>
        <w:numPr>
          <w:ilvl w:val="1"/>
          <w:numId w:val="38"/>
        </w:numPr>
        <w:rPr>
          <w:rFonts w:ascii="Arial" w:cs="Arial" w:eastAsia="Arial" w:hAnsi="Arial"/>
          <w:sz w:val="19"/>
          <w:szCs w:val="19"/>
          <w:color w:val="auto"/>
        </w:rPr>
      </w:pPr>
      <w:r>
        <w:rPr>
          <w:rFonts w:ascii="Arial" w:cs="Arial" w:eastAsia="Arial" w:hAnsi="Arial"/>
          <w:sz w:val="19"/>
          <w:szCs w:val="19"/>
          <w:color w:val="auto"/>
        </w:rPr>
        <w:t>indemnify Indemnitee for the disgorgement of profits arising from the purchase or sale by Indemnitee of securities of the Company in violation of Section 16(b) of the Exchange Act, or any similar successor statute, state law or other law.</w:t>
      </w:r>
    </w:p>
    <w:p>
      <w:pPr>
        <w:spacing w:after="0" w:line="138" w:lineRule="exact"/>
        <w:rPr>
          <w:rFonts w:ascii="Arial" w:cs="Arial" w:eastAsia="Arial" w:hAnsi="Arial"/>
          <w:sz w:val="19"/>
          <w:szCs w:val="19"/>
          <w:color w:val="auto"/>
        </w:rPr>
      </w:pPr>
    </w:p>
    <w:p>
      <w:pPr>
        <w:jc w:val="both"/>
        <w:ind w:firstLine="1304"/>
        <w:spacing w:after="0" w:line="243" w:lineRule="auto"/>
        <w:tabs>
          <w:tab w:leader="none" w:pos="1602" w:val="left"/>
        </w:tabs>
        <w:numPr>
          <w:ilvl w:val="1"/>
          <w:numId w:val="38"/>
        </w:numPr>
        <w:rPr>
          <w:rFonts w:ascii="Arial" w:cs="Arial" w:eastAsia="Arial" w:hAnsi="Arial"/>
          <w:sz w:val="22"/>
          <w:szCs w:val="22"/>
          <w:color w:val="auto"/>
        </w:rPr>
      </w:pPr>
      <w:r>
        <w:rPr>
          <w:rFonts w:ascii="Arial" w:cs="Arial" w:eastAsia="Arial" w:hAnsi="Arial"/>
          <w:sz w:val="21"/>
          <w:szCs w:val="21"/>
          <w:color w:val="auto"/>
        </w:rPr>
        <w:t>indemnify or advance funds to Indemnitee for Indemnitee’s reimbursement to the Company of any bonus or other incentive-based or equity-based compensation previously received by Indemnitee or payment of any profits realized by Indemnitee from the sale of securities of the Company, as required in each case under the Exchange Act (including any such reimbursements under Section 304 of the Sarbanes-Oxley Act of 2002 in connection with an accounting restatement of the Company or the payment to the Company of profits arising from the purchase or sale by Indemnitee of securities in violation of Section 306 of the Sarbanes-Oxley Act).</w:t>
      </w:r>
    </w:p>
    <w:p>
      <w:pPr>
        <w:spacing w:after="0" w:line="195" w:lineRule="exact"/>
        <w:rPr>
          <w:rFonts w:ascii="Arial" w:cs="Arial" w:eastAsia="Arial" w:hAnsi="Arial"/>
          <w:sz w:val="22"/>
          <w:szCs w:val="22"/>
          <w:color w:val="auto"/>
        </w:rPr>
      </w:pPr>
    </w:p>
    <w:p>
      <w:pPr>
        <w:jc w:val="both"/>
        <w:ind w:firstLine="656"/>
        <w:spacing w:after="0" w:line="277" w:lineRule="auto"/>
        <w:tabs>
          <w:tab w:leader="none" w:pos="985"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Settlement of Claims</w:t>
      </w:r>
      <w:r>
        <w:rPr>
          <w:rFonts w:ascii="Arial" w:cs="Arial" w:eastAsia="Arial" w:hAnsi="Arial"/>
          <w:sz w:val="19"/>
          <w:szCs w:val="19"/>
          <w:color w:val="auto"/>
        </w:rPr>
        <w:t>. The Company shall not be liable to Indemnitee under this Agreement for any amounts paid in settlement of any threatened or pending Claim related to an Indemnifiable Event effected without the Company’s prior written consent, which shall not be unreasonably withheld. The Company shall not settle any Claim related to an Indemnifiable Event in any manner that would impose any Losses on the Indemnitee without the Indemnitee’s prior written consent. The Company shall not, without the prior written consent of Indemnitee, effect any settlement of any Claim relating to an Indemnifiable Event which the Indemnitee is or could have been a party unless such settlement solely involves the payment of money and includes a complete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22" w:right="339" w:bottom="1440" w:gutter="0" w:footer="0" w:header="0"/>
        </w:sectPr>
      </w:pPr>
    </w:p>
    <w:bookmarkStart w:id="99" w:name="page100"/>
    <w:bookmarkEnd w:id="99"/>
    <w:p>
      <w:pPr>
        <w:spacing w:after="0"/>
        <w:rPr>
          <w:sz w:val="20"/>
          <w:szCs w:val="20"/>
          <w:color w:val="auto"/>
        </w:rPr>
      </w:pPr>
      <w:r>
        <w:rPr>
          <w:rFonts w:ascii="Arial" w:cs="Arial" w:eastAsia="Arial" w:hAnsi="Arial"/>
          <w:sz w:val="21"/>
          <w:szCs w:val="21"/>
          <w:color w:val="auto"/>
        </w:rPr>
        <w:t>and unconditional release of the Indemnitee from all liability on all claims that are the subject matter of such Claim.</w:t>
      </w:r>
    </w:p>
    <w:p>
      <w:pPr>
        <w:spacing w:after="0" w:line="218" w:lineRule="exact"/>
        <w:rPr>
          <w:sz w:val="20"/>
          <w:szCs w:val="20"/>
          <w:color w:val="auto"/>
        </w:rPr>
      </w:pPr>
    </w:p>
    <w:p>
      <w:pPr>
        <w:jc w:val="both"/>
        <w:ind w:firstLine="656"/>
        <w:spacing w:after="0" w:line="245" w:lineRule="auto"/>
        <w:tabs>
          <w:tab w:leader="none" w:pos="958"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Duration</w:t>
      </w:r>
      <w:r>
        <w:rPr>
          <w:rFonts w:ascii="Arial" w:cs="Arial" w:eastAsia="Arial" w:hAnsi="Arial"/>
          <w:sz w:val="21"/>
          <w:szCs w:val="21"/>
          <w:color w:val="auto"/>
        </w:rPr>
        <w:t>. All agreements and obligations of the Company contained herein shall continue during the period that Indemnitee is a director, officer, employee or agent of the Company or any subsidiary of the Company (or is serving at the request of the Company as a director, officer, employee, member, trustee or agent of another Enterprise) and shall continue thereafter (i) so long as Indemnitee may be subject to any possible Claim relating to an Indemnifiable Event (including any rights of appeal thereto) and (ii) throughout the pendency of any proceeding (including any rights of appeal thereto) commenced by Indemnitee to enforce or interpret his or her rights under this Agreement, even if, in either case, he or she may have ceased to serve in such capacity at the time of any such Claim or proceeding.</w:t>
      </w:r>
    </w:p>
    <w:p>
      <w:pPr>
        <w:spacing w:after="0" w:line="191" w:lineRule="exact"/>
        <w:rPr>
          <w:rFonts w:ascii="Arial" w:cs="Arial" w:eastAsia="Arial" w:hAnsi="Arial"/>
          <w:sz w:val="21"/>
          <w:szCs w:val="21"/>
          <w:color w:val="auto"/>
        </w:rPr>
      </w:pPr>
    </w:p>
    <w:p>
      <w:pPr>
        <w:jc w:val="both"/>
        <w:ind w:firstLine="656"/>
        <w:spacing w:after="0" w:line="275" w:lineRule="auto"/>
        <w:tabs>
          <w:tab w:leader="none" w:pos="95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Non-Exclusivity</w:t>
      </w:r>
      <w:r>
        <w:rPr>
          <w:rFonts w:ascii="Arial" w:cs="Arial" w:eastAsia="Arial" w:hAnsi="Arial"/>
          <w:sz w:val="19"/>
          <w:szCs w:val="19"/>
          <w:color w:val="auto"/>
        </w:rPr>
        <w:t>. The rights of Indemnitee hereunder will be in addition to any other rights Indemnitee may have under the Constituent Documents, the law of the State of Delaware, any other contract or otherwise (collectively, “</w:t>
      </w:r>
      <w:r>
        <w:rPr>
          <w:rFonts w:ascii="Arial" w:cs="Arial" w:eastAsia="Arial" w:hAnsi="Arial"/>
          <w:sz w:val="19"/>
          <w:szCs w:val="19"/>
          <w:b w:val="1"/>
          <w:bCs w:val="1"/>
          <w:color w:val="auto"/>
        </w:rPr>
        <w:t>Other Indemnity</w:t>
      </w:r>
      <w:r>
        <w:rPr>
          <w:rFonts w:ascii="Arial" w:cs="Arial" w:eastAsia="Arial" w:hAnsi="Arial"/>
          <w:sz w:val="19"/>
          <w:szCs w:val="19"/>
          <w:color w:val="auto"/>
        </w:rPr>
        <w:t xml:space="preserve"> </w:t>
      </w:r>
      <w:r>
        <w:rPr>
          <w:rFonts w:ascii="Arial" w:cs="Arial" w:eastAsia="Arial" w:hAnsi="Arial"/>
          <w:sz w:val="19"/>
          <w:szCs w:val="19"/>
          <w:b w:val="1"/>
          <w:bCs w:val="1"/>
          <w:color w:val="auto"/>
        </w:rPr>
        <w:t>Provisions</w:t>
      </w:r>
      <w:r>
        <w:rPr>
          <w:rFonts w:ascii="Arial" w:cs="Arial" w:eastAsia="Arial" w:hAnsi="Arial"/>
          <w:sz w:val="19"/>
          <w:szCs w:val="19"/>
          <w:color w:val="auto"/>
        </w:rPr>
        <w:t>”); provided, however, that (a) to the extent that Indemnitee otherwise would have any greater right to indemnification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Indemnity Provision, Indemnitee will be deemed to have such greater right hereunder and (b) to the extent that any change is made to any Other Indemnity Provision which permits any greater right to indemnification than that provided under this Agreement as of the date hereof, Indemnitee will be deemed to have such greater right hereunder. The assertion or employment of any right or remedy hereunder, or otherwise, shall not prevent the concurrent assertion or employment of any other right or remedy.</w:t>
      </w:r>
    </w:p>
    <w:p>
      <w:pPr>
        <w:spacing w:after="0" w:line="164" w:lineRule="exact"/>
        <w:rPr>
          <w:rFonts w:ascii="Arial" w:cs="Arial" w:eastAsia="Arial" w:hAnsi="Arial"/>
          <w:sz w:val="19"/>
          <w:szCs w:val="19"/>
          <w:color w:val="auto"/>
        </w:rPr>
      </w:pPr>
    </w:p>
    <w:p>
      <w:pPr>
        <w:jc w:val="both"/>
        <w:ind w:firstLine="656"/>
        <w:spacing w:after="0" w:line="271" w:lineRule="auto"/>
        <w:tabs>
          <w:tab w:leader="none" w:pos="95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Liability Insurance</w:t>
      </w:r>
      <w:r>
        <w:rPr>
          <w:rFonts w:ascii="Arial" w:cs="Arial" w:eastAsia="Arial" w:hAnsi="Arial"/>
          <w:sz w:val="19"/>
          <w:szCs w:val="19"/>
          <w:color w:val="auto"/>
        </w:rPr>
        <w:t>. For the duration of Indemnitee’s service as a director or officer of the Company, and thereafter for so long as Indemnitee shall be subject to any pending Claim relating to an Indemnifiable Event, the Company shall use commercially reasonable efforts (taking into account the scope and amount of coverage available relative to the cost thereof) to continue to maintain in effect policies of directors’ and officers’ liability insurance providing coverage that is at least substantially comparable in scope and amount to that provided by the Company’s current policies of directors’ and officers’ liability insurance. The insurance provided pursuant to this Section 15 shall be primary insurance to the Indemnitee for any Indemnifiable Event and/or Expense to which such insurance applies. In all policies of directors’ and officers’ liability insurance maintained by the Company, Indemnitee shall be named as an insured in such a manner as to provide Indemnitee the same rights and benefits as are provided to the most favorably insured of the Company’s directors, if Indemnitee is a director, or of the Company’s officers, if Indemnitee is an officer (and not a director) by such policy. Upon request, the Company will provide to Indemnitee copies of all directors’ and officers’ liability insurance applications, binders, policies, declarations, endorsements and other related materials.</w:t>
      </w:r>
    </w:p>
    <w:p>
      <w:pPr>
        <w:spacing w:after="0" w:line="175" w:lineRule="exact"/>
        <w:rPr>
          <w:rFonts w:ascii="Arial" w:cs="Arial" w:eastAsia="Arial" w:hAnsi="Arial"/>
          <w:sz w:val="19"/>
          <w:szCs w:val="19"/>
          <w:color w:val="auto"/>
        </w:rPr>
      </w:pPr>
    </w:p>
    <w:p>
      <w:pPr>
        <w:jc w:val="both"/>
        <w:ind w:firstLine="656"/>
        <w:spacing w:after="0" w:line="247" w:lineRule="auto"/>
        <w:tabs>
          <w:tab w:leader="none" w:pos="958"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No Duplication of Payments</w:t>
      </w:r>
      <w:r>
        <w:rPr>
          <w:rFonts w:ascii="Arial" w:cs="Arial" w:eastAsia="Arial" w:hAnsi="Arial"/>
          <w:sz w:val="21"/>
          <w:szCs w:val="21"/>
          <w:color w:val="auto"/>
        </w:rPr>
        <w:t>. The Company shall not be liable under this Agreement to make any payment to Indemnitee in respect of any Losses to the extent Indemnitee has otherwise received payment under any insurance policy, the Constituent Documents, Other Indemnity Provisions or otherwise of the amounts otherwise (including from another Enterprise) indemnifiable by the Company hereunder; provided that the foregoing shall not affect the rights of Indemnitee or the Fund Indemnitors (as defined below) as set forth in Section 17.</w:t>
      </w:r>
    </w:p>
    <w:p>
      <w:pPr>
        <w:spacing w:after="0" w:line="188" w:lineRule="exact"/>
        <w:rPr>
          <w:rFonts w:ascii="Arial" w:cs="Arial" w:eastAsia="Arial" w:hAnsi="Arial"/>
          <w:sz w:val="21"/>
          <w:szCs w:val="21"/>
          <w:color w:val="auto"/>
        </w:rPr>
      </w:pPr>
    </w:p>
    <w:p>
      <w:pPr>
        <w:ind w:right="20" w:firstLine="656"/>
        <w:spacing w:after="0" w:line="264" w:lineRule="auto"/>
        <w:tabs>
          <w:tab w:leader="none" w:pos="972"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Primacy of Indemnification</w:t>
      </w:r>
      <w:r>
        <w:rPr>
          <w:rFonts w:ascii="Arial" w:cs="Arial" w:eastAsia="Arial" w:hAnsi="Arial"/>
          <w:sz w:val="21"/>
          <w:szCs w:val="21"/>
          <w:color w:val="auto"/>
        </w:rPr>
        <w:t>. The Company hereby acknowledges that Indemnitee has or may have in the future certain rights to indemnification, advancement of expenses and/or insurance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22" w:right="339" w:bottom="1440" w:gutter="0" w:footer="0" w:header="0"/>
        </w:sectPr>
      </w:pPr>
    </w:p>
    <w:bookmarkStart w:id="100" w:name="page101"/>
    <w:bookmarkEnd w:id="100"/>
    <w:p>
      <w:pPr>
        <w:jc w:val="both"/>
        <w:spacing w:after="0" w:line="272" w:lineRule="auto"/>
        <w:rPr>
          <w:sz w:val="20"/>
          <w:szCs w:val="20"/>
          <w:color w:val="auto"/>
        </w:rPr>
      </w:pPr>
      <w:r>
        <w:rPr>
          <w:rFonts w:ascii="Arial" w:cs="Arial" w:eastAsia="Arial" w:hAnsi="Arial"/>
          <w:sz w:val="19"/>
          <w:szCs w:val="19"/>
          <w:color w:val="auto"/>
        </w:rPr>
        <w:t>provided by Investment Group of Santa Barbara and certain of its affiliates (collectively, the “</w:t>
      </w:r>
      <w:r>
        <w:rPr>
          <w:rFonts w:ascii="Arial" w:cs="Arial" w:eastAsia="Arial" w:hAnsi="Arial"/>
          <w:sz w:val="19"/>
          <w:szCs w:val="19"/>
          <w:b w:val="1"/>
          <w:bCs w:val="1"/>
          <w:color w:val="auto"/>
        </w:rPr>
        <w:t>Fund Indemnitors</w:t>
      </w:r>
      <w:r>
        <w:rPr>
          <w:rFonts w:ascii="Arial" w:cs="Arial" w:eastAsia="Arial" w:hAnsi="Arial"/>
          <w:sz w:val="19"/>
          <w:szCs w:val="19"/>
          <w:color w:val="auto"/>
        </w:rPr>
        <w:t>”).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(iii) that it shall be liable for the full amount of all Losses to the extent legally permitted and as required by the terms of this Agreement, the Constituent Documents and/or Other Indemnity Provisions, without regard to any rights Indemnitee may have against the Fund Indemnitors.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17.</w:t>
      </w:r>
    </w:p>
    <w:p>
      <w:pPr>
        <w:spacing w:after="0" w:line="167" w:lineRule="exact"/>
        <w:rPr>
          <w:sz w:val="20"/>
          <w:szCs w:val="20"/>
          <w:color w:val="auto"/>
        </w:rPr>
      </w:pPr>
    </w:p>
    <w:p>
      <w:pPr>
        <w:jc w:val="both"/>
        <w:ind w:firstLine="656"/>
        <w:spacing w:after="0" w:line="265" w:lineRule="auto"/>
        <w:tabs>
          <w:tab w:leader="none" w:pos="95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Subrogation</w:t>
      </w:r>
      <w:r>
        <w:rPr>
          <w:rFonts w:ascii="Arial" w:cs="Arial" w:eastAsia="Arial" w:hAnsi="Arial"/>
          <w:sz w:val="20"/>
          <w:szCs w:val="20"/>
          <w:color w:val="auto"/>
        </w:rPr>
        <w:t>. In the event of payment to Indemnitee under this Agreement, the Company shall be subrogated to the extent of such payment to all of the rights of recovery of Indemnitee (other than against the Fund Indemnitors). Indemnitee shall execute all papers required and shall do everything that may be necessary to secure such rights, including the execution of such documents necessary to enable the Company effectively to bring suit to enforce such rights.</w:t>
      </w:r>
    </w:p>
    <w:p>
      <w:pPr>
        <w:spacing w:after="0" w:line="172" w:lineRule="exact"/>
        <w:rPr>
          <w:rFonts w:ascii="Arial" w:cs="Arial" w:eastAsia="Arial" w:hAnsi="Arial"/>
          <w:sz w:val="20"/>
          <w:szCs w:val="20"/>
          <w:color w:val="auto"/>
        </w:rPr>
      </w:pPr>
    </w:p>
    <w:p>
      <w:pPr>
        <w:jc w:val="both"/>
        <w:ind w:firstLine="656"/>
        <w:spacing w:after="0" w:line="279" w:lineRule="auto"/>
        <w:tabs>
          <w:tab w:leader="none" w:pos="95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Amendments; Waivers</w:t>
      </w:r>
      <w:r>
        <w:rPr>
          <w:rFonts w:ascii="Arial" w:cs="Arial" w:eastAsia="Arial" w:hAnsi="Arial"/>
          <w:sz w:val="19"/>
          <w:szCs w:val="19"/>
          <w:color w:val="auto"/>
        </w:rPr>
        <w:t>. No supplement, modification or amendment of this Agreement shall be binding unless executed in writing by both of the parties hereto. No waiver of any of the provisions of this Agreement shall be binding unless in the form of a writing signed by the party against whom enforcement of the waiver is sought, and no such waiver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w:t>
      </w:r>
    </w:p>
    <w:p>
      <w:pPr>
        <w:spacing w:after="0" w:line="161" w:lineRule="exact"/>
        <w:rPr>
          <w:rFonts w:ascii="Arial" w:cs="Arial" w:eastAsia="Arial" w:hAnsi="Arial"/>
          <w:sz w:val="19"/>
          <w:szCs w:val="19"/>
          <w:color w:val="auto"/>
        </w:rPr>
      </w:pPr>
    </w:p>
    <w:p>
      <w:pPr>
        <w:ind w:left="960" w:hanging="304"/>
        <w:spacing w:after="0"/>
        <w:tabs>
          <w:tab w:leader="none" w:pos="960"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Enforcement and Binding Effect</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jc w:val="both"/>
        <w:ind w:firstLine="1304"/>
        <w:spacing w:after="0" w:line="264" w:lineRule="auto"/>
        <w:tabs>
          <w:tab w:leader="none" w:pos="1603" w:val="left"/>
        </w:tabs>
        <w:numPr>
          <w:ilvl w:val="1"/>
          <w:numId w:val="41"/>
        </w:numPr>
        <w:rPr>
          <w:rFonts w:ascii="Arial" w:cs="Arial" w:eastAsia="Arial" w:hAnsi="Arial"/>
          <w:sz w:val="21"/>
          <w:szCs w:val="21"/>
          <w:color w:val="auto"/>
        </w:rPr>
      </w:pPr>
      <w:r>
        <w:rPr>
          <w:rFonts w:ascii="Arial" w:cs="Arial" w:eastAsia="Arial" w:hAnsi="Arial"/>
          <w:sz w:val="20"/>
          <w:szCs w:val="20"/>
          <w:color w:val="auto"/>
        </w:rPr>
        <w:t>The Company expressly confirms and agrees that it has entered into this Agreement and assumed the obligations imposed on it hereby in order to induce Indemnitee to serve as a director or officer of the Company, and the Company acknowledges that Indemnitee is relying upon this Agreement in serving as a director or officer of the Company.</w:t>
      </w:r>
    </w:p>
    <w:p>
      <w:pPr>
        <w:spacing w:after="0" w:line="186" w:lineRule="exact"/>
        <w:rPr>
          <w:rFonts w:ascii="Arial" w:cs="Arial" w:eastAsia="Arial" w:hAnsi="Arial"/>
          <w:sz w:val="21"/>
          <w:szCs w:val="21"/>
          <w:color w:val="auto"/>
        </w:rPr>
      </w:pPr>
    </w:p>
    <w:p>
      <w:pPr>
        <w:jc w:val="both"/>
        <w:ind w:firstLine="1304"/>
        <w:spacing w:after="0" w:line="245" w:lineRule="auto"/>
        <w:tabs>
          <w:tab w:leader="none" w:pos="1615" w:val="left"/>
        </w:tabs>
        <w:numPr>
          <w:ilvl w:val="1"/>
          <w:numId w:val="41"/>
        </w:numPr>
        <w:rPr>
          <w:rFonts w:ascii="Arial" w:cs="Arial" w:eastAsia="Arial" w:hAnsi="Arial"/>
          <w:sz w:val="22"/>
          <w:szCs w:val="22"/>
          <w:color w:val="auto"/>
        </w:rPr>
      </w:pPr>
      <w:r>
        <w:rPr>
          <w:rFonts w:ascii="Arial" w:cs="Arial" w:eastAsia="Arial" w:hAnsi="Arial"/>
          <w:sz w:val="21"/>
          <w:szCs w:val="21"/>
          <w:color w:val="auto"/>
        </w:rPr>
        <w:t>Without limiting any of the rights of Indemnitee under any Other Indemnity Provisions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203" w:lineRule="exact"/>
        <w:rPr>
          <w:rFonts w:ascii="Arial" w:cs="Arial" w:eastAsia="Arial" w:hAnsi="Arial"/>
          <w:sz w:val="22"/>
          <w:szCs w:val="22"/>
          <w:color w:val="auto"/>
        </w:rPr>
      </w:pPr>
    </w:p>
    <w:p>
      <w:pPr>
        <w:jc w:val="both"/>
        <w:ind w:firstLine="1304"/>
        <w:spacing w:after="0" w:line="261" w:lineRule="auto"/>
        <w:tabs>
          <w:tab w:leader="none" w:pos="1590" w:val="left"/>
        </w:tabs>
        <w:numPr>
          <w:ilvl w:val="1"/>
          <w:numId w:val="41"/>
        </w:numPr>
        <w:rPr>
          <w:rFonts w:ascii="Arial" w:cs="Arial" w:eastAsia="Arial" w:hAnsi="Arial"/>
          <w:sz w:val="21"/>
          <w:szCs w:val="21"/>
          <w:color w:val="auto"/>
        </w:rPr>
      </w:pPr>
      <w:r>
        <w:rPr>
          <w:rFonts w:ascii="Arial" w:cs="Arial" w:eastAsia="Arial" w:hAnsi="Arial"/>
          <w:sz w:val="20"/>
          <w:szCs w:val="20"/>
          <w:color w:val="auto"/>
        </w:rPr>
        <w:t>This Agreement shall be binding upon and inure to the benefit of and be enforceable by the parties hereto and their respective successors (including any direct or indirect successor by purchase, merger, consolidation or otherwise to all or substantially all of the business and/or assets of the Company), assigns, spouses, heirs and personal and legal representatives. The Company shall require and cause any successor (whether direct or indirect by purchase, merger,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6" w:right="339" w:bottom="1440" w:gutter="0" w:footer="0" w:header="0"/>
        </w:sectPr>
      </w:pPr>
    </w:p>
    <w:bookmarkStart w:id="101" w:name="page102"/>
    <w:bookmarkEnd w:id="101"/>
    <w:p>
      <w:pPr>
        <w:jc w:val="both"/>
        <w:spacing w:after="0" w:line="271" w:lineRule="auto"/>
        <w:rPr>
          <w:sz w:val="20"/>
          <w:szCs w:val="20"/>
          <w:color w:val="auto"/>
        </w:rPr>
      </w:pPr>
      <w:r>
        <w:rPr>
          <w:rFonts w:ascii="Arial" w:cs="Arial" w:eastAsia="Arial" w:hAnsi="Arial"/>
          <w:sz w:val="20"/>
          <w:szCs w:val="20"/>
          <w:color w:val="auto"/>
        </w:rPr>
        <w:t>consolidation or otherwise) to all, substantially all or a substantial part of the business and/or assets of the Company, by written agreement in form and substances satisfactory to Indemnitee, expressly to assume and agree to perform this Agreement in the same manner and to the same extent that the Company would be required to perform if no such succession had taken place.</w:t>
      </w:r>
    </w:p>
    <w:p>
      <w:pPr>
        <w:spacing w:after="0" w:line="166" w:lineRule="exact"/>
        <w:rPr>
          <w:sz w:val="20"/>
          <w:szCs w:val="20"/>
          <w:color w:val="auto"/>
        </w:rPr>
      </w:pPr>
    </w:p>
    <w:p>
      <w:pPr>
        <w:jc w:val="both"/>
        <w:ind w:firstLine="656"/>
        <w:spacing w:after="0" w:line="260" w:lineRule="auto"/>
        <w:tabs>
          <w:tab w:leader="none" w:pos="958"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The provisions of this Agreement shall be severable in the event that any of the provisions hereof (including any portion thereof) are held by a court of competent jurisdiction to be invalid, illegal, void or otherwise unenforceable, and the remaining provisions shall remain enforceable to the fullest extent permitted by law. Upon such determination that any term or other provision is invalid, illegal or unenforceable,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79" w:lineRule="exact"/>
        <w:rPr>
          <w:rFonts w:ascii="Arial" w:cs="Arial" w:eastAsia="Arial" w:hAnsi="Arial"/>
          <w:sz w:val="20"/>
          <w:szCs w:val="20"/>
          <w:color w:val="auto"/>
        </w:rPr>
      </w:pPr>
    </w:p>
    <w:p>
      <w:pPr>
        <w:ind w:right="20" w:firstLine="656"/>
        <w:spacing w:after="0" w:line="317" w:lineRule="auto"/>
        <w:tabs>
          <w:tab w:leader="none" w:pos="972"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notices, requests, demands and other communications hereunder shall be in writing and shall be deemed to have been duly given if delivered by hand, against receipt, or mailed, by postage prepaid, certified or registered mail:</w:t>
      </w:r>
    </w:p>
    <w:p>
      <w:pPr>
        <w:spacing w:after="0" w:line="138" w:lineRule="exact"/>
        <w:rPr>
          <w:rFonts w:ascii="Arial" w:cs="Arial" w:eastAsia="Arial" w:hAnsi="Arial"/>
          <w:sz w:val="19"/>
          <w:szCs w:val="19"/>
          <w:color w:val="auto"/>
        </w:rPr>
      </w:pPr>
    </w:p>
    <w:p>
      <w:pPr>
        <w:ind w:left="1600" w:hanging="296"/>
        <w:spacing w:after="0"/>
        <w:tabs>
          <w:tab w:leader="none" w:pos="1600" w:val="left"/>
        </w:tabs>
        <w:numPr>
          <w:ilvl w:val="1"/>
          <w:numId w:val="42"/>
        </w:numPr>
        <w:rPr>
          <w:rFonts w:ascii="Arial" w:cs="Arial" w:eastAsia="Arial" w:hAnsi="Arial"/>
          <w:sz w:val="22"/>
          <w:szCs w:val="22"/>
          <w:color w:val="auto"/>
        </w:rPr>
      </w:pPr>
      <w:r>
        <w:rPr>
          <w:rFonts w:ascii="Arial" w:cs="Arial" w:eastAsia="Arial" w:hAnsi="Arial"/>
          <w:sz w:val="21"/>
          <w:szCs w:val="21"/>
          <w:color w:val="auto"/>
        </w:rPr>
        <w:t>if to Indemnitee, to the address set forth on the signature page hereto.</w:t>
      </w:r>
    </w:p>
    <w:p>
      <w:pPr>
        <w:spacing w:after="0" w:line="219" w:lineRule="exact"/>
        <w:rPr>
          <w:rFonts w:ascii="Arial" w:cs="Arial" w:eastAsia="Arial" w:hAnsi="Arial"/>
          <w:sz w:val="22"/>
          <w:szCs w:val="22"/>
          <w:color w:val="auto"/>
        </w:rPr>
      </w:pPr>
    </w:p>
    <w:p>
      <w:pPr>
        <w:ind w:left="1600" w:hanging="296"/>
        <w:spacing w:after="0"/>
        <w:tabs>
          <w:tab w:leader="none" w:pos="1600" w:val="left"/>
        </w:tabs>
        <w:numPr>
          <w:ilvl w:val="1"/>
          <w:numId w:val="42"/>
        </w:numPr>
        <w:rPr>
          <w:rFonts w:ascii="Arial" w:cs="Arial" w:eastAsia="Arial" w:hAnsi="Arial"/>
          <w:sz w:val="22"/>
          <w:szCs w:val="22"/>
          <w:color w:val="auto"/>
        </w:rPr>
      </w:pPr>
      <w:r>
        <w:rPr>
          <w:rFonts w:ascii="Arial" w:cs="Arial" w:eastAsia="Arial" w:hAnsi="Arial"/>
          <w:sz w:val="21"/>
          <w:szCs w:val="21"/>
          <w:color w:val="auto"/>
        </w:rPr>
        <w:t>if to the Company, to:</w:t>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AppFolio, Inc.</w:t>
      </w:r>
    </w:p>
    <w:p>
      <w:pPr>
        <w:spacing w:after="0" w:line="20"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Attn: Matt Mazza, General Counsel</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50 Castilian Drive</w:t>
      </w:r>
    </w:p>
    <w:p>
      <w:pPr>
        <w:spacing w:after="0" w:line="2" w:lineRule="exact"/>
        <w:rPr>
          <w:sz w:val="20"/>
          <w:szCs w:val="20"/>
          <w:color w:val="auto"/>
        </w:rPr>
      </w:pPr>
    </w:p>
    <w:p>
      <w:pPr>
        <w:ind w:left="2600"/>
        <w:spacing w:after="0"/>
        <w:rPr>
          <w:sz w:val="20"/>
          <w:szCs w:val="20"/>
          <w:color w:val="auto"/>
        </w:rPr>
      </w:pPr>
      <w:r>
        <w:rPr>
          <w:rFonts w:ascii="Arial" w:cs="Arial" w:eastAsia="Arial" w:hAnsi="Arial"/>
          <w:sz w:val="21"/>
          <w:szCs w:val="21"/>
          <w:color w:val="auto"/>
        </w:rPr>
        <w:t>Goleta, California 93117</w:t>
      </w:r>
    </w:p>
    <w:p>
      <w:pPr>
        <w:spacing w:after="0" w:line="200" w:lineRule="exact"/>
        <w:rPr>
          <w:sz w:val="20"/>
          <w:szCs w:val="20"/>
          <w:color w:val="auto"/>
        </w:rPr>
      </w:pPr>
    </w:p>
    <w:p>
      <w:pPr>
        <w:ind w:firstLine="285"/>
        <w:spacing w:after="0" w:line="289" w:lineRule="auto"/>
        <w:rPr>
          <w:sz w:val="20"/>
          <w:szCs w:val="20"/>
          <w:color w:val="auto"/>
        </w:rPr>
      </w:pPr>
      <w:r>
        <w:rPr>
          <w:rFonts w:ascii="Arial" w:cs="Arial" w:eastAsia="Arial" w:hAnsi="Arial"/>
          <w:sz w:val="20"/>
          <w:szCs w:val="20"/>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148" w:lineRule="exact"/>
        <w:rPr>
          <w:sz w:val="20"/>
          <w:szCs w:val="20"/>
          <w:color w:val="auto"/>
        </w:rPr>
      </w:pPr>
    </w:p>
    <w:p>
      <w:pPr>
        <w:jc w:val="both"/>
        <w:ind w:firstLine="656"/>
        <w:spacing w:after="0" w:line="258" w:lineRule="auto"/>
        <w:tabs>
          <w:tab w:leader="none" w:pos="958"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Governing Law and Forum</w:t>
      </w:r>
      <w:r>
        <w:rPr>
          <w:rFonts w:ascii="Arial" w:cs="Arial" w:eastAsia="Arial" w:hAnsi="Arial"/>
          <w:sz w:val="20"/>
          <w:szCs w:val="20"/>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or any other country, (b) consent to submit to the exclusive jurisdiction of the Delaware Court for purposes of any action or proceeding arising out of or in connection with this Agreement and (c) waive, and agree not to plead or make, any claim that the Delaware Court lacks venue or that any such action or proceeding brought in the Delaware Court has been brought in an improper or inconvenient forum.</w:t>
      </w:r>
    </w:p>
    <w:p>
      <w:pPr>
        <w:spacing w:after="0" w:line="182" w:lineRule="exact"/>
        <w:rPr>
          <w:rFonts w:ascii="Arial" w:cs="Arial" w:eastAsia="Arial" w:hAnsi="Arial"/>
          <w:sz w:val="20"/>
          <w:szCs w:val="20"/>
          <w:color w:val="auto"/>
        </w:rPr>
      </w:pPr>
    </w:p>
    <w:p>
      <w:pPr>
        <w:ind w:right="20" w:firstLine="656"/>
        <w:spacing w:after="0" w:line="264" w:lineRule="auto"/>
        <w:tabs>
          <w:tab w:leader="none" w:pos="958"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Headings</w:t>
      </w:r>
      <w:r>
        <w:rPr>
          <w:rFonts w:ascii="Arial" w:cs="Arial" w:eastAsia="Arial" w:hAnsi="Arial"/>
          <w:sz w:val="21"/>
          <w:szCs w:val="21"/>
          <w:color w:val="auto"/>
        </w:rPr>
        <w:t>. The headings of the sections and paragraphs of this Agreement are inserted for convenience only and shall not be deemed to constitute part of this Agreement or to affect the construction or interpretation thereof.</w:t>
      </w:r>
    </w:p>
    <w:p>
      <w:pPr>
        <w:spacing w:after="0" w:line="170" w:lineRule="exact"/>
        <w:rPr>
          <w:rFonts w:ascii="Arial" w:cs="Arial" w:eastAsia="Arial" w:hAnsi="Arial"/>
          <w:sz w:val="21"/>
          <w:szCs w:val="21"/>
          <w:color w:val="auto"/>
        </w:rPr>
      </w:pPr>
    </w:p>
    <w:p>
      <w:pPr>
        <w:ind w:firstLine="656"/>
        <w:spacing w:after="0" w:line="264" w:lineRule="auto"/>
        <w:tabs>
          <w:tab w:leader="none" w:pos="985" w:val="left"/>
        </w:tabs>
        <w:numPr>
          <w:ilvl w:val="0"/>
          <w:numId w:val="43"/>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executed in one or more counterparts, each of which shall for all purposes be deemed to be an original, but all of which together shall constitute one and the same Agreement.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22"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9"/>
          <w:szCs w:val="19"/>
          <w:i w:val="1"/>
          <w:iCs w:val="1"/>
          <w:color w:val="auto"/>
        </w:rPr>
        <w:t>[Remainder of Page Intentionally Left Blank; Signature Page Follows]</w:t>
      </w:r>
    </w:p>
    <w:p>
      <w:pPr>
        <w:sectPr>
          <w:pgSz w:w="11900" w:h="16838" w:orient="portrait"/>
          <w:cols w:equalWidth="0" w:num="1">
            <w:col w:w="9019"/>
          </w:cols>
          <w:pgMar w:left="14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019"/>
          </w:cols>
          <w:pgMar w:left="1440" w:top="1422" w:right="1440" w:bottom="1440" w:gutter="0" w:footer="0" w:header="0"/>
          <w:type w:val="continuous"/>
        </w:sectPr>
      </w:pPr>
    </w:p>
    <w:bookmarkStart w:id="103" w:name="page104"/>
    <w:bookmarkEnd w:id="103"/>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ectPr>
          <w:pgSz w:w="11900" w:h="16838" w:orient="portrait"/>
          <w:cols w:equalWidth="0" w:num="1">
            <w:col w:w="9479"/>
          </w:cols>
          <w:pgMar w:left="980" w:top="1422"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COMPANY:</w:t>
      </w:r>
    </w:p>
    <w:p>
      <w:pPr>
        <w:spacing w:after="0" w:line="218"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APPFOLIO, INC.</w:t>
      </w:r>
    </w:p>
    <w:p>
      <w:pPr>
        <w:spacing w:after="0" w:line="200" w:lineRule="exact"/>
        <w:rPr>
          <w:sz w:val="20"/>
          <w:szCs w:val="20"/>
          <w:color w:val="auto"/>
        </w:rPr>
      </w:pPr>
    </w:p>
    <w:p>
      <w:pPr>
        <w:spacing w:after="0" w:line="240"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-15875</wp:posOffset>
            </wp:positionV>
            <wp:extent cx="13144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2437765</wp:posOffset>
            </wp:positionH>
            <wp:positionV relativeFrom="paragraph">
              <wp:posOffset>-15875</wp:posOffset>
            </wp:positionV>
            <wp:extent cx="13144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198" w:lineRule="exact"/>
        <w:rPr>
          <w:sz w:val="20"/>
          <w:szCs w:val="20"/>
          <w:color w:val="auto"/>
        </w:rPr>
      </w:pPr>
    </w:p>
    <w:p>
      <w:pPr>
        <w:ind w:left="324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2255520</wp:posOffset>
            </wp:positionH>
            <wp:positionV relativeFrom="paragraph">
              <wp:posOffset>-15875</wp:posOffset>
            </wp:positionV>
            <wp:extent cx="1314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13144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2054860</wp:posOffset>
            </wp:positionH>
            <wp:positionV relativeFrom="paragraph">
              <wp:posOffset>587375</wp:posOffset>
            </wp:positionV>
            <wp:extent cx="1314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131445" cy="8255"/>
                    </a:xfrm>
                    <a:prstGeom prst="rect">
                      <a:avLst/>
                    </a:prstGeom>
                    <a:noFill/>
                  </pic:spPr>
                </pic:pic>
              </a:graphicData>
            </a:graphic>
          </wp:anchor>
        </w:drawing>
        <w:drawing>
          <wp:anchor simplePos="0" relativeHeight="251657728" behindDoc="1" locked="0" layoutInCell="0" allowOverlap="1">
            <wp:simplePos x="0" y="0"/>
            <wp:positionH relativeFrom="column">
              <wp:posOffset>2054860</wp:posOffset>
            </wp:positionH>
            <wp:positionV relativeFrom="paragraph">
              <wp:posOffset>1016000</wp:posOffset>
            </wp:positionV>
            <wp:extent cx="1314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131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Arial" w:cs="Arial" w:eastAsia="Arial" w:hAnsi="Arial"/>
          <w:sz w:val="21"/>
          <w:szCs w:val="21"/>
          <w:color w:val="auto"/>
        </w:rPr>
        <w:t>(Print Name)</w:t>
      </w:r>
    </w:p>
    <w:p>
      <w:pPr>
        <w:spacing w:after="0" w:line="218" w:lineRule="exact"/>
        <w:rPr>
          <w:sz w:val="20"/>
          <w:szCs w:val="20"/>
          <w:color w:val="auto"/>
        </w:rPr>
      </w:pPr>
    </w:p>
    <w:p>
      <w:pPr>
        <w:ind w:left="3240"/>
        <w:spacing w:after="0"/>
        <w:tabs>
          <w:tab w:leader="none" w:pos="4180" w:val="left"/>
        </w:tabs>
        <w:rPr>
          <w:sz w:val="20"/>
          <w:szCs w:val="20"/>
          <w:color w:val="auto"/>
        </w:rPr>
      </w:pPr>
      <w:r>
        <w:rPr>
          <w:rFonts w:ascii="Arial" w:cs="Arial" w:eastAsia="Arial" w:hAnsi="Arial"/>
          <w:sz w:val="21"/>
          <w:szCs w:val="21"/>
          <w:b w:val="1"/>
          <w:bCs w:val="1"/>
          <w:i w:val="1"/>
          <w:iCs w:val="1"/>
          <w:color w:val="auto"/>
        </w:rPr>
        <w:t>Address:</w:t>
      </w:r>
      <w:r>
        <w:rPr>
          <w:sz w:val="20"/>
          <w:szCs w:val="20"/>
          <w:color w:val="auto"/>
        </w:rPr>
        <w:tab/>
      </w:r>
      <w:r>
        <w:rPr>
          <w:rFonts w:ascii="Arial" w:cs="Arial" w:eastAsia="Arial" w:hAnsi="Arial"/>
          <w:sz w:val="18"/>
          <w:szCs w:val="18"/>
          <w:b w:val="1"/>
          <w:bCs w:val="1"/>
          <w:i w:val="1"/>
          <w:iCs w:val="1"/>
          <w:color w:val="auto"/>
        </w:rPr>
        <w:t>50 Castilian Drive</w:t>
      </w:r>
    </w:p>
    <w:p>
      <w:pPr>
        <w:spacing w:after="0" w:line="20" w:lineRule="exact"/>
        <w:rPr>
          <w:sz w:val="20"/>
          <w:szCs w:val="20"/>
          <w:color w:val="auto"/>
        </w:rPr>
      </w:pPr>
    </w:p>
    <w:p>
      <w:pPr>
        <w:ind w:left="3440"/>
        <w:spacing w:after="0"/>
        <w:rPr>
          <w:sz w:val="20"/>
          <w:szCs w:val="20"/>
          <w:color w:val="auto"/>
        </w:rPr>
      </w:pPr>
      <w:r>
        <w:rPr>
          <w:rFonts w:ascii="Arial" w:cs="Arial" w:eastAsia="Arial" w:hAnsi="Arial"/>
          <w:sz w:val="21"/>
          <w:szCs w:val="21"/>
          <w:b w:val="1"/>
          <w:bCs w:val="1"/>
          <w:i w:val="1"/>
          <w:iCs w:val="1"/>
          <w:color w:val="auto"/>
        </w:rPr>
        <w:t>Goleta, CA 93117</w:t>
      </w:r>
    </w:p>
    <w:p>
      <w:pPr>
        <w:spacing w:after="0" w:line="334" w:lineRule="exact"/>
        <w:rPr>
          <w:sz w:val="20"/>
          <w:szCs w:val="20"/>
          <w:color w:val="auto"/>
        </w:rPr>
      </w:pPr>
    </w:p>
    <w:p>
      <w:pPr>
        <w:ind w:left="3240"/>
        <w:spacing w:after="0"/>
        <w:rPr>
          <w:sz w:val="20"/>
          <w:szCs w:val="20"/>
          <w:color w:val="auto"/>
        </w:rPr>
      </w:pPr>
      <w:r>
        <w:rPr>
          <w:rFonts w:ascii="Arial" w:cs="Arial" w:eastAsia="Arial" w:hAnsi="Arial"/>
          <w:sz w:val="16"/>
          <w:szCs w:val="16"/>
          <w:i w:val="1"/>
          <w:iCs w:val="1"/>
          <w:color w:val="auto"/>
        </w:rPr>
        <w:t>[Signature Page to Indemnification Agreement]</w:t>
      </w:r>
    </w:p>
    <w:p>
      <w:pPr>
        <w:sectPr>
          <w:pgSz w:w="11900" w:h="16838" w:orient="portrait"/>
          <w:cols w:equalWidth="0" w:num="1">
            <w:col w:w="9479"/>
          </w:cols>
          <w:pgMar w:left="980" w:top="1422" w:right="1440" w:bottom="1440" w:gutter="0" w:footer="0" w:header="0"/>
          <w:type w:val="continuous"/>
        </w:sectPr>
      </w:pPr>
    </w:p>
    <w:bookmarkStart w:id="104" w:name="page105"/>
    <w:bookmarkEnd w:id="104"/>
    <w:p>
      <w:pPr>
        <w:jc w:val="right"/>
        <w:spacing w:after="0"/>
        <w:rPr>
          <w:sz w:val="20"/>
          <w:szCs w:val="20"/>
          <w:color w:val="auto"/>
        </w:rPr>
      </w:pPr>
      <w:r>
        <w:rPr>
          <w:rFonts w:ascii="Arial" w:cs="Arial" w:eastAsia="Arial" w:hAnsi="Arial"/>
          <w:sz w:val="22"/>
          <w:szCs w:val="22"/>
          <w:b w:val="1"/>
          <w:bCs w:val="1"/>
          <w:color w:val="auto"/>
        </w:rPr>
        <w:t>Exhibit 21.1</w:t>
      </w:r>
    </w:p>
    <w:p>
      <w:pPr>
        <w:spacing w:after="0" w:line="200" w:lineRule="exact"/>
        <w:rPr>
          <w:sz w:val="20"/>
          <w:szCs w:val="20"/>
          <w:color w:val="auto"/>
        </w:rPr>
      </w:pPr>
    </w:p>
    <w:p>
      <w:pPr>
        <w:spacing w:after="0" w:line="23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List of 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Jurisdiction</w:t>
            </w:r>
          </w:p>
        </w:tc>
      </w:tr>
      <w:tr>
        <w:trPr>
          <w:trHeight w:val="20"/>
        </w:trPr>
        <w:tc>
          <w:tcPr>
            <w:tcW w:w="7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r>
        <w:trPr>
          <w:trHeight w:val="249"/>
        </w:trPr>
        <w:tc>
          <w:tcPr>
            <w:tcW w:w="6100" w:type="dxa"/>
            <w:vAlign w:val="bottom"/>
            <w:gridSpan w:val="2"/>
          </w:tcPr>
          <w:p>
            <w:pPr>
              <w:spacing w:after="0"/>
              <w:rPr>
                <w:sz w:val="20"/>
                <w:szCs w:val="20"/>
                <w:color w:val="auto"/>
              </w:rPr>
            </w:pPr>
            <w:r>
              <w:rPr>
                <w:rFonts w:ascii="Arial" w:cs="Arial" w:eastAsia="Arial" w:hAnsi="Arial"/>
                <w:sz w:val="18"/>
                <w:szCs w:val="18"/>
                <w:color w:val="auto"/>
              </w:rPr>
              <w:t>AppFolio Utility Management, Inc.</w:t>
            </w:r>
          </w:p>
        </w:tc>
        <w:tc>
          <w:tcPr>
            <w:tcW w:w="3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California</w:t>
            </w:r>
          </w:p>
        </w:tc>
      </w:tr>
      <w:tr>
        <w:trPr>
          <w:trHeight w:val="229"/>
        </w:trPr>
        <w:tc>
          <w:tcPr>
            <w:tcW w:w="6100" w:type="dxa"/>
            <w:vAlign w:val="bottom"/>
            <w:gridSpan w:val="2"/>
          </w:tcPr>
          <w:p>
            <w:pPr>
              <w:spacing w:after="0"/>
              <w:rPr>
                <w:sz w:val="20"/>
                <w:szCs w:val="20"/>
                <w:color w:val="auto"/>
              </w:rPr>
            </w:pPr>
            <w:r>
              <w:rPr>
                <w:rFonts w:ascii="Arial" w:cs="Arial" w:eastAsia="Arial" w:hAnsi="Arial"/>
                <w:sz w:val="18"/>
                <w:szCs w:val="18"/>
                <w:color w:val="auto"/>
              </w:rPr>
              <w:t>AppFolio Investment Management, Inc.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California</w:t>
            </w:r>
          </w:p>
        </w:tc>
      </w:tr>
      <w:tr>
        <w:trPr>
          <w:trHeight w:val="229"/>
        </w:trPr>
        <w:tc>
          <w:tcPr>
            <w:tcW w:w="6100" w:type="dxa"/>
            <w:vAlign w:val="bottom"/>
            <w:gridSpan w:val="2"/>
          </w:tcPr>
          <w:p>
            <w:pPr>
              <w:spacing w:after="0"/>
              <w:rPr>
                <w:sz w:val="20"/>
                <w:szCs w:val="20"/>
                <w:color w:val="auto"/>
              </w:rPr>
            </w:pPr>
            <w:r>
              <w:rPr>
                <w:rFonts w:ascii="Arial" w:cs="Arial" w:eastAsia="Arial" w:hAnsi="Arial"/>
                <w:sz w:val="18"/>
                <w:szCs w:val="18"/>
                <w:color w:val="auto"/>
              </w:rPr>
              <w:t>Dynasty Marketplace, Inc.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Delaware</w:t>
            </w: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AppFolio Insurance Services, Inc.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California</w:t>
            </w:r>
          </w:p>
        </w:tc>
      </w:tr>
      <w:tr>
        <w:trPr>
          <w:trHeight w:val="229"/>
        </w:trPr>
        <w:tc>
          <w:tcPr>
            <w:tcW w:w="6100" w:type="dxa"/>
            <w:vAlign w:val="bottom"/>
            <w:gridSpan w:val="2"/>
          </w:tcPr>
          <w:p>
            <w:pPr>
              <w:spacing w:after="0"/>
              <w:rPr>
                <w:sz w:val="20"/>
                <w:szCs w:val="20"/>
                <w:color w:val="auto"/>
              </w:rPr>
            </w:pPr>
            <w:r>
              <w:rPr>
                <w:rFonts w:ascii="Arial" w:cs="Arial" w:eastAsia="Arial" w:hAnsi="Arial"/>
                <w:sz w:val="18"/>
                <w:szCs w:val="18"/>
                <w:color w:val="auto"/>
              </w:rPr>
              <w:t>RentLinx LLC</w:t>
            </w:r>
          </w:p>
        </w:tc>
        <w:tc>
          <w:tcPr>
            <w:tcW w:w="3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Michigan</w:t>
            </w: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Terra Mar Insurance Company, Inc.</w:t>
            </w:r>
          </w:p>
        </w:tc>
        <w:tc>
          <w:tcPr>
            <w:tcW w:w="3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Hawaii</w:t>
            </w:r>
          </w:p>
        </w:tc>
      </w:tr>
    </w:tbl>
    <w:p>
      <w:pPr>
        <w:sectPr>
          <w:pgSz w:w="11900" w:h="16838" w:orient="portrait"/>
          <w:cols w:equalWidth="0" w:num="1">
            <w:col w:w="10700"/>
          </w:cols>
          <w:pgMar w:left="860" w:top="1314"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36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333-236818, No. 333-229970, No.333-223231, No. 333-216274, No. 333-209792, and No. 333-206179) of AppFolio, Inc. of our report dated March 1, 2021 relating to the financial statements and the effectiveness of internal control over financial reporting, which appears in this Form 10-K.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 2021</w:t>
      </w:r>
    </w:p>
    <w:p>
      <w:pPr>
        <w:sectPr>
          <w:pgSz w:w="11900" w:h="16838" w:orient="portrait"/>
          <w:cols w:equalWidth="0" w:num="1">
            <w:col w:w="11240"/>
          </w:cols>
          <w:pgMar w:left="320" w:top="89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280" w:right="420" w:hanging="519"/>
        <w:spacing w:after="0" w:line="259" w:lineRule="auto"/>
        <w:tabs>
          <w:tab w:leader="none" w:pos="22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280" w:right="40" w:hanging="519"/>
        <w:spacing w:after="0" w:line="224" w:lineRule="auto"/>
        <w:tabs>
          <w:tab w:leader="none" w:pos="22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4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260" w:right="20" w:hanging="520"/>
        <w:spacing w:after="0" w:line="224" w:lineRule="auto"/>
        <w:tabs>
          <w:tab w:leader="none" w:pos="2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260" w:right="20" w:hanging="520"/>
        <w:spacing w:after="0" w:line="235" w:lineRule="auto"/>
        <w:tabs>
          <w:tab w:leader="none" w:pos="2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2021</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77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Ida Kane, certify that:</w:t>
      </w:r>
    </w:p>
    <w:p>
      <w:pPr>
        <w:spacing w:after="0" w:line="144" w:lineRule="exact"/>
        <w:rPr>
          <w:sz w:val="20"/>
          <w:szCs w:val="20"/>
          <w:color w:val="auto"/>
        </w:rPr>
      </w:pPr>
    </w:p>
    <w:p>
      <w:pPr>
        <w:ind w:left="1120" w:hanging="1094"/>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84"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300" w:right="420" w:hanging="573"/>
        <w:spacing w:after="0" w:line="259" w:lineRule="auto"/>
        <w:tabs>
          <w:tab w:leader="none" w:pos="2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300" w:right="20" w:hanging="560"/>
        <w:spacing w:after="0" w:line="224" w:lineRule="auto"/>
        <w:tabs>
          <w:tab w:leader="none" w:pos="2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400" w:right="20" w:hanging="646"/>
        <w:spacing w:after="0" w:line="224" w:lineRule="auto"/>
        <w:tabs>
          <w:tab w:leader="none" w:pos="24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400" w:right="20" w:hanging="646"/>
        <w:spacing w:after="0" w:line="235" w:lineRule="auto"/>
        <w:tabs>
          <w:tab w:leader="none" w:pos="2400" w:val="left"/>
        </w:tabs>
        <w:numPr>
          <w:ilvl w:val="3"/>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2021</w:t>
      </w:r>
      <w:r>
        <w:rPr>
          <w:sz w:val="20"/>
          <w:szCs w:val="20"/>
          <w:color w:val="auto"/>
        </w:rPr>
        <w:tab/>
      </w:r>
      <w:r>
        <w:rPr>
          <w:rFonts w:ascii="Arial" w:cs="Arial" w:eastAsia="Arial" w:hAnsi="Arial"/>
          <w:sz w:val="16"/>
          <w:szCs w:val="16"/>
          <w:color w:val="auto"/>
        </w:rPr>
        <w:t>/s/ Ida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Ida Kane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108" w:name="page109"/>
    <w:bookmarkEnd w:id="108"/>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Annual Report on Form 10-K of AppFolio, Inc. (the “Company”) for the period ended December 31, 2020,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220"/>
              <w:spacing w:after="0"/>
              <w:rPr>
                <w:sz w:val="20"/>
                <w:szCs w:val="20"/>
                <w:color w:val="auto"/>
              </w:rPr>
            </w:pPr>
            <w:r>
              <w:rPr>
                <w:rFonts w:ascii="Arial" w:cs="Arial" w:eastAsia="Arial" w:hAnsi="Arial"/>
                <w:sz w:val="18"/>
                <w:szCs w:val="18"/>
                <w:color w:val="auto"/>
              </w:rPr>
              <w:t>March 1, 2021</w:t>
            </w:r>
          </w:p>
        </w:tc>
        <w:tc>
          <w:tcPr>
            <w:tcW w:w="2200" w:type="dxa"/>
            <w:vAlign w:val="bottom"/>
          </w:tcPr>
          <w:p>
            <w:pPr>
              <w:ind w:left="162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Ida Kane,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220"/>
              <w:spacing w:after="0"/>
              <w:rPr>
                <w:sz w:val="20"/>
                <w:szCs w:val="20"/>
                <w:color w:val="auto"/>
              </w:rPr>
            </w:pPr>
            <w:r>
              <w:rPr>
                <w:rFonts w:ascii="Arial" w:cs="Arial" w:eastAsia="Arial" w:hAnsi="Arial"/>
                <w:sz w:val="18"/>
                <w:szCs w:val="18"/>
                <w:color w:val="auto"/>
              </w:rPr>
              <w:t>March 1, 2021</w:t>
            </w:r>
          </w:p>
        </w:tc>
        <w:tc>
          <w:tcPr>
            <w:tcW w:w="2200" w:type="dxa"/>
            <w:vAlign w:val="bottom"/>
          </w:tcPr>
          <w:p>
            <w:pPr>
              <w:ind w:left="162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Ida Kane</w:t>
            </w:r>
          </w:p>
        </w:tc>
      </w:tr>
      <w:tr>
        <w:trPr>
          <w:trHeight w:val="222"/>
        </w:trPr>
        <w:tc>
          <w:tcPr>
            <w:tcW w:w="6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Ida Kane</w:t>
            </w:r>
          </w:p>
        </w:tc>
      </w:tr>
      <w:tr>
        <w:trPr>
          <w:trHeight w:val="230"/>
        </w:trPr>
        <w:tc>
          <w:tcPr>
            <w:tcW w:w="6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1)"/>
      <w:numFmt w:val="lowerRoman"/>
      <w:start w:val="3"/>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13"/>
    </w:lvl>
  </w:abstractNum>
  <w:abstractNum w:abstractNumId="16">
    <w:nsid w:val="737B8DDC"/>
    <w:multiLevelType w:val="hybridMultilevel"/>
    <w:lvl w:ilvl="0">
      <w:lvlJc w:val="left"/>
      <w:lvlText w:val="%1."/>
      <w:numFmt w:val="decimal"/>
      <w:start w:val="382"/>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
    <w:nsid w:val="614FD4A1"/>
    <w:multiLevelType w:val="hybridMultilevel"/>
    <w:lvl w:ilvl="0">
      <w:lvlJc w:val="left"/>
      <w:lvlText w:val="%1"/>
      <w:numFmt w:val="lowerLetter"/>
      <w:start w:val="1"/>
    </w:lvl>
    <w:lvl w:ilvl="1">
      <w:lvlJc w:val="left"/>
      <w:lvlText w:val="(%2)"/>
      <w:numFmt w:val="lowerRoman"/>
      <w:start w:val="2"/>
    </w:lvl>
  </w:abstractNum>
  <w:abstractNum w:abstractNumId="22">
    <w:nsid w:val="419AC241"/>
    <w:multiLevelType w:val="hybridMultilevel"/>
    <w:lvl w:ilvl="0">
      <w:lvlJc w:val="left"/>
      <w:lvlText w:val="(%1)"/>
      <w:numFmt w:val="lowerLetter"/>
      <w:start w:val="6"/>
    </w:lvl>
    <w:lvl w:ilvl="1">
      <w:lvlJc w:val="left"/>
      <w:lvlText w:val="(%2)"/>
      <w:numFmt w:val="lowerRoman"/>
      <w:start w:val="1"/>
    </w:lvl>
  </w:abstractNum>
  <w:abstractNum w:abstractNumId="23">
    <w:nsid w:val="5577F8E1"/>
    <w:multiLevelType w:val="hybridMultilevel"/>
    <w:lvl w:ilvl="0">
      <w:lvlJc w:val="left"/>
      <w:lvlText w:val="(%1)"/>
      <w:numFmt w:val="lowerLetter"/>
      <w:start w:val="11"/>
    </w:lvl>
  </w:abstractNum>
  <w:abstractNum w:abstractNumId="24">
    <w:nsid w:val="440BADFC"/>
    <w:multiLevelType w:val="hybridMultilevel"/>
    <w:lvl w:ilvl="0">
      <w:lvlJc w:val="left"/>
      <w:lvlText w:val="%1"/>
      <w:numFmt w:val="decimal"/>
      <w:start w:val="1"/>
    </w:lvl>
    <w:lvl w:ilvl="1">
      <w:lvlJc w:val="left"/>
      <w:lvlText w:val="(%2)"/>
      <w:numFmt w:val="lowerLetter"/>
      <w:start w:val="20"/>
    </w:lvl>
  </w:abstractNum>
  <w:abstractNum w:abstractNumId="25">
    <w:nsid w:val="5072367"/>
    <w:multiLevelType w:val="hybridMultilevel"/>
    <w:lvl w:ilvl="0">
      <w:lvlJc w:val="left"/>
      <w:lvlText w:val="%1."/>
      <w:numFmt w:val="decimal"/>
      <w:start w:val="3"/>
    </w:lvl>
    <w:lvl w:ilvl="1">
      <w:lvlJc w:val="left"/>
      <w:lvlText w:val="%2"/>
      <w:numFmt w:val="lowerLetter"/>
      <w:start w:val="1"/>
    </w:lvl>
  </w:abstractNum>
  <w:abstractNum w:abstractNumId="26">
    <w:nsid w:val="3804823E"/>
    <w:multiLevelType w:val="hybridMultilevel"/>
    <w:lvl w:ilvl="0">
      <w:lvlJc w:val="left"/>
      <w:lvlText w:val="%1."/>
      <w:numFmt w:val="decimal"/>
      <w:start w:val="6"/>
    </w:lvl>
    <w:lvl w:ilvl="1">
      <w:lvlJc w:val="left"/>
      <w:lvlText w:val="(%2)"/>
      <w:numFmt w:val="lowerLetter"/>
      <w:start w:val="1"/>
    </w:lvl>
  </w:abstractNum>
  <w:abstractNum w:abstractNumId="27">
    <w:nsid w:val="77465F01"/>
    <w:multiLevelType w:val="hybridMultilevel"/>
    <w:lvl w:ilvl="0">
      <w:lvlJc w:val="left"/>
      <w:lvlText w:val="%1."/>
      <w:numFmt w:val="decimal"/>
      <w:start w:val="9"/>
    </w:lvl>
  </w:abstractNum>
  <w:abstractNum w:abstractNumId="28">
    <w:nsid w:val="7724C67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9">
    <w:nsid w:val="5C482A97"/>
    <w:multiLevelType w:val="hybridMultilevel"/>
    <w:lvl w:ilvl="0">
      <w:lvlJc w:val="left"/>
      <w:lvlText w:val="(%1)"/>
      <w:numFmt w:val="lowerLetter"/>
      <w:start w:val="3"/>
    </w:lvl>
  </w:abstractNum>
  <w:abstractNum w:abstractNumId="30">
    <w:nsid w:val="2463B9EA"/>
    <w:multiLevelType w:val="hybridMultilevel"/>
    <w:lvl w:ilvl="0">
      <w:lvlJc w:val="left"/>
      <w:lvlText w:val="(%1)"/>
      <w:numFmt w:val="lowerLetter"/>
      <w:start w:val="4"/>
    </w:lvl>
    <w:lvl w:ilvl="1">
      <w:lvlJc w:val="left"/>
      <w:lvlText w:val="(%2)"/>
      <w:numFmt w:val="lowerRoman"/>
      <w:start w:val="1"/>
    </w:lvl>
  </w:abstractNum>
  <w:abstractNum w:abstractNumId="31">
    <w:nsid w:val="5E884ADC"/>
    <w:multiLevelType w:val="hybridMultilevel"/>
    <w:lvl w:ilvl="0">
      <w:lvlJc w:val="left"/>
      <w:lvlText w:val="(%1)"/>
      <w:numFmt w:val="lowerRoman"/>
      <w:start w:val="3"/>
    </w:lvl>
  </w:abstractNum>
  <w:abstractNum w:abstractNumId="32">
    <w:nsid w:val="51EAD36B"/>
    <w:multiLevelType w:val="hybridMultilevel"/>
    <w:lvl w:ilvl="0">
      <w:lvlJc w:val="left"/>
      <w:lvlText w:val="(%1)"/>
      <w:numFmt w:val="lowerLetter"/>
      <w:start w:val="5"/>
    </w:lvl>
  </w:abstractNum>
  <w:abstractNum w:abstractNumId="33">
    <w:nsid w:val="2D517796"/>
    <w:multiLevelType w:val="hybridMultilevel"/>
    <w:lvl w:ilvl="0">
      <w:lvlJc w:val="left"/>
      <w:lvlText w:val="(%1)"/>
      <w:numFmt w:val="lowerLetter"/>
      <w:start w:val="6"/>
    </w:lvl>
    <w:lvl w:ilvl="1">
      <w:lvlJc w:val="left"/>
      <w:lvlText w:val="(%2)"/>
      <w:numFmt w:val="lowerRoman"/>
      <w:start w:val="1"/>
    </w:lvl>
  </w:abstractNum>
  <w:abstractNum w:abstractNumId="34">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5">
    <w:nsid w:val="153EA438"/>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6">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7">
    <w:nsid w:val="70A64E2A"/>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8">
    <w:nsid w:val="6A2342EC"/>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abstractNum>
  <w:abstractNum w:abstractNumId="39">
    <w:nsid w:val="2A487CB0"/>
    <w:multiLevelType w:val="hybridMultilevel"/>
    <w:lvl w:ilvl="0">
      <w:lvlJc w:val="left"/>
      <w:lvlText w:val="%1."/>
      <w:numFmt w:val="decimal"/>
      <w:start w:val="13"/>
    </w:lvl>
  </w:abstractNum>
  <w:abstractNum w:abstractNumId="40">
    <w:nsid w:val="1D4ED43B"/>
    <w:multiLevelType w:val="hybridMultilevel"/>
    <w:lvl w:ilvl="0">
      <w:lvlJc w:val="left"/>
      <w:lvlText w:val="%1."/>
      <w:numFmt w:val="decimal"/>
      <w:start w:val="18"/>
    </w:lvl>
    <w:lvl w:ilvl="1">
      <w:lvlJc w:val="left"/>
      <w:lvlText w:val="(%2)"/>
      <w:numFmt w:val="lowerLetter"/>
      <w:start w:val="1"/>
    </w:lvl>
  </w:abstractNum>
  <w:abstractNum w:abstractNumId="41">
    <w:nsid w:val="725A06FB"/>
    <w:multiLevelType w:val="hybridMultilevel"/>
    <w:lvl w:ilvl="0">
      <w:lvlJc w:val="left"/>
      <w:lvlText w:val="%1."/>
      <w:numFmt w:val="decimal"/>
      <w:start w:val="21"/>
    </w:lvl>
    <w:lvl w:ilvl="1">
      <w:lvlJc w:val="left"/>
      <w:lvlText w:val="(%2)"/>
      <w:numFmt w:val="lowerLetter"/>
      <w:start w:val="1"/>
    </w:lvl>
  </w:abstractNum>
  <w:abstractNum w:abstractNumId="42">
    <w:nsid w:val="2CD89A32"/>
    <w:multiLevelType w:val="hybridMultilevel"/>
    <w:lvl w:ilvl="0">
      <w:lvlJc w:val="left"/>
      <w:lvlText w:val="%1."/>
      <w:numFmt w:val="decimal"/>
      <w:start w:val="23"/>
    </w:lvl>
  </w:abstractNum>
  <w:abstractNum w:abstractNumId="43">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06" Type="http://schemas.openxmlformats.org/officeDocument/2006/relationships/hyperlink" Target="http://www.sec.gov/Archives/edgar/data/1433195/000143319518000051/exhibit21assetpurchaseagre.htm" TargetMode="External"/><Relationship Id="rId107" Type="http://schemas.openxmlformats.org/officeDocument/2006/relationships/hyperlink" Target="http://www.sec.gov/Archives/edgar/data/1433195/000143319519000005/a21mergeragreement.htm" TargetMode="External"/><Relationship Id="rId108" Type="http://schemas.openxmlformats.org/officeDocument/2006/relationships/hyperlink" Target="http://www.sec.gov/Archives/edgar/data/1433195/000143319515000003/exhibit3163015.htm" TargetMode="External"/><Relationship Id="rId109" Type="http://schemas.openxmlformats.org/officeDocument/2006/relationships/hyperlink" Target="http://www.sec.gov/Archives/edgar/data/1433195/000143319515000003/exhibit3263015.htm" TargetMode="External"/><Relationship Id="rId110" Type="http://schemas.openxmlformats.org/officeDocument/2006/relationships/hyperlink" Target="http://www.sec.gov/Archives/edgar/data/1433195/000119312515213095/d907976dex41.htm" TargetMode="External"/><Relationship Id="rId111" Type="http://schemas.openxmlformats.org/officeDocument/2006/relationships/hyperlink" Target="http://www.sec.gov/Archives/edgar/data/1433195/000119312515213095/d907976dex42.htm" TargetMode="External"/><Relationship Id="rId112" Type="http://schemas.openxmlformats.org/officeDocument/2006/relationships/hyperlink" Target="https://www.sec.gov/Archives/edgar/data/1433195/000143319520000019/a123119exhibit43.htm" TargetMode="External"/><Relationship Id="rId113" Type="http://schemas.openxmlformats.org/officeDocument/2006/relationships/hyperlink" Target="http://www.sec.gov/Archives/edgar/data/1433195/000119312515213095/d907976dex101.htm" TargetMode="External"/><Relationship Id="rId114" Type="http://schemas.openxmlformats.org/officeDocument/2006/relationships/hyperlink" Target="http://www.sec.gov/Archives/edgar/data/1433195/000143319517000010/exhibit102fourthamendmentt.htm" TargetMode="External"/><Relationship Id="rId115" Type="http://schemas.openxmlformats.org/officeDocument/2006/relationships/hyperlink" Target="http://www.sec.gov/Archives/edgar/data/1433195/000119312515213095/d907976dex102.htm" TargetMode="External"/><Relationship Id="rId116" Type="http://schemas.openxmlformats.org/officeDocument/2006/relationships/hyperlink" Target="http://www.sec.gov/Archives/edgar/data/1433195/000143319515000009/exhibit10293015.htm" TargetMode="External"/><Relationship Id="rId117" Type="http://schemas.openxmlformats.org/officeDocument/2006/relationships/hyperlink" Target="http://www.sec.gov/Archives/edgar/data/1433195/000143319516000016/exhibit1042ndleaseamendmen.htm" TargetMode="External"/><Relationship Id="rId118" Type="http://schemas.openxmlformats.org/officeDocument/2006/relationships/hyperlink" Target="http://www.sec.gov/Archives/edgar/data/1433195/000143319518000048/exhibit10170castilianlease.htm" TargetMode="External"/><Relationship Id="rId119" Type="http://schemas.openxmlformats.org/officeDocument/2006/relationships/hyperlink" Target="http://www.sec.gov/Archives/edgar/data/1433195/000143319518000048/exhibit102thirdamendmentto.htm" TargetMode="External"/><Relationship Id="rId120" Type="http://schemas.openxmlformats.org/officeDocument/2006/relationships/hyperlink" Target="http://www.sec.gov/Archives/edgar/data/1433195/000143319519000016/a20180929appfolioweworkm.htm" TargetMode="External"/><Relationship Id="rId121" Type="http://schemas.openxmlformats.org/officeDocument/2006/relationships/hyperlink" Target="http://www.sec.gov/Archives/edgar/data/1433195/000119312515213095/d907976dex103.htm" TargetMode="External"/><Relationship Id="rId122" Type="http://schemas.openxmlformats.org/officeDocument/2006/relationships/hyperlink" Target="http://www.sec.gov/Archives/edgar/data/1433195/000119312515213095/d907976dex104.htm" TargetMode="External"/><Relationship Id="rId123" Type="http://schemas.openxmlformats.org/officeDocument/2006/relationships/hyperlink" Target="http://www.sec.gov/Archives/edgar/data/1433195/000119312515213095/d907976dex105.htm" TargetMode="External"/><Relationship Id="rId124" Type="http://schemas.openxmlformats.org/officeDocument/2006/relationships/hyperlink" Target="http://www.sec.gov/Archives/edgar/data/1433195/000143319518000011/exhibit109-longxtermcashin.htm" TargetMode="External"/><Relationship Id="rId127" Type="http://schemas.openxmlformats.org/officeDocument/2006/relationships/hyperlink" Target="http://www.sec.gov/Archives/edgar/data/1433195/000143319518000011/exhibit1010-longxtermcashi.htm" TargetMode="External"/><Relationship Id="rId128" Type="http://schemas.openxmlformats.org/officeDocument/2006/relationships/hyperlink" Target="http://www.sec.gov/Archives/edgar/data/1433195/000119312515191809/d907976dex107.htm" TargetMode="External"/><Relationship Id="rId129" Type="http://schemas.openxmlformats.org/officeDocument/2006/relationships/hyperlink" Target="http://www.sec.gov/Archives/edgar/data/1433195/000143319515000009/exhibit10193015.htm" TargetMode="External"/><Relationship Id="rId130" Type="http://schemas.openxmlformats.org/officeDocument/2006/relationships/hyperlink" Target="http://www.sec.gov/Archives/edgar/data/1433195/000143319519000016/a123118exhibit1017.htm" TargetMode="External"/><Relationship Id="rId131" Type="http://schemas.openxmlformats.org/officeDocument/2006/relationships/hyperlink" Target="http://www.sec.gov/Archives/edgar/data/1433195/000143319517000044/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2021-03-01T15:44:41Z</dcterms:created>
  <dcterms:modified xsi:type="dcterms:W3CDTF">2021-03-01T15:44:41Z</dcterms:modified>
</cp:coreProperties>
</file>