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right="2340" w:firstLine="8"/>
        <w:spacing w:after="0" w:line="33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2020.</w:t>
      </w:r>
    </w:p>
    <w:p>
      <w:pPr>
        <w:ind w:right="2320"/>
        <w:spacing w:after="0" w:line="28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001-37468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93"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70"/>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5140" w:type="dxa"/>
            <w:vAlign w:val="bottom"/>
          </w:tcPr>
          <w:p>
            <w:pPr>
              <w:jc w:val="center"/>
              <w:ind w:left="237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526"/>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50 Castilian Drive</w:t>
            </w:r>
          </w:p>
        </w:tc>
        <w:tc>
          <w:tcPr>
            <w:tcW w:w="5140" w:type="dxa"/>
            <w:vAlign w:val="bottom"/>
          </w:tcPr>
          <w:p>
            <w:pPr>
              <w:jc w:val="right"/>
              <w:ind w:right="1030"/>
              <w:spacing w:after="0"/>
              <w:rPr>
                <w:sz w:val="20"/>
                <w:szCs w:val="20"/>
                <w:color w:val="auto"/>
              </w:rPr>
            </w:pPr>
            <w:r>
              <w:rPr>
                <w:rFonts w:ascii="Arial" w:cs="Arial" w:eastAsia="Arial" w:hAnsi="Arial"/>
                <w:sz w:val="18"/>
                <w:szCs w:val="18"/>
                <w:b w:val="1"/>
                <w:bCs w:val="1"/>
                <w:color w:val="auto"/>
              </w:rPr>
              <w:t>93117</w:t>
            </w:r>
          </w:p>
        </w:tc>
      </w:tr>
      <w:tr>
        <w:trPr>
          <w:trHeight w:val="270"/>
        </w:trPr>
        <w:tc>
          <w:tcPr>
            <w:tcW w:w="3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Santa Barbara, California</w:t>
            </w:r>
          </w:p>
        </w:tc>
        <w:tc>
          <w:tcPr>
            <w:tcW w:w="5140" w:type="dxa"/>
            <w:vAlign w:val="bottom"/>
          </w:tcPr>
          <w:p>
            <w:pPr>
              <w:spacing w:after="0"/>
              <w:rPr>
                <w:sz w:val="23"/>
                <w:szCs w:val="23"/>
                <w:color w:val="auto"/>
              </w:rPr>
            </w:pPr>
          </w:p>
        </w:tc>
      </w:tr>
      <w:tr>
        <w:trPr>
          <w:trHeight w:val="270"/>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i w:val="1"/>
                <w:iCs w:val="1"/>
                <w:color w:val="auto"/>
                <w:w w:val="86"/>
              </w:rPr>
              <w:t>(Address of principal executive offices)</w:t>
            </w:r>
          </w:p>
        </w:tc>
        <w:tc>
          <w:tcPr>
            <w:tcW w:w="5140" w:type="dxa"/>
            <w:vAlign w:val="bottom"/>
          </w:tcPr>
          <w:p>
            <w:pPr>
              <w:jc w:val="center"/>
              <w:ind w:left="2370"/>
              <w:spacing w:after="0"/>
              <w:rPr>
                <w:sz w:val="20"/>
                <w:szCs w:val="20"/>
                <w:color w:val="auto"/>
              </w:rPr>
            </w:pPr>
            <w:r>
              <w:rPr>
                <w:rFonts w:ascii="Arial" w:cs="Arial" w:eastAsia="Arial" w:hAnsi="Arial"/>
                <w:sz w:val="18"/>
                <w:szCs w:val="18"/>
                <w:b w:val="1"/>
                <w:bCs w:val="1"/>
                <w:i w:val="1"/>
                <w:iCs w:val="1"/>
                <w:color w:val="auto"/>
                <w:w w:val="89"/>
              </w:rPr>
              <w:t>(Zip Code)</w:t>
            </w:r>
          </w:p>
        </w:tc>
      </w:tr>
      <w:tr>
        <w:trPr>
          <w:trHeight w:val="405"/>
        </w:trPr>
        <w:tc>
          <w:tcPr>
            <w:tcW w:w="3320" w:type="dxa"/>
            <w:vAlign w:val="bottom"/>
          </w:tcPr>
          <w:p>
            <w:pPr>
              <w:spacing w:after="0"/>
              <w:rPr>
                <w:sz w:val="24"/>
                <w:szCs w:val="24"/>
                <w:color w:val="auto"/>
              </w:rPr>
            </w:pPr>
          </w:p>
        </w:tc>
        <w:tc>
          <w:tcPr>
            <w:tcW w:w="5140" w:type="dxa"/>
            <w:vAlign w:val="bottom"/>
          </w:tcPr>
          <w:p>
            <w:pPr>
              <w:jc w:val="right"/>
              <w:ind w:right="3530"/>
              <w:spacing w:after="0"/>
              <w:rPr>
                <w:sz w:val="20"/>
                <w:szCs w:val="20"/>
                <w:color w:val="auto"/>
              </w:rPr>
            </w:pPr>
            <w:r>
              <w:rPr>
                <w:rFonts w:ascii="Arial" w:cs="Arial" w:eastAsia="Arial" w:hAnsi="Arial"/>
                <w:sz w:val="18"/>
                <w:szCs w:val="18"/>
                <w:b w:val="1"/>
                <w:bCs w:val="1"/>
                <w:color w:val="auto"/>
              </w:rPr>
              <w:t>(805) 364-6093</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167"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311"/>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10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0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518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60" w:type="dxa"/>
            <w:vAlign w:val="bottom"/>
          </w:tcPr>
          <w:p>
            <w:pPr>
              <w:ind w:left="10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00"/>
        </w:trPr>
        <w:tc>
          <w:tcPr>
            <w:tcW w:w="20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60" w:type="dxa"/>
            <w:vAlign w:val="bottom"/>
          </w:tcPr>
          <w:p>
            <w:pPr>
              <w:ind w:left="10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20" w:type="dxa"/>
            <w:vAlign w:val="bottom"/>
            <w:gridSpan w:val="3"/>
          </w:tcPr>
          <w:p>
            <w:pPr>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303"/>
        </w:trPr>
        <w:tc>
          <w:tcPr>
            <w:tcW w:w="1360" w:type="dxa"/>
            <w:vAlign w:val="bottom"/>
          </w:tcPr>
          <w:p>
            <w:pPr>
              <w:spacing w:after="0"/>
              <w:rPr>
                <w:sz w:val="24"/>
                <w:szCs w:val="24"/>
                <w:color w:val="auto"/>
              </w:rPr>
            </w:pPr>
          </w:p>
        </w:tc>
        <w:tc>
          <w:tcPr>
            <w:tcW w:w="256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7"/>
              </w:rPr>
              <w:t>Title of each class</w:t>
            </w:r>
          </w:p>
        </w:tc>
        <w:tc>
          <w:tcPr>
            <w:tcW w:w="128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w w:val="92"/>
              </w:rPr>
              <w:t>Trading Symbol</w:t>
            </w:r>
          </w:p>
        </w:tc>
        <w:tc>
          <w:tcPr>
            <w:tcW w:w="16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3920" w:type="dxa"/>
            <w:vAlign w:val="bottom"/>
            <w:gridSpan w:val="3"/>
          </w:tcPr>
          <w:p>
            <w:pPr>
              <w:jc w:val="center"/>
              <w:spacing w:after="0"/>
              <w:rPr>
                <w:sz w:val="20"/>
                <w:szCs w:val="20"/>
                <w:color w:val="auto"/>
              </w:rPr>
            </w:pPr>
            <w:r>
              <w:rPr>
                <w:rFonts w:ascii="Arial" w:cs="Arial" w:eastAsia="Arial" w:hAnsi="Arial"/>
                <w:sz w:val="16"/>
                <w:szCs w:val="16"/>
                <w:color w:val="auto"/>
                <w:w w:val="91"/>
              </w:rPr>
              <w:t>Class A Common Stock, $0.0001 par value</w:t>
            </w:r>
          </w:p>
        </w:tc>
        <w:tc>
          <w:tcPr>
            <w:tcW w:w="1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APPF</w:t>
            </w:r>
          </w:p>
        </w:tc>
        <w:tc>
          <w:tcPr>
            <w:tcW w:w="16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bl>
    <w:p>
      <w:pPr>
        <w:spacing w:after="0" w:line="34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July 27, 2020, the number of shares of the registrant’s Class A common stock outstanding was 17,057,669 and the number of shares of the registrant’s Class B common stock outstanding was 17,238,895.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79" w:right="8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20" w:type="dxa"/>
            <w:vAlign w:val="bottom"/>
            <w:gridSpan w:val="3"/>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20" w:type="dxa"/>
            <w:vAlign w:val="bottom"/>
            <w:gridSpan w:val="3"/>
          </w:tcPr>
          <w:p>
            <w:pPr>
              <w:ind w:left="3400"/>
              <w:spacing w:after="0"/>
              <w:rPr>
                <w:sz w:val="20"/>
                <w:szCs w:val="20"/>
                <w:color w:val="auto"/>
              </w:rPr>
            </w:pPr>
            <w:r>
              <w:rPr>
                <w:rFonts w:ascii="Arial" w:cs="Arial" w:eastAsia="Arial" w:hAnsi="Arial"/>
                <w:sz w:val="18"/>
                <w:szCs w:val="18"/>
                <w:b w:val="1"/>
                <w:bCs w:val="1"/>
                <w:color w:val="auto"/>
              </w:rPr>
              <w:t>Section</w:t>
            </w:r>
          </w:p>
        </w:tc>
        <w:tc>
          <w:tcPr>
            <w:tcW w:w="1180" w:type="dxa"/>
            <w:vAlign w:val="bottom"/>
            <w:gridSpan w:val="2"/>
          </w:tcPr>
          <w:p>
            <w:pPr>
              <w:ind w:left="2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840" w:type="dxa"/>
            <w:vAlign w:val="bottom"/>
            <w:gridSpan w:val="4"/>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Cautionary Note Regarding Forward-Looking Statements</w:t>
              </w:r>
            </w:hyperlink>
          </w:p>
        </w:tc>
        <w:tc>
          <w:tcPr>
            <w:tcW w:w="220" w:type="dxa"/>
            <w:vAlign w:val="bottom"/>
          </w:tcPr>
          <w:p>
            <w:pPr>
              <w:spacing w:after="0"/>
              <w:rPr>
                <w:sz w:val="19"/>
                <w:szCs w:val="19"/>
                <w:color w:val="auto"/>
              </w:rPr>
            </w:pPr>
          </w:p>
        </w:tc>
        <w:tc>
          <w:tcPr>
            <w:tcW w:w="11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60" w:type="dxa"/>
            <w:vAlign w:val="bottom"/>
            <w:gridSpan w:val="5"/>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Financial Information</w:t>
              </w:r>
            </w:hyperlink>
          </w:p>
        </w:tc>
        <w:tc>
          <w:tcPr>
            <w:tcW w:w="11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gridSpan w:val="5"/>
          </w:tcPr>
          <w:p>
            <w:pPr>
              <w:ind w:left="6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 Condensed Consolidated Financial Statements (Unaudited)</w:t>
              </w:r>
            </w:hyperlink>
          </w:p>
        </w:tc>
        <w:tc>
          <w:tcPr>
            <w:tcW w:w="11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180" w:type="dxa"/>
            <w:vAlign w:val="bottom"/>
            <w:gridSpan w:val="4"/>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as of June 30, 2020 and December 31, 2019</w:t>
              </w:r>
            </w:hyperlink>
          </w:p>
        </w:tc>
        <w:tc>
          <w:tcPr>
            <w:tcW w:w="11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180" w:type="dxa"/>
            <w:vAlign w:val="bottom"/>
            <w:gridSpan w:val="4"/>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Operations for the Three and Six Months Ended June 30, 2020 and 2019</w:t>
              </w:r>
            </w:hyperlink>
          </w:p>
        </w:tc>
        <w:tc>
          <w:tcPr>
            <w:tcW w:w="116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9180" w:type="dxa"/>
            <w:vAlign w:val="bottom"/>
            <w:gridSpan w:val="4"/>
          </w:tcPr>
          <w:p>
            <w:pPr>
              <w:spacing w:after="0" w:line="190" w:lineRule="exact"/>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Comprehensive Income for the Three and Six Months Ended June 30, 2020 and</w:t>
              </w:r>
            </w:hyperlink>
          </w:p>
        </w:tc>
        <w:tc>
          <w:tcPr>
            <w:tcW w:w="1160" w:type="dxa"/>
            <w:vAlign w:val="bottom"/>
            <w:vMerge w:val="restart"/>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2019</w:t>
              </w:r>
            </w:hyperlink>
          </w:p>
        </w:tc>
        <w:tc>
          <w:tcPr>
            <w:tcW w:w="824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9180" w:type="dxa"/>
            <w:vAlign w:val="bottom"/>
            <w:gridSpan w:val="4"/>
          </w:tcPr>
          <w:p>
            <w:pPr>
              <w:spacing w:after="0"/>
              <w:rPr>
                <w:rFonts w:ascii="Arial" w:cs="Arial" w:eastAsia="Arial" w:hAnsi="Arial"/>
                <w:sz w:val="18"/>
                <w:szCs w:val="18"/>
                <w:u w:val="single" w:color="auto"/>
                <w:color w:val="0000FF"/>
                <w:w w:val="93"/>
              </w:rPr>
            </w:pPr>
            <w:hyperlink w:anchor="page8">
              <w:r>
                <w:rPr>
                  <w:rFonts w:ascii="Arial" w:cs="Arial" w:eastAsia="Arial" w:hAnsi="Arial"/>
                  <w:sz w:val="18"/>
                  <w:szCs w:val="18"/>
                  <w:u w:val="single" w:color="auto"/>
                  <w:color w:val="0000FF"/>
                  <w:w w:val="93"/>
                </w:rPr>
                <w:t>Condensed Consolidated Statements of Stockholders' Equity for the Three and Six Months Ended June 30, 2020 and 2019</w:t>
              </w:r>
            </w:hyperlink>
          </w:p>
        </w:tc>
        <w:tc>
          <w:tcPr>
            <w:tcW w:w="116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180" w:type="dxa"/>
            <w:vAlign w:val="bottom"/>
            <w:gridSpan w:val="4"/>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Condensed Consolidated Statements of Cash Flows for the Six Months Ended June 30, 2020 and 2019</w:t>
              </w:r>
            </w:hyperlink>
          </w:p>
        </w:tc>
        <w:tc>
          <w:tcPr>
            <w:tcW w:w="1160" w:type="dxa"/>
            <w:vAlign w:val="bottom"/>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180" w:type="dxa"/>
            <w:vAlign w:val="bottom"/>
            <w:gridSpan w:val="4"/>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Notes to Condensed Consolidated Unaudited Financial Statements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12">
              <w:r>
                <w:rPr>
                  <w:rFonts w:ascii="Arial" w:cs="Arial" w:eastAsia="Arial" w:hAnsi="Arial"/>
                  <w:sz w:val="18"/>
                  <w:szCs w:val="18"/>
                  <w:u w:val="single" w:color="auto"/>
                  <w:color w:val="0000FF"/>
                  <w:w w:val="89"/>
                </w:rPr>
                <w:t>10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gridSpan w:val="5"/>
          </w:tcPr>
          <w:p>
            <w:pPr>
              <w:ind w:left="68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 Management’s Discussion and Analysis of Financial Condition and Results of Operations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60" w:type="dxa"/>
            <w:vAlign w:val="bottom"/>
            <w:gridSpan w:val="5"/>
          </w:tcPr>
          <w:p>
            <w:pPr>
              <w:ind w:left="6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 Qualitative and Quantitative Disclosure about Market Risk</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gridSpan w:val="5"/>
          </w:tcPr>
          <w:p>
            <w:pPr>
              <w:ind w:left="6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 Controls and Procedures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60" w:type="dxa"/>
            <w:vAlign w:val="bottom"/>
            <w:gridSpan w:val="5"/>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Part II. Other Information</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60" w:type="dxa"/>
            <w:vAlign w:val="bottom"/>
            <w:gridSpan w:val="5"/>
          </w:tcPr>
          <w:p>
            <w:pPr>
              <w:ind w:left="6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 Legal Proceedings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gridSpan w:val="5"/>
          </w:tcPr>
          <w:p>
            <w:pPr>
              <w:ind w:left="68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1A. Risk Factors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60" w:type="dxa"/>
            <w:vAlign w:val="bottom"/>
            <w:gridSpan w:val="5"/>
          </w:tcPr>
          <w:p>
            <w:pPr>
              <w:ind w:left="68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6. Exhibits</w:t>
              </w:r>
            </w:hyperlink>
          </w:p>
        </w:tc>
        <w:tc>
          <w:tcPr>
            <w:tcW w:w="116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60" w:type="dxa"/>
            <w:vAlign w:val="bottom"/>
            <w:gridSpan w:val="5"/>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Signatures</w:t>
              </w:r>
            </w:hyperlink>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gridSpan w:val="5"/>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Exhibit Index</w:t>
              </w:r>
            </w:hyperlink>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5"/>
        </w:trPr>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Quarterly Report on Form 10-Q for the fiscal quarter ended June 30, 2020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Forward-looking statements include all statements that are not statements of historical facts and can be identified by words such as “anticipates,” “believes,” “seeks,” “estimates,” “expects,” “intends,” “may,” “plans,” “potential,” “predicts, “projects,” “should,” “could,” “will,” “would” or similar expressions and the negatives of those expressions. Forward-looking statements also include the assumptions underlying or relating to such statements. In particular, forward-looking statements contained in this Quarterly Report relate to, among other things:</w:t>
      </w:r>
    </w:p>
    <w:p>
      <w:pPr>
        <w:spacing w:after="0" w:line="87"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or assumed financial condition, results of operations and liquidity;</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forecasts and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trends affecting our business and industry, and the economy as a whole;</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needs and financing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resource allocation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 repurchase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product development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products and Value+ services;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in the size of our business and number of customers;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plans and objectives;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acquisitions and investments;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commitments and contingencies, including with respect to the outcome of legal proceedings or regulatory matters;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application of accounting guidance, including the impact from adoption of recent accounting pronouncements;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of, and our response to, the novel coronavirus ("COVID-19") pandemic.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include all of the forward-looking statements made in this Quarterly Report.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financial performance or liquidity.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discussed in the sections entitled "Management's Discussion and Analysis of Financial Condition and Results of Operations" and "Risk Factors" in this Quarterly Report and in our Annual Report on Form 10-K for the fiscal year ended December 31, 2019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APPFOLIO, INC.</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53,315</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15,813</w:t>
            </w:r>
          </w:p>
        </w:tc>
      </w:tr>
      <w:tr>
        <w:trPr>
          <w:trHeight w:val="224"/>
        </w:trPr>
        <w:tc>
          <w:tcPr>
            <w:tcW w:w="7920" w:type="dxa"/>
            <w:vAlign w:val="bottom"/>
          </w:tcPr>
          <w:p>
            <w:pPr>
              <w:ind w:left="340"/>
              <w:spacing w:after="0"/>
              <w:rPr>
                <w:sz w:val="20"/>
                <w:szCs w:val="20"/>
                <w:color w:val="auto"/>
              </w:rPr>
            </w:pPr>
            <w:r>
              <w:rPr>
                <w:rFonts w:ascii="Arial" w:cs="Arial" w:eastAsia="Arial" w:hAnsi="Arial"/>
                <w:sz w:val="16"/>
                <w:szCs w:val="16"/>
                <w:color w:val="auto"/>
              </w:rPr>
              <w:t>Investment securities—current</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20,930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22,876</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12,663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7,562</w:t>
            </w:r>
          </w:p>
        </w:tc>
      </w:tr>
      <w:tr>
        <w:trPr>
          <w:trHeight w:val="223"/>
        </w:trPr>
        <w:tc>
          <w:tcPr>
            <w:tcW w:w="792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15,836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15,540</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102,744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61,791</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Investment securities—noncurrent</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5,933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12,089</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26,323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14,744</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25,732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27,803</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net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35,218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30,023</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58,425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58,425</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18,911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21,377</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40,711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27,574</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6,354</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6,276</w:t>
            </w:r>
          </w:p>
        </w:tc>
      </w:tr>
      <w:tr>
        <w:trPr>
          <w:trHeight w:val="217"/>
        </w:trPr>
        <w:tc>
          <w:tcPr>
            <w:tcW w:w="792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320,351</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260,102</w:t>
            </w:r>
          </w:p>
        </w:tc>
      </w:tr>
      <w:tr>
        <w:trPr>
          <w:trHeight w:val="33"/>
        </w:trPr>
        <w:tc>
          <w:tcPr>
            <w:tcW w:w="7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1,927</w:t>
            </w:r>
          </w:p>
        </w:tc>
      </w:tr>
      <w:tr>
        <w:trPr>
          <w:trHeight w:val="223"/>
        </w:trPr>
        <w:tc>
          <w:tcPr>
            <w:tcW w:w="7920" w:type="dxa"/>
            <w:vAlign w:val="bottom"/>
          </w:tcPr>
          <w:p>
            <w:pPr>
              <w:ind w:left="340"/>
              <w:spacing w:after="0"/>
              <w:rPr>
                <w:sz w:val="20"/>
                <w:szCs w:val="20"/>
                <w:color w:val="auto"/>
              </w:rPr>
            </w:pPr>
            <w:r>
              <w:rPr>
                <w:rFonts w:ascii="Arial" w:cs="Arial" w:eastAsia="Arial" w:hAnsi="Arial"/>
                <w:sz w:val="16"/>
                <w:szCs w:val="16"/>
                <w:color w:val="auto"/>
              </w:rPr>
              <w:t>Accrued employee expenses</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18,570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17,758</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13,316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10,833</w:t>
            </w:r>
          </w:p>
        </w:tc>
      </w:tr>
      <w:tr>
        <w:trPr>
          <w:trHeight w:val="223"/>
        </w:trPr>
        <w:tc>
          <w:tcPr>
            <w:tcW w:w="79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4,600</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11,139</w:t>
            </w:r>
          </w:p>
        </w:tc>
      </w:tr>
      <w:tr>
        <w:trPr>
          <w:trHeight w:val="223"/>
        </w:trPr>
        <w:tc>
          <w:tcPr>
            <w:tcW w:w="7920" w:type="dxa"/>
            <w:vAlign w:val="bottom"/>
          </w:tcPr>
          <w:p>
            <w:pPr>
              <w:ind w:left="340"/>
              <w:spacing w:after="0"/>
              <w:rPr>
                <w:sz w:val="20"/>
                <w:szCs w:val="20"/>
                <w:color w:val="auto"/>
              </w:rPr>
            </w:pPr>
            <w:r>
              <w:rPr>
                <w:rFonts w:ascii="Arial" w:cs="Arial" w:eastAsia="Arial" w:hAnsi="Arial"/>
                <w:sz w:val="16"/>
                <w:szCs w:val="16"/>
                <w:color w:val="auto"/>
              </w:rPr>
              <w:t>Term loan, net—current portion</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1,833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1,208</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47,307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47,465</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33,394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33,312</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facility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49,000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46,146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47,375</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175,847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128,152</w:t>
            </w:r>
          </w:p>
        </w:tc>
      </w:tr>
      <w:tr>
        <w:trPr>
          <w:trHeight w:val="204"/>
        </w:trPr>
        <w:tc>
          <w:tcPr>
            <w:tcW w:w="792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w w:val="92"/>
              </w:rPr>
              <w:t>Preferred stock, $0.0001 par value, 25,000 shares authorized and no shares issued and outstanding as of June 30, 2020</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920" w:type="dxa"/>
            <w:vAlign w:val="bottom"/>
          </w:tcPr>
          <w:p>
            <w:pPr>
              <w:ind w:left="20"/>
              <w:spacing w:after="0"/>
              <w:rPr>
                <w:sz w:val="20"/>
                <w:szCs w:val="20"/>
                <w:color w:val="auto"/>
              </w:rPr>
            </w:pPr>
            <w:r>
              <w:rPr>
                <w:rFonts w:ascii="Arial" w:cs="Arial" w:eastAsia="Arial" w:hAnsi="Arial"/>
                <w:sz w:val="16"/>
                <w:szCs w:val="16"/>
                <w:color w:val="auto"/>
              </w:rPr>
              <w:t>and December 31, 2019</w:t>
            </w:r>
          </w:p>
        </w:tc>
        <w:tc>
          <w:tcPr>
            <w:tcW w:w="30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Class A common stock, $0.0001 par value, 250,000 shares authorized as of June 30, 2020 and December 31, 2019;</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0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17,371 and 16,923 shares issued as of June 30, 2020 and December 31, 2019, respectively; 16,952 and 16,552 shares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June 30, 2020 and December 31, 2019,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20"/>
        </w:trPr>
        <w:tc>
          <w:tcPr>
            <w:tcW w:w="7920" w:type="dxa"/>
            <w:vAlign w:val="bottom"/>
          </w:tcPr>
          <w:p>
            <w:pPr>
              <w:ind w:left="20"/>
              <w:spacing w:after="0"/>
              <w:rPr>
                <w:sz w:val="20"/>
                <w:szCs w:val="20"/>
                <w:color w:val="auto"/>
              </w:rPr>
            </w:pPr>
            <w:r>
              <w:rPr>
                <w:rFonts w:ascii="Arial" w:cs="Arial" w:eastAsia="Arial" w:hAnsi="Arial"/>
                <w:sz w:val="16"/>
                <w:szCs w:val="16"/>
                <w:color w:val="auto"/>
                <w:w w:val="96"/>
              </w:rPr>
              <w:t>Class B common stock, $0.0001 par value, 50,000 shares authorized as of June 30, 2020 and December 31, 2019;</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920" w:type="dxa"/>
            <w:vAlign w:val="bottom"/>
          </w:tcPr>
          <w:p>
            <w:pPr>
              <w:ind w:left="20"/>
              <w:spacing w:after="0"/>
              <w:rPr>
                <w:sz w:val="20"/>
                <w:szCs w:val="20"/>
                <w:color w:val="auto"/>
              </w:rPr>
            </w:pPr>
            <w:r>
              <w:rPr>
                <w:rFonts w:ascii="Arial" w:cs="Arial" w:eastAsia="Arial" w:hAnsi="Arial"/>
                <w:sz w:val="16"/>
                <w:szCs w:val="16"/>
                <w:color w:val="auto"/>
              </w:rPr>
              <w:t>17,339 and 17,594 shares issued and outstanding as of June 30, 2020 and December 31, 2019, respectively</w:t>
            </w:r>
          </w:p>
        </w:tc>
        <w:tc>
          <w:tcPr>
            <w:tcW w:w="30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156,919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161,509</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33</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Treasury stock, at cost, 419 and 371 shares of Class A common stock as of June 30, 2020 and December 31, 2019,</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(21,562)</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Retained earnings (accumulated deficit)</w:t>
            </w:r>
          </w:p>
        </w:tc>
        <w:tc>
          <w:tcPr>
            <w:tcW w:w="3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13,206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(8,034)</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144,504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131,950</w:t>
            </w:r>
          </w:p>
        </w:tc>
      </w:tr>
      <w:tr>
        <w:trPr>
          <w:trHeight w:val="217"/>
        </w:trPr>
        <w:tc>
          <w:tcPr>
            <w:tcW w:w="7920" w:type="dxa"/>
            <w:vAlign w:val="bottom"/>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320,351</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260,102</w:t>
            </w:r>
          </w:p>
        </w:tc>
      </w:tr>
      <w:tr>
        <w:trPr>
          <w:trHeight w:val="33"/>
        </w:trPr>
        <w:tc>
          <w:tcPr>
            <w:tcW w:w="7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220"/>
          </w:cols>
          <w:pgMar w:left="320" w:top="179" w:right="359" w:bottom="89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892"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6"/>
        </w:trPr>
        <w:tc>
          <w:tcPr>
            <w:tcW w:w="5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81,043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63,624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120,715</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27,411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49,309</w:t>
            </w:r>
          </w:p>
        </w:tc>
      </w:tr>
      <w:tr>
        <w:trPr>
          <w:trHeight w:val="243"/>
        </w:trPr>
        <w:tc>
          <w:tcPr>
            <w:tcW w:w="5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13,717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13,232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28,223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24,451</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17,820</w:t>
            </w:r>
          </w:p>
        </w:tc>
      </w:tr>
      <w:tr>
        <w:trPr>
          <w:trHeight w:val="243"/>
        </w:trPr>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14,785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23,357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16,406</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6,657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10,491</w:t>
            </w:r>
          </w:p>
        </w:tc>
      </w:tr>
      <w:tr>
        <w:trPr>
          <w:trHeight w:val="237"/>
        </w:trPr>
        <w:tc>
          <w:tcPr>
            <w:tcW w:w="5980" w:type="dxa"/>
            <w:vAlign w:val="bottom"/>
          </w:tcPr>
          <w:p>
            <w:pPr>
              <w:ind w:left="660"/>
              <w:spacing w:after="0"/>
              <w:rPr>
                <w:sz w:val="20"/>
                <w:szCs w:val="20"/>
                <w:color w:val="auto"/>
              </w:rPr>
            </w:pPr>
            <w:r>
              <w:rPr>
                <w:rFonts w:ascii="Arial" w:cs="Arial" w:eastAsia="Arial" w:hAnsi="Arial"/>
                <w:sz w:val="18"/>
                <w:szCs w:val="18"/>
                <w:color w:val="auto"/>
              </w:rPr>
              <w:t>Total costs and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74,698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61,328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144,363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118,477</w:t>
            </w:r>
          </w:p>
        </w:tc>
      </w:tr>
      <w:tr>
        <w:trPr>
          <w:trHeight w:val="27"/>
        </w:trPr>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6,345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2,238</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Income before benefit from income taxes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5,773</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1,257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(13,484)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(25,619)</w:t>
            </w:r>
          </w:p>
        </w:tc>
      </w:tr>
      <w:tr>
        <w:trPr>
          <w:trHeight w:val="263"/>
        </w:trPr>
        <w:tc>
          <w:tcPr>
            <w:tcW w:w="5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19,257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23,151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21,240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26,876</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0.79</w:t>
            </w:r>
          </w:p>
        </w:tc>
      </w:tr>
      <w:tr>
        <w:trPr>
          <w:trHeight w:val="243"/>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0.76</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34,254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34,010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34,214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33,962</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35,614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35,412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35,647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35,385</w:t>
            </w:r>
          </w:p>
        </w:tc>
      </w:tr>
      <w:tr>
        <w:trPr>
          <w:trHeight w:val="27"/>
        </w:trPr>
        <w:tc>
          <w:tcPr>
            <w:tcW w:w="5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4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19,257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23,151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21,240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26,876</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unrealized (losses) gains on investment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196</w:t>
            </w:r>
          </w:p>
        </w:tc>
      </w:tr>
      <w:tr>
        <w:trPr>
          <w:trHeight w:val="26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19,223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23,218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21,338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27,072</w:t>
            </w:r>
          </w:p>
        </w:tc>
      </w:tr>
      <w:tr>
        <w:trPr>
          <w:trHeight w:val="21"/>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2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2"/>
        </w:trPr>
        <w:tc>
          <w:tcPr>
            <w:tcW w:w="2440" w:type="dxa"/>
            <w:vAlign w:val="bottom"/>
          </w:tcPr>
          <w:p>
            <w:pPr>
              <w:spacing w:after="0"/>
              <w:rPr>
                <w:sz w:val="17"/>
                <w:szCs w:val="17"/>
                <w:color w:val="auto"/>
              </w:rPr>
            </w:pPr>
          </w:p>
        </w:tc>
        <w:tc>
          <w:tcPr>
            <w:tcW w:w="166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66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8"/>
        </w:trPr>
        <w:tc>
          <w:tcPr>
            <w:tcW w:w="2440" w:type="dxa"/>
            <w:vAlign w:val="bottom"/>
          </w:tcPr>
          <w:p>
            <w:pPr>
              <w:spacing w:after="0"/>
              <w:rPr>
                <w:sz w:val="18"/>
                <w:szCs w:val="18"/>
                <w:color w:val="auto"/>
              </w:rPr>
            </w:pPr>
          </w:p>
        </w:tc>
        <w:tc>
          <w:tcPr>
            <w:tcW w:w="15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8"/>
                <w:szCs w:val="18"/>
                <w:color w:val="auto"/>
              </w:rPr>
            </w:pPr>
          </w:p>
        </w:tc>
        <w:tc>
          <w:tcPr>
            <w:tcW w:w="15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96"/>
        </w:trPr>
        <w:tc>
          <w:tcPr>
            <w:tcW w:w="244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3"/>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6"/>
              </w:rPr>
              <w:t>Balance as of December 31, 2019</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16,552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161,509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6"/>
              </w:rPr>
              <w:t>131,950</w:t>
            </w:r>
          </w:p>
        </w:tc>
      </w:tr>
      <w:tr>
        <w:trPr>
          <w:trHeight w:val="224"/>
        </w:trPr>
        <w:tc>
          <w:tcPr>
            <w:tcW w:w="24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97</w:t>
            </w:r>
          </w:p>
        </w:tc>
      </w:tr>
      <w:tr>
        <w:trPr>
          <w:trHeight w:val="33"/>
        </w:trPr>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1,365</w:t>
            </w:r>
          </w:p>
        </w:tc>
      </w:tr>
      <w:tr>
        <w:trPr>
          <w:trHeight w:val="220"/>
        </w:trPr>
        <w:tc>
          <w:tcPr>
            <w:tcW w:w="2440" w:type="dxa"/>
            <w:vAlign w:val="bottom"/>
          </w:tcPr>
          <w:p>
            <w:pPr>
              <w:spacing w:after="0"/>
              <w:rPr>
                <w:sz w:val="20"/>
                <w:szCs w:val="20"/>
                <w:color w:val="auto"/>
              </w:rPr>
            </w:pPr>
            <w:r>
              <w:rPr>
                <w:rFonts w:ascii="Arial" w:cs="Arial" w:eastAsia="Arial" w:hAnsi="Arial"/>
                <w:sz w:val="16"/>
                <w:szCs w:val="16"/>
                <w:color w:val="auto"/>
                <w:w w:val="95"/>
              </w:rPr>
              <w:t>Vesting of restricted stock units, net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244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(6,458)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(6,458)</w:t>
            </w:r>
          </w:p>
        </w:tc>
      </w:tr>
      <w:tr>
        <w:trPr>
          <w:trHeight w:val="33"/>
        </w:trPr>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w w:val="92"/>
              </w:rPr>
              <w:t>Conversion of Class B stock to Class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stock</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4"/>
        </w:trPr>
        <w:tc>
          <w:tcPr>
            <w:tcW w:w="24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132</w:t>
            </w:r>
          </w:p>
        </w:tc>
      </w:tr>
      <w:tr>
        <w:trPr>
          <w:trHeight w:val="33"/>
        </w:trPr>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(4,194)</w:t>
            </w:r>
          </w:p>
        </w:tc>
      </w:tr>
      <w:tr>
        <w:trPr>
          <w:trHeight w:val="223"/>
        </w:trPr>
        <w:tc>
          <w:tcPr>
            <w:tcW w:w="244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1,983</w:t>
            </w:r>
          </w:p>
        </w:tc>
      </w:tr>
      <w:tr>
        <w:trPr>
          <w:trHeight w:val="33"/>
        </w:trPr>
        <w:tc>
          <w:tcPr>
            <w:tcW w:w="2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2020</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16,670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156,513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6"/>
              </w:rPr>
              <w:t>124,875</w:t>
            </w:r>
          </w:p>
        </w:tc>
      </w:tr>
      <w:tr>
        <w:trPr>
          <w:trHeight w:val="223"/>
        </w:trPr>
        <w:tc>
          <w:tcPr>
            <w:tcW w:w="24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232</w:t>
            </w:r>
          </w:p>
        </w:tc>
      </w:tr>
      <w:tr>
        <w:trPr>
          <w:trHeight w:val="33"/>
        </w:trPr>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6"/>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3,406</w:t>
            </w:r>
          </w:p>
        </w:tc>
      </w:tr>
      <w:tr>
        <w:trPr>
          <w:trHeight w:val="220"/>
        </w:trPr>
        <w:tc>
          <w:tcPr>
            <w:tcW w:w="2440" w:type="dxa"/>
            <w:vAlign w:val="bottom"/>
          </w:tcPr>
          <w:p>
            <w:pPr>
              <w:spacing w:after="0"/>
              <w:rPr>
                <w:sz w:val="20"/>
                <w:szCs w:val="20"/>
                <w:color w:val="auto"/>
              </w:rPr>
            </w:pPr>
            <w:r>
              <w:rPr>
                <w:rFonts w:ascii="Arial" w:cs="Arial" w:eastAsia="Arial" w:hAnsi="Arial"/>
                <w:sz w:val="16"/>
                <w:szCs w:val="16"/>
                <w:color w:val="auto"/>
                <w:w w:val="95"/>
              </w:rPr>
              <w:t>Vesting of restricted stock units, net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244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(3,232)</w:t>
            </w:r>
          </w:p>
        </w:tc>
      </w:tr>
      <w:tr>
        <w:trPr>
          <w:trHeight w:val="33"/>
        </w:trPr>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w w:val="92"/>
              </w:rPr>
              <w:t>Conversion of Class B stock to Class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 stock</w:t>
            </w:r>
          </w:p>
        </w:tc>
        <w:tc>
          <w:tcPr>
            <w:tcW w:w="7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3"/>
        </w:trPr>
        <w:tc>
          <w:tcPr>
            <w:tcW w:w="2440" w:type="dxa"/>
            <w:vAlign w:val="bottom"/>
          </w:tcPr>
          <w:p>
            <w:pPr>
              <w:spacing w:after="0"/>
              <w:rPr>
                <w:sz w:val="20"/>
                <w:szCs w:val="20"/>
                <w:color w:val="auto"/>
              </w:rPr>
            </w:pPr>
            <w:r>
              <w:rPr>
                <w:rFonts w:ascii="Arial" w:cs="Arial" w:eastAsia="Arial" w:hAnsi="Arial"/>
                <w:sz w:val="16"/>
                <w:szCs w:val="16"/>
                <w:color w:val="auto"/>
                <w:w w:val="96"/>
              </w:rPr>
              <w:t>Issuance of restricted stock awards</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33"/>
        </w:trPr>
        <w:tc>
          <w:tcPr>
            <w:tcW w:w="2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23"/>
        </w:trPr>
        <w:tc>
          <w:tcPr>
            <w:tcW w:w="244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19,257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19,257</w:t>
            </w:r>
          </w:p>
        </w:tc>
      </w:tr>
      <w:tr>
        <w:trPr>
          <w:trHeight w:val="33"/>
        </w:trPr>
        <w:tc>
          <w:tcPr>
            <w:tcW w:w="2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6"/>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2020</w:t>
            </w: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16,952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17,339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156,919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(25,756)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13,206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96"/>
              </w:rPr>
              <w:t>144,504</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3"/>
        </w:trPr>
        <w:tc>
          <w:tcPr>
            <w:tcW w:w="2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8"/>
        </w:trPr>
        <w:tc>
          <w:tcPr>
            <w:tcW w:w="23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85"/>
              </w:rPr>
              <w:t>Class A</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8"/>
                <w:szCs w:val="18"/>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196"/>
        </w:trPr>
        <w:tc>
          <w:tcPr>
            <w:tcW w:w="23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r>
      <w:tr>
        <w:trPr>
          <w:trHeight w:val="23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Balance as of December 31, 2018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15,789</w:t>
            </w:r>
          </w:p>
        </w:tc>
        <w:tc>
          <w:tcPr>
            <w:tcW w:w="72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18,109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157,898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(21,562)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91,846</w:t>
            </w:r>
          </w:p>
        </w:tc>
      </w:tr>
      <w:tr>
        <w:trPr>
          <w:trHeight w:val="224"/>
        </w:trPr>
        <w:tc>
          <w:tcPr>
            <w:tcW w:w="23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90</w:t>
            </w:r>
          </w:p>
        </w:tc>
      </w:tr>
      <w:tr>
        <w:trPr>
          <w:trHeight w:val="33"/>
        </w:trPr>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1,831</w:t>
            </w:r>
          </w:p>
        </w:tc>
      </w:tr>
      <w:tr>
        <w:trPr>
          <w:trHeight w:val="220"/>
        </w:trPr>
        <w:tc>
          <w:tcPr>
            <w:tcW w:w="23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net of shares withheld for taxes</w:t>
            </w: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(2,572)</w:t>
            </w:r>
          </w:p>
        </w:tc>
      </w:tr>
      <w:tr>
        <w:trPr>
          <w:trHeight w:val="33"/>
        </w:trPr>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Vesting of early exercised shares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r>
      <w:tr>
        <w:trPr>
          <w:trHeight w:val="220"/>
        </w:trPr>
        <w:tc>
          <w:tcPr>
            <w:tcW w:w="2340" w:type="dxa"/>
            <w:vAlign w:val="bottom"/>
          </w:tcPr>
          <w:p>
            <w:pPr>
              <w:ind w:left="20"/>
              <w:spacing w:after="0"/>
              <w:rPr>
                <w:sz w:val="20"/>
                <w:szCs w:val="20"/>
                <w:color w:val="auto"/>
              </w:rPr>
            </w:pPr>
            <w:r>
              <w:rPr>
                <w:rFonts w:ascii="Arial" w:cs="Arial" w:eastAsia="Arial" w:hAnsi="Arial"/>
                <w:sz w:val="16"/>
                <w:szCs w:val="16"/>
                <w:color w:val="auto"/>
              </w:rPr>
              <w:t>Conversion of Class B stock to</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Class A stock</w:t>
            </w:r>
          </w:p>
        </w:tc>
        <w:tc>
          <w:tcPr>
            <w:tcW w:w="56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w:t>
            </w:r>
          </w:p>
        </w:tc>
      </w:tr>
      <w:tr>
        <w:trPr>
          <w:trHeight w:val="224"/>
        </w:trPr>
        <w:tc>
          <w:tcPr>
            <w:tcW w:w="2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3,725</w:t>
            </w:r>
          </w:p>
        </w:tc>
      </w:tr>
      <w:tr>
        <w:trPr>
          <w:trHeight w:val="33"/>
        </w:trPr>
        <w:tc>
          <w:tcPr>
            <w:tcW w:w="2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2019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15,899</w:t>
            </w:r>
          </w:p>
        </w:tc>
        <w:tc>
          <w:tcPr>
            <w:tcW w:w="72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18,071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157,253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(21,562)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95,055</w:t>
            </w:r>
          </w:p>
        </w:tc>
      </w:tr>
      <w:tr>
        <w:trPr>
          <w:trHeight w:val="224"/>
        </w:trPr>
        <w:tc>
          <w:tcPr>
            <w:tcW w:w="23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109</w:t>
            </w:r>
          </w:p>
        </w:tc>
      </w:tr>
      <w:tr>
        <w:trPr>
          <w:trHeight w:val="33"/>
        </w:trPr>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2,080</w:t>
            </w:r>
          </w:p>
        </w:tc>
      </w:tr>
      <w:tr>
        <w:trPr>
          <w:trHeight w:val="220"/>
        </w:trPr>
        <w:tc>
          <w:tcPr>
            <w:tcW w:w="234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net of shares withheld for taxes</w:t>
            </w: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(2,247)</w:t>
            </w:r>
          </w:p>
        </w:tc>
      </w:tr>
      <w:tr>
        <w:trPr>
          <w:trHeight w:val="33"/>
        </w:trPr>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Class B stock to</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3"/>
        </w:trPr>
        <w:tc>
          <w:tcPr>
            <w:tcW w:w="2340" w:type="dxa"/>
            <w:vAlign w:val="bottom"/>
          </w:tcPr>
          <w:p>
            <w:pPr>
              <w:ind w:left="20"/>
              <w:spacing w:after="0"/>
              <w:rPr>
                <w:sz w:val="20"/>
                <w:szCs w:val="20"/>
                <w:color w:val="auto"/>
              </w:rPr>
            </w:pPr>
            <w:r>
              <w:rPr>
                <w:rFonts w:ascii="Arial" w:cs="Arial" w:eastAsia="Arial" w:hAnsi="Arial"/>
                <w:sz w:val="16"/>
                <w:szCs w:val="16"/>
                <w:color w:val="auto"/>
                <w:w w:val="92"/>
              </w:rPr>
              <w:t>Issuance of restricted stock awards</w:t>
            </w: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2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67</w:t>
            </w:r>
          </w:p>
        </w:tc>
      </w:tr>
      <w:tr>
        <w:trPr>
          <w:trHeight w:val="223"/>
        </w:trPr>
        <w:tc>
          <w:tcPr>
            <w:tcW w:w="2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23,151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23,151</w:t>
            </w:r>
          </w:p>
        </w:tc>
      </w:tr>
      <w:tr>
        <w:trPr>
          <w:trHeight w:val="33"/>
        </w:trPr>
        <w:tc>
          <w:tcPr>
            <w:tcW w:w="2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7"/>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2019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16,086</w:t>
            </w:r>
          </w:p>
        </w:tc>
        <w:tc>
          <w:tcPr>
            <w:tcW w:w="720" w:type="dxa"/>
            <w:vAlign w:val="bottom"/>
            <w:gridSpan w:val="3"/>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17,952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157,195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(21,562)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118,215</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6"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(UNAUDITED)</w:t>
      </w:r>
    </w:p>
    <w:p>
      <w:pPr>
        <w:spacing w:after="0" w:line="8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1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13335</wp:posOffset>
            </wp:positionV>
            <wp:extent cx="1731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21,240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26,876</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10,491</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1,928</w:t>
            </w:r>
          </w:p>
        </w:tc>
      </w:tr>
      <w:tr>
        <w:trPr>
          <w:trHeight w:val="243"/>
        </w:trPr>
        <w:tc>
          <w:tcPr>
            <w:tcW w:w="85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(25,643)</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3,239</w:t>
            </w:r>
          </w:p>
        </w:tc>
      </w:tr>
      <w:tr>
        <w:trPr>
          <w:trHeight w:val="243"/>
        </w:trPr>
        <w:tc>
          <w:tcPr>
            <w:tcW w:w="85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108</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(2,695)</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(5,199)</w:t>
            </w:r>
          </w:p>
        </w:tc>
      </w:tr>
      <w:tr>
        <w:trPr>
          <w:trHeight w:val="243"/>
        </w:trPr>
        <w:tc>
          <w:tcPr>
            <w:tcW w:w="852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1,254</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w:t>
            </w:r>
          </w:p>
        </w:tc>
      </w:tr>
      <w:tr>
        <w:trPr>
          <w:trHeight w:val="243"/>
        </w:trPr>
        <w:tc>
          <w:tcPr>
            <w:tcW w:w="8520" w:type="dxa"/>
            <w:vAlign w:val="bottom"/>
          </w:tcPr>
          <w:p>
            <w:pPr>
              <w:ind w:left="660"/>
              <w:spacing w:after="0"/>
              <w:rPr>
                <w:sz w:val="20"/>
                <w:szCs w:val="20"/>
                <w:color w:val="auto"/>
              </w:rPr>
            </w:pPr>
            <w:r>
              <w:rPr>
                <w:rFonts w:ascii="Arial" w:cs="Arial" w:eastAsia="Arial" w:hAnsi="Arial"/>
                <w:sz w:val="18"/>
                <w:szCs w:val="18"/>
                <w:color w:val="auto"/>
              </w:rPr>
              <w:t>Accrued employee expenses</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680</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1,384</w:t>
            </w:r>
          </w:p>
        </w:tc>
      </w:tr>
      <w:tr>
        <w:trPr>
          <w:trHeight w:val="243"/>
        </w:trPr>
        <w:tc>
          <w:tcPr>
            <w:tcW w:w="8520" w:type="dxa"/>
            <w:vAlign w:val="bottom"/>
          </w:tcPr>
          <w:p>
            <w:pPr>
              <w:ind w:left="6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581</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w:t>
            </w:r>
          </w:p>
        </w:tc>
      </w:tr>
      <w:tr>
        <w:trPr>
          <w:trHeight w:val="243"/>
        </w:trPr>
        <w:tc>
          <w:tcPr>
            <w:tcW w:w="8520" w:type="dxa"/>
            <w:vAlign w:val="bottom"/>
          </w:tcPr>
          <w:p>
            <w:pPr>
              <w:ind w:left="6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380</w:t>
            </w:r>
          </w:p>
        </w:tc>
      </w:tr>
      <w:tr>
        <w:trPr>
          <w:trHeight w:val="27"/>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5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27,376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11,813</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Cash from investing activities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available-for-sale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investments</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13,942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1,750</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maturities of available-for-sale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4,000</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Purchases of property, equipment and intangible assets</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(2,425)</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capitalized software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(9,420)</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Cash paid in business acquisition, net of cash acquired</w:t>
            </w:r>
          </w:p>
        </w:tc>
        <w:tc>
          <w:tcPr>
            <w:tcW w:w="3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(54,004)</w:t>
            </w:r>
          </w:p>
        </w:tc>
      </w:tr>
      <w:tr>
        <w:trPr>
          <w:trHeight w:val="27"/>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5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(60,777)</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Cash from financing activities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Tax withholding for net share settlement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(4,751)</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50,190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1,169</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6"/>
        </w:trPr>
        <w:tc>
          <w:tcPr>
            <w:tcW w:w="8520" w:type="dxa"/>
            <w:vAlign w:val="bottom"/>
          </w:tcPr>
          <w:p>
            <w:pPr>
              <w:ind w:left="110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28,840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(5,597)</w:t>
            </w:r>
          </w:p>
        </w:tc>
      </w:tr>
      <w:tr>
        <w:trPr>
          <w:trHeight w:val="27"/>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(54,561)</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74,506</w:t>
            </w:r>
          </w:p>
        </w:tc>
      </w:tr>
      <w:tr>
        <w:trPr>
          <w:trHeight w:val="236"/>
        </w:trPr>
        <w:tc>
          <w:tcPr>
            <w:tcW w:w="85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53,751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19,945</w:t>
            </w:r>
          </w:p>
        </w:tc>
      </w:tr>
      <w:tr>
        <w:trPr>
          <w:trHeight w:val="27"/>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6"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(UNAUDITED)</w:t>
      </w:r>
    </w:p>
    <w:p>
      <w:pPr>
        <w:spacing w:after="0" w:line="8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1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13335</wp:posOffset>
            </wp:positionV>
            <wp:extent cx="1731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
        </w:trPr>
        <w:tc>
          <w:tcPr>
            <w:tcW w:w="8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8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Additions of capitalized software included in accrued and accrued employee expenses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capitalized for software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Tax withholding for net share settlement included in accrued employee expenses</w:t>
            </w:r>
          </w:p>
        </w:tc>
        <w:tc>
          <w:tcPr>
            <w:tcW w:w="3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consideration for acquisitions included in other current liabilities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8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65"/>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4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53,315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19,514</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Pr>
          <w:p>
            <w:pPr>
              <w:spacing w:after="0"/>
              <w:rPr>
                <w:sz w:val="21"/>
                <w:szCs w:val="21"/>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431</w:t>
            </w:r>
          </w:p>
        </w:tc>
      </w:tr>
      <w:tr>
        <w:trPr>
          <w:trHeight w:val="27"/>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53,751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19,945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6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AppFolio, Inc.'s (the "Company," “we,” "us" or "our") mission is to revolutionize vertical industry businesses by providing great software and services. Today we offer industry-specific, cloud-based business software solutions, services and data analytics to the real estate market, which represents approximately 90% of our revenue, and, to a lesser extent, to the legal market. Although specific functionality varies by product, our core solutions address common business operations and interactions of our customers' businesses. In addition to our core solutions, we offer a range of optional, but often business-critical, Value+ services. Our Value+ services are built to enhance, automate and streamline processes and support workflows essential to our customers' businesses.</w:t>
      </w:r>
    </w:p>
    <w:p>
      <w:pPr>
        <w:spacing w:after="0" w:line="8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Our real estate software solutions provide our property management customers with a system of record to automate essential business processes, a system of engagement to enhance business interactions between our customers and their clients and other stakeholders, and a system of intelligence to leverage data to predict and optimize business workflows that enable superior customer experiences and increase efficiency across our customers' businesses. We also provide software solutions to the legal market that enable law firms to administer their practice and manage their caseloads more efficiently by centralizing case details in a single system of record and system of engagement.</w:t>
      </w:r>
    </w:p>
    <w:p>
      <w:pPr>
        <w:spacing w:after="0" w:line="80" w:lineRule="exact"/>
        <w:rPr>
          <w:sz w:val="20"/>
          <w:szCs w:val="20"/>
          <w:color w:val="auto"/>
        </w:rPr>
      </w:pPr>
    </w:p>
    <w:p>
      <w:pPr>
        <w:jc w:val="both"/>
        <w:ind w:firstLine="497"/>
        <w:spacing w:after="0" w:line="259" w:lineRule="auto"/>
        <w:rPr>
          <w:sz w:val="20"/>
          <w:szCs w:val="20"/>
          <w:color w:val="auto"/>
        </w:rPr>
      </w:pPr>
      <w:r>
        <w:rPr>
          <w:rFonts w:ascii="Arial" w:cs="Arial" w:eastAsia="Arial" w:hAnsi="Arial"/>
          <w:sz w:val="18"/>
          <w:szCs w:val="18"/>
          <w:color w:val="auto"/>
        </w:rPr>
        <w:t>The significant majority of our customers in the real estate market use our property management solutions. Our property management customers include third-party property managers and owner-operators who manage single- and multi-family residences, community associations, commercial properties, and student housing, as well as mixed real estate portfolios. Our legal customers are typically small law firms that directly and indirectly account for approximately 10% of our annual revenue.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on Form 10-K for the fiscal year ended December 31, 2019 ("Annual Report"), filed with the Securities and Exchange Commission ("SEC") on March 2, 2020.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six months ended June 30, 2020 are not necessarily indicative of the results expected for the full year ending December 31, 2020.</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reclassified certain amounts in our Condensed Consolidated Balance Sheets and Condensed Consolidated Statements of Cash Flows within the cash from investing activities section in the prior year to conform to the current year's presentation.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Except as described below under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there have been no significant changes in our accounting policies from those disclosed in our annual consolidated financial statements and the related notes included in our Annual Report.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Assets and liabilities which are subject to judgment and use of estimates include the fair value of assets and liabilities assumed in business combinations, fair value of financial instruments, capitalized software costs, period of benefit associated with deferred costs, incremental borrowing rate used to measure operating lease liabilities, the recoverability of goodwill and long-lived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useful lives associated with property and equipment and intangible assets, contingencies, and valuation and assumptions underlying stock-based compensation and other equity instruments.</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During early calendar year 2020, the novel coronavirus disease, referred to as COVID-19, spread globally, including to every state in the United States. The global pandemic has created and may continue to create significant uncertainty in a wide variety of industries and markets and has prompted many federal, state, local, and foreign governments to put in place “shelter-in-place” orders and similar government orders and restrictions in an attempt to control the spread and mitigate the impact of the disease, which may reduce demand for our core solutions and/or Value+ services, impact the productivity of our workforce, reduce our access to capital, and harm our business and results of operations.</w:t>
      </w:r>
    </w:p>
    <w:p>
      <w:pPr>
        <w:spacing w:after="0" w:line="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light of the unknown duration and severity of COVID-19, we face a greater degree of uncertainty than normal in making the judgments and estimates needed to apply our significant accounting policies. We assessed certain accounting matters that generally require consideration of forecasted financial information in context with the information reasonably available to us and the unknown future impacts of COVID-19 as of June 30, 2020 and through the date of this report. The accounting matters assessed included, but were not limited to, our allowance for credit losses, the carrying value of goodwill and other long-lived assets, performance-based compensation and income taxes.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our Condensed Consolidated Financial Statements, we are not aware of any specific event or circumstance that would require us to update our estimates or judgments or to revise the carrying value of our assets or liabilities. However, these estimates and judgments may change as new events occur and additional information is obtained, which may result in changes being recognized in our consolidated financial statements in future periods. While we considered the effects of COVID-19 in our estimates and assumptions, due to the level of uncertainty regarding the economic and operational impacts of COVID-19 on our business, there may be other judgments and assumptions that we have not considered. Such judgments and assumptions could result in a meaningful impact on our financial statements in future periods. Actual results could differ from those estimates and any such differences may have a material impact on our financial statements.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income per common share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2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690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34,015</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33,967</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34,254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34,010</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34,214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33,962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Plus: Weighted average options, restricted stock units and restricted shares used to compute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20"/>
                <w:szCs w:val="20"/>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35,614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35,412</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35,647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8"/>
              </w:rPr>
              <w:t>35,385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2020 and 2019, an aggregate of 146,000 and 363,000 shares, respectively, underlying performance-based stock options ("PSOs") and performance-based restricted stock units ("PSUs") were not included in the computations of diluted and anti-dilutive shares as they are considered contingently issuable upon the satisfaction of pre-defined performance measures and their respective performance measures have not been met.</w:t>
      </w:r>
    </w:p>
    <w:p>
      <w:pPr>
        <w:spacing w:after="0" w:line="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Restricted stock units ("RSUs") with anti-dilutive effect were excluded from the calculation of weighted average number of shares used to compute diluted net income per common share and they were not material for the three and six months ended June 30, 2020 and 2019.</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amends the current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We adopted ASU 2016-13 on January 1, 2020. The adoption of this guidance did not have a material impact on our financial condition, results of operations, cash flows or disclosures.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 series of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We adopted ASU 2018-15 on January 1, 2020. The adoption of this guidance did not have a material impact on our financial condition, results of operations, cash flows or disclosures.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ASU 2019-12 is effective for public business entities for fiscal years, and interim periods within those years, beginning after December 15, 2020. We do not expect the adoption of this guidance to have a material impact on our financial condition, results of operations, cash flows or disclosures.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This guidance is intended to provide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This guidance is effective beginning March 12, 2020, and we may elect to apply the amendments prospectively through December 31, 2022. We are currently evaluating the effect of the adoption of this guidance on our financial condition, results of operations, cash flows and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Acquisition of Dynasty</w:t>
      </w:r>
    </w:p>
    <w:p>
      <w:pPr>
        <w:spacing w:after="0" w:line="63" w:lineRule="exact"/>
        <w:rPr>
          <w:sz w:val="20"/>
          <w:szCs w:val="20"/>
          <w:color w:val="auto"/>
        </w:rPr>
      </w:pPr>
    </w:p>
    <w:p>
      <w:pPr>
        <w:jc w:val="both"/>
        <w:ind w:firstLine="363"/>
        <w:spacing w:after="0" w:line="296" w:lineRule="auto"/>
        <w:rPr>
          <w:sz w:val="20"/>
          <w:szCs w:val="20"/>
          <w:color w:val="auto"/>
        </w:rPr>
      </w:pPr>
      <w:r>
        <w:rPr>
          <w:rFonts w:ascii="Arial" w:cs="Arial" w:eastAsia="Arial" w:hAnsi="Arial"/>
          <w:sz w:val="16"/>
          <w:szCs w:val="16"/>
          <w:color w:val="auto"/>
        </w:rPr>
        <w:t>On January 7, 2019, we acquired 100% of the voting equity interest of Dynasty Marketplace, Inc. ("Dynasty") for $60.2 million, of which $6.0 million (the "Holdback Amount") was retained by the Company to satisfy any such adjustments, including without limitation certain indemnification claims. The balance of the Holdback Amount, less any amount retained with respect to any unresolved indemnification claims, was released to the stockholders of Dynasty on January 10, 2020 in accordance with the terms of the purchase agreement. Dynasty is a provider of advanced artificial intelligence solutions for the real estate market, which automate leasing communications, replace manual tasks and help customers grow their portfolios.</w:t>
      </w:r>
    </w:p>
    <w:p>
      <w:pPr>
        <w:spacing w:after="0" w:line="53" w:lineRule="exact"/>
        <w:rPr>
          <w:sz w:val="20"/>
          <w:szCs w:val="20"/>
          <w:color w:val="auto"/>
        </w:rPr>
      </w:pPr>
    </w:p>
    <w:p>
      <w:pPr>
        <w:jc w:val="both"/>
        <w:ind w:firstLine="547"/>
        <w:spacing w:after="0" w:line="273" w:lineRule="auto"/>
        <w:rPr>
          <w:sz w:val="20"/>
          <w:szCs w:val="20"/>
          <w:color w:val="auto"/>
        </w:rPr>
      </w:pPr>
      <w:r>
        <w:rPr>
          <w:rFonts w:ascii="Arial" w:cs="Arial" w:eastAsia="Arial" w:hAnsi="Arial"/>
          <w:sz w:val="17"/>
          <w:szCs w:val="17"/>
          <w:color w:val="auto"/>
        </w:rPr>
        <w:t>The transaction was accounted for using the acquisition method and, as a result, assets acquired and liabilities assumed were recorded at their estimated fair values as of the acquisition date. Determining the fair value of assets acquired and liabilities assumed requires management to make significant judgments and estimates, including the selection of valuation methodologies and comparable companies, estimates of future revenue and cash flows, discount rates, and the software decay rate and database ramp up rate. The following table summarizes the final purchase price allocation (in thousands), as well as the estimated useful lives of the acquired intangible assets over which they are amortized on a straight-line basis, as this approximates the pattern in which we expect the economic benefits will be consumed: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92"/>
        </w:trPr>
        <w:tc>
          <w:tcPr>
            <w:tcW w:w="80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49"/>
        </w:trPr>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gridSpan w:val="2"/>
          </w:tcPr>
          <w:p>
            <w:pPr>
              <w:spacing w:after="0"/>
              <w:rPr>
                <w:sz w:val="20"/>
                <w:szCs w:val="20"/>
                <w:color w:val="auto"/>
              </w:rPr>
            </w:pPr>
            <w:r>
              <w:rPr>
                <w:rFonts w:ascii="Arial" w:cs="Arial" w:eastAsia="Arial" w:hAnsi="Arial"/>
                <w:sz w:val="18"/>
                <w:szCs w:val="18"/>
                <w:color w:val="auto"/>
              </w:rPr>
              <w:t>Identified intangible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5,730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4.0</w:t>
            </w:r>
          </w:p>
        </w:tc>
      </w:tr>
      <w:tr>
        <w:trPr>
          <w:trHeight w:val="243"/>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Database</w:t>
            </w:r>
          </w:p>
        </w:tc>
        <w:tc>
          <w:tcPr>
            <w:tcW w:w="2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4,710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43"/>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Backlog</w:t>
            </w:r>
          </w:p>
        </w:tc>
        <w:tc>
          <w:tcPr>
            <w:tcW w:w="2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470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1.0</w:t>
            </w: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Trademark &amp; trade name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8140" w:type="dxa"/>
            <w:vAlign w:val="bottom"/>
            <w:gridSpan w:val="2"/>
          </w:tcPr>
          <w:p>
            <w:pPr>
              <w:ind w:left="200"/>
              <w:spacing w:after="0"/>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7,340</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5.0</w:t>
            </w:r>
          </w:p>
        </w:tc>
      </w:tr>
      <w:tr>
        <w:trPr>
          <w:trHeight w:val="27"/>
        </w:trPr>
        <w:tc>
          <w:tcPr>
            <w:tcW w:w="8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3"/>
        </w:trPr>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20,750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6.0</w:t>
            </w:r>
          </w:p>
        </w:tc>
      </w:tr>
      <w:tr>
        <w:trPr>
          <w:trHeight w:val="243"/>
        </w:trPr>
        <w:tc>
          <w:tcPr>
            <w:tcW w:w="8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42,877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8140" w:type="dxa"/>
            <w:vAlign w:val="bottom"/>
            <w:gridSpan w:val="2"/>
          </w:tcPr>
          <w:p>
            <w:pPr>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63,967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0"/>
        </w:trPr>
        <w:tc>
          <w:tcPr>
            <w:tcW w:w="8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8140" w:type="dxa"/>
            <w:vAlign w:val="bottom"/>
            <w:gridSpan w:val="2"/>
          </w:tcPr>
          <w:p>
            <w:pPr>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814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60,208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371"/>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non-deductible for U.S. federal income tax purposes.</w:t>
      </w:r>
    </w:p>
    <w:p>
      <w:pPr>
        <w:spacing w:after="0" w:line="62" w:lineRule="exact"/>
        <w:rPr>
          <w:sz w:val="20"/>
          <w:szCs w:val="20"/>
          <w:color w:val="auto"/>
        </w:rPr>
      </w:pPr>
    </w:p>
    <w:p>
      <w:pPr>
        <w:jc w:val="both"/>
        <w:ind w:firstLine="370"/>
        <w:spacing w:after="0" w:line="277" w:lineRule="auto"/>
        <w:rPr>
          <w:sz w:val="20"/>
          <w:szCs w:val="20"/>
          <w:color w:val="auto"/>
        </w:rPr>
      </w:pPr>
      <w:r>
        <w:rPr>
          <w:rFonts w:ascii="Arial" w:cs="Arial" w:eastAsia="Arial" w:hAnsi="Arial"/>
          <w:sz w:val="18"/>
          <w:szCs w:val="18"/>
          <w:color w:val="auto"/>
        </w:rPr>
        <w:t>We incurred a total of $0.3 million in transaction costs related to the acquisition and expensed all transaction costs incurred during the period in which such service was received.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117" w:lineRule="exact"/>
        <w:rPr>
          <w:sz w:val="20"/>
          <w:szCs w:val="20"/>
          <w:color w:val="auto"/>
        </w:rPr>
      </w:pPr>
    </w:p>
    <w:p>
      <w:pPr>
        <w:jc w:val="both"/>
        <w:ind w:firstLine="539"/>
        <w:spacing w:after="0" w:line="255" w:lineRule="auto"/>
        <w:rPr>
          <w:sz w:val="20"/>
          <w:szCs w:val="20"/>
          <w:color w:val="auto"/>
        </w:rPr>
      </w:pPr>
      <w:r>
        <w:rPr>
          <w:rFonts w:ascii="Arial" w:cs="Arial" w:eastAsia="Arial" w:hAnsi="Arial"/>
          <w:sz w:val="18"/>
          <w:szCs w:val="18"/>
          <w:color w:val="auto"/>
        </w:rPr>
        <w:t>The following unaudited pro forma information has been prepared for illustrative purposes only, and assumes that the aforementioned Dynasty acquisition occurred on January 1, 2018,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0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81,043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63,624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153,538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120,750</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19,257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23,479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21,240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22,933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7040" w:hanging="652"/>
        <w:spacing w:after="0" w:line="378"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Investment securities classified as available-for-sale consisted of the following as of June 30, 2020 and December 31, 2019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2"/>
              </w:rPr>
              <w:t>June 30, 2020</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3"/>
                <w:szCs w:val="13"/>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22,223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63"/>
        </w:trPr>
        <w:tc>
          <w:tcPr>
            <w:tcW w:w="492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26,721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26,863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91"/>
              </w:rPr>
              <w:t>December 31, 2019</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64"/>
        </w:trPr>
        <w:tc>
          <w:tcPr>
            <w:tcW w:w="492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34,920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34,965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June 30, 2020.</w:t>
      </w:r>
    </w:p>
    <w:p>
      <w:pPr>
        <w:spacing w:after="0" w:line="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and December 31, 2019, the contractual maturities of our investments did not exceed 36 months. The fair values of available-for-sale investment securities, by remaining contractual maturity, are as follows (in thousands):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June 30, 2020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December 31, 2019</w:t>
            </w:r>
          </w:p>
        </w:tc>
        <w:tc>
          <w:tcPr>
            <w:tcW w:w="80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Estimated Fair Value</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4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22,846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22,876</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Pr>
          <w:p>
            <w:pPr>
              <w:spacing w:after="0"/>
              <w:rPr>
                <w:sz w:val="21"/>
                <w:szCs w:val="21"/>
                <w:color w:val="auto"/>
              </w:rPr>
            </w:pPr>
          </w:p>
        </w:tc>
        <w:tc>
          <w:tcPr>
            <w:tcW w:w="1300" w:type="dxa"/>
            <w:vAlign w:val="bottom"/>
          </w:tcPr>
          <w:p>
            <w:pPr>
              <w:jc w:val="right"/>
              <w:ind w:right="57"/>
              <w:spacing w:after="0"/>
              <w:rPr>
                <w:sz w:val="20"/>
                <w:szCs w:val="20"/>
                <w:color w:val="auto"/>
              </w:rPr>
            </w:pPr>
            <w:r>
              <w:rPr>
                <w:rFonts w:ascii="Arial" w:cs="Arial" w:eastAsia="Arial" w:hAnsi="Arial"/>
                <w:sz w:val="18"/>
                <w:szCs w:val="18"/>
                <w:color w:val="auto"/>
              </w:rPr>
              <w:t>5,834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12,074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12,089</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26,721</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26,863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34,920</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34,965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During the six months ended June 30, 2020 and 2019, we had sales and maturities (which include calls) of investment securities, as follows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5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Gross Realized Gains</w:t>
            </w:r>
          </w:p>
        </w:tc>
        <w:tc>
          <w:tcPr>
            <w:tcW w:w="100" w:type="dxa"/>
            <w:vAlign w:val="bottom"/>
            <w:vMerge w:val="restart"/>
          </w:tcPr>
          <w:p>
            <w:pPr>
              <w:spacing w:after="0"/>
              <w:rPr>
                <w:sz w:val="13"/>
                <w:szCs w:val="13"/>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2"/>
              </w:rPr>
              <w:t>Gross Realized Losses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Gross Proceeds from</w:t>
            </w:r>
          </w:p>
        </w:tc>
        <w:tc>
          <w:tcPr>
            <w:tcW w:w="120" w:type="dxa"/>
            <w:vAlign w:val="bottom"/>
          </w:tcPr>
          <w:p>
            <w:pPr>
              <w:spacing w:after="0"/>
              <w:rPr>
                <w:sz w:val="13"/>
                <w:szCs w:val="13"/>
                <w:color w:val="auto"/>
              </w:rPr>
            </w:pPr>
          </w:p>
        </w:tc>
        <w:tc>
          <w:tcPr>
            <w:tcW w:w="14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w w:val="98"/>
              </w:rPr>
              <w:t>Gross Proceeds from</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Maturities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4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7,750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 2019</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7"/>
              </w:rPr>
              <w:t>Gross Realized Gains</w:t>
            </w:r>
          </w:p>
        </w:tc>
        <w:tc>
          <w:tcPr>
            <w:tcW w:w="100" w:type="dxa"/>
            <w:vAlign w:val="bottom"/>
            <w:vMerge w:val="restart"/>
          </w:tcPr>
          <w:p>
            <w:pPr>
              <w:spacing w:after="0"/>
              <w:rPr>
                <w:sz w:val="13"/>
                <w:szCs w:val="13"/>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2"/>
              </w:rPr>
              <w:t>Gross Realized Losses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Gross Proceeds from</w:t>
            </w:r>
          </w:p>
        </w:tc>
        <w:tc>
          <w:tcPr>
            <w:tcW w:w="120" w:type="dxa"/>
            <w:vAlign w:val="bottom"/>
          </w:tcPr>
          <w:p>
            <w:pPr>
              <w:spacing w:after="0"/>
              <w:rPr>
                <w:sz w:val="13"/>
                <w:szCs w:val="13"/>
                <w:color w:val="auto"/>
              </w:rPr>
            </w:pPr>
          </w:p>
        </w:tc>
        <w:tc>
          <w:tcPr>
            <w:tcW w:w="1400" w:type="dxa"/>
            <w:vAlign w:val="bottom"/>
          </w:tcPr>
          <w:p>
            <w:pPr>
              <w:jc w:val="right"/>
              <w:ind w:right="37"/>
              <w:spacing w:after="0" w:line="153"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4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64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0" w:type="dxa"/>
            <w:vAlign w:val="bottom"/>
          </w:tcPr>
          <w:p>
            <w:pPr>
              <w:jc w:val="right"/>
              <w:ind w:right="77"/>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7"/>
          <w:szCs w:val="17"/>
          <w:color w:val="auto"/>
        </w:rPr>
        <w:t>Interest income, net of the amortization and accretion of the premium and discount, was $0.1 million and $0.2 million for the three months ended June 30, 2020 and 2019, respectively, and $0.2 million and $0.3 million for the six months ended June 30, 2020 and 2019, respectively.</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ind w:firstLine="603"/>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June 30, 2020 and December 31, 2019 by level within the fair value hierarchy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 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0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6"/>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12,496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Agency securities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Treasury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6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38,639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43,182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4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0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6"/>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9,614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Agency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43"/>
        </w:trPr>
        <w:tc>
          <w:tcPr>
            <w:tcW w:w="4820" w:type="dxa"/>
            <w:vAlign w:val="bottom"/>
          </w:tcPr>
          <w:p>
            <w:pPr>
              <w:ind w:left="220"/>
              <w:spacing w:after="0"/>
              <w:rPr>
                <w:sz w:val="20"/>
                <w:szCs w:val="20"/>
                <w:color w:val="auto"/>
              </w:rPr>
            </w:pPr>
            <w:r>
              <w:rPr>
                <w:rFonts w:ascii="Arial" w:cs="Arial" w:eastAsia="Arial" w:hAnsi="Arial"/>
                <w:sz w:val="18"/>
                <w:szCs w:val="18"/>
                <w:color w:val="auto"/>
              </w:rPr>
              <w:t>Treasury securities</w:t>
            </w:r>
          </w:p>
        </w:tc>
        <w:tc>
          <w:tcPr>
            <w:tcW w:w="3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14,233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14,570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20,732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35,302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equivalents, restricted cash, accounts receivable, accounts payable and accrued liabilities approximate fair value because of the short maturity of these items.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estimated fair value of the $50.0 million term loan issued by Wells Fargo Bank, National Association ("Wells Fargo"), as administrative agent, and the lenders that are parties thereto ("Term Loan") and the $50.0 million revolving credit facility made available to us by Wells Fargo and the lenders that are parties thereto ("Revolving Facility," and, together with the Term Loan, the "Credit Facility"), approximate their carrying values due to the variable interest rates. We consider the fair value of the Term Loan and the Revolving Facility to be Level 2 measurements as these debt instruments are not actively traded. We carry the Term Loan at face value less the unamortized discount. Refer to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Condensed Consolidated Financial Statements for more information about our Term Loan and Revolving Facility.</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six months ended June 30, 2020. The valuation techniques for the financial assets in the tables above are as follows: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2020 and December 31, 2019, cash equivalents include cash invested in money market funds and treasury securities with a maturity of three months or less. Fair value is based on market prices for identical assets.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assets, including goodwill, intangible assets and our note receivable with SecureDocs, Inc., are also subject to measurement at fair value on a non-recurring basis using Level 3 measurement, but only when they are deemed to be impaired. For the six months ended June 30, 2020 and 2019, no impairments were identified on those assets required to be measured at fair value on a non-recurring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Internal-Use Software Development Costs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Internal-use software development costs as of June 30, 2020 and December 31, 2019 were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 use software development costs, gross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center"/>
              <w:ind w:left="297"/>
              <w:spacing w:after="0"/>
              <w:rPr>
                <w:sz w:val="20"/>
                <w:szCs w:val="20"/>
                <w:color w:val="auto"/>
              </w:rPr>
            </w:pPr>
            <w:r>
              <w:rPr>
                <w:rFonts w:ascii="Arial" w:cs="Arial" w:eastAsia="Arial" w:hAnsi="Arial"/>
                <w:sz w:val="18"/>
                <w:szCs w:val="18"/>
                <w:color w:val="auto"/>
                <w:w w:val="87"/>
              </w:rPr>
              <w:t>95,338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90"/>
              </w:rPr>
              <w:t>81,475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Pr>
          <w:p>
            <w:pPr>
              <w:spacing w:after="0"/>
              <w:rPr>
                <w:sz w:val="21"/>
                <w:szCs w:val="21"/>
                <w:color w:val="auto"/>
              </w:rPr>
            </w:pPr>
          </w:p>
        </w:tc>
        <w:tc>
          <w:tcPr>
            <w:tcW w:w="1180" w:type="dxa"/>
            <w:vAlign w:val="bottom"/>
          </w:tcPr>
          <w:p>
            <w:pPr>
              <w:jc w:val="center"/>
              <w:ind w:left="277"/>
              <w:spacing w:after="0"/>
              <w:rPr>
                <w:sz w:val="20"/>
                <w:szCs w:val="20"/>
                <w:color w:val="auto"/>
              </w:rPr>
            </w:pPr>
            <w:r>
              <w:rPr>
                <w:rFonts w:ascii="Arial" w:cs="Arial" w:eastAsia="Arial" w:hAnsi="Arial"/>
                <w:sz w:val="18"/>
                <w:szCs w:val="18"/>
                <w:color w:val="auto"/>
                <w:w w:val="92"/>
              </w:rPr>
              <w:t>(60,120)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center"/>
              <w:ind w:left="357"/>
              <w:spacing w:after="0"/>
              <w:rPr>
                <w:sz w:val="20"/>
                <w:szCs w:val="20"/>
                <w:color w:val="auto"/>
              </w:rPr>
            </w:pPr>
            <w:r>
              <w:rPr>
                <w:rFonts w:ascii="Arial" w:cs="Arial" w:eastAsia="Arial" w:hAnsi="Arial"/>
                <w:sz w:val="18"/>
                <w:szCs w:val="18"/>
                <w:color w:val="auto"/>
                <w:w w:val="89"/>
              </w:rPr>
              <w:t>(51,452)</w:t>
            </w: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 use software development costs,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center"/>
              <w:ind w:left="297"/>
              <w:spacing w:after="0"/>
              <w:rPr>
                <w:sz w:val="20"/>
                <w:szCs w:val="20"/>
                <w:color w:val="auto"/>
              </w:rPr>
            </w:pPr>
            <w:r>
              <w:rPr>
                <w:rFonts w:ascii="Arial" w:cs="Arial" w:eastAsia="Arial" w:hAnsi="Arial"/>
                <w:sz w:val="18"/>
                <w:szCs w:val="18"/>
                <w:color w:val="auto"/>
                <w:w w:val="87"/>
              </w:rPr>
              <w:t>35,218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90"/>
              </w:rPr>
              <w:t>30,023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75"/>
        <w:spacing w:after="0" w:line="259" w:lineRule="auto"/>
        <w:rPr>
          <w:sz w:val="20"/>
          <w:szCs w:val="20"/>
          <w:color w:val="auto"/>
        </w:rPr>
      </w:pPr>
      <w:r>
        <w:rPr>
          <w:rFonts w:ascii="Arial" w:cs="Arial" w:eastAsia="Arial" w:hAnsi="Arial"/>
          <w:sz w:val="18"/>
          <w:szCs w:val="18"/>
          <w:color w:val="auto"/>
        </w:rPr>
        <w:t>Capitalized software development costs were $7.1 million and $5.7 million for the three months ended June 30, 2020 and 2019, respectively, and $13.8 million and $10.6 million for the six months ended June 30, 2020 and 2019, respectively. Amortization expense with respect to software development costs totaled $4.5 million and $3.4 million for the three months ended June 30, 2020 and 2019, respectively, and $8.7 million and $6.4 million for the six months ended June 30, 2020 and 2019,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amortization expense with respect to capitalized software development costs as of June 30, 2020 is estimated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3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2021</w:t>
            </w:r>
          </w:p>
        </w:tc>
        <w:tc>
          <w:tcPr>
            <w:tcW w:w="5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15,359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2023</w:t>
            </w:r>
          </w:p>
        </w:tc>
        <w:tc>
          <w:tcPr>
            <w:tcW w:w="5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6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35,218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16</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8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consisted of the following as of June 30, 2020 and December 31, 2019 (in thousands, except years):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0"/>
              </w:rPr>
              <w:t>June 30, 2020</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3"/>
                <w:szCs w:val="13"/>
                <w:color w:val="auto"/>
              </w:rPr>
            </w:pPr>
          </w:p>
        </w:tc>
        <w:tc>
          <w:tcPr>
            <w:tcW w:w="1260" w:type="dxa"/>
            <w:vAlign w:val="bottom"/>
          </w:tcPr>
          <w:p>
            <w:pPr>
              <w:jc w:val="center"/>
              <w:ind w:right="273"/>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Useful</w:t>
            </w:r>
          </w:p>
        </w:tc>
      </w:tr>
      <w:tr>
        <w:trPr>
          <w:trHeight w:val="192"/>
        </w:trPr>
        <w:tc>
          <w:tcPr>
            <w:tcW w:w="2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1,518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6,960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10,541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3,682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1,536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5,175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4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33,264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(14,353)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18,911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3"/>
                <w:szCs w:val="13"/>
                <w:color w:val="auto"/>
              </w:rPr>
            </w:pPr>
          </w:p>
        </w:tc>
        <w:tc>
          <w:tcPr>
            <w:tcW w:w="1260" w:type="dxa"/>
            <w:vAlign w:val="bottom"/>
          </w:tcPr>
          <w:p>
            <w:pPr>
              <w:jc w:val="center"/>
              <w:ind w:right="313"/>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Useful</w:t>
            </w:r>
          </w:p>
        </w:tc>
      </w:tr>
      <w:tr>
        <w:trPr>
          <w:trHeight w:val="192"/>
        </w:trPr>
        <w:tc>
          <w:tcPr>
            <w:tcW w:w="20" w:type="dxa"/>
            <w:vAlign w:val="bottom"/>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49"/>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1,774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7,376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4,467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1,792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5,916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Backlog</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33,734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21,377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with respect to intangible assets totaled $1.2 million and $1.3 million for the three months ended June 30, 2020 and 2019, respectively, and $2.5 million and $2.7 million for the six months ended June 30, 2020 and 2019, respectively. Future amortization expense with respect to intangible assets is estimated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2,413</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4,727</w:t>
            </w: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4,665</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3,060</w:t>
            </w: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1,197</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2,849</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18,911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67"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We have operating leases for our corporate offices and data centers. Our leases have remaining lease terms ranging from one to 12 years, some of which include options to extend the leases by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We have lease agreements with lease and non-lease components, which we have elected to combine for all asset classes. The total</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lease cost associated with our operating leases was $1.4 million and $1.2 million for the three months ended June 30, 2020 and 2019, respectively, and $2.8 million and $2.4 million for the six months ended June 30, 2020 and 2019, respectively.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Lease-related assets and liabilities were as follows as of June 30, 2020 and December 31, 2019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3,908</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25,732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27,803</w:t>
            </w:r>
          </w:p>
        </w:tc>
      </w:tr>
      <w:tr>
        <w:trPr>
          <w:trHeight w:val="270"/>
        </w:trPr>
        <w:tc>
          <w:tcPr>
            <w:tcW w:w="8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2,653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2,826</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33,394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33,312</w:t>
            </w:r>
          </w:p>
        </w:tc>
      </w:tr>
      <w:tr>
        <w:trPr>
          <w:trHeight w:val="263"/>
        </w:trPr>
        <w:tc>
          <w:tcPr>
            <w:tcW w:w="800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36,047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36,138</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9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minimum lease payments under non-cancellable leases as of June 30, 2020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71151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Years ending December 31,</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p>
      <w:pPr>
        <w:ind w:left="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future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p>
      <w:pPr>
        <w:spacing w:after="0" w:line="6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Future minimum lease payments are presented net of tenant improvement allowances of $2.3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08" w:hanging="1108"/>
        <w:spacing w:after="0"/>
        <w:tabs>
          <w:tab w:leader="none" w:pos="1108" w:val="left"/>
        </w:tabs>
        <w:numPr>
          <w:ilvl w:val="0"/>
          <w:numId w:val="5"/>
        </w:numPr>
        <w:rPr>
          <w:rFonts w:ascii="Arial" w:cs="Arial" w:eastAsia="Arial" w:hAnsi="Arial"/>
          <w:sz w:val="18"/>
          <w:szCs w:val="18"/>
          <w:color w:val="auto"/>
        </w:rPr>
      </w:pPr>
      <w:r>
        <w:rPr>
          <w:rFonts w:ascii="Arial" w:cs="Arial" w:eastAsia="Arial" w:hAnsi="Arial"/>
          <w:sz w:val="18"/>
          <w:szCs w:val="18"/>
          <w:color w:val="auto"/>
        </w:rPr>
        <w:t>652</w:t>
      </w:r>
    </w:p>
    <w:p>
      <w:pPr>
        <w:spacing w:after="0" w:line="63"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18"/>
          <w:szCs w:val="18"/>
          <w:color w:val="auto"/>
        </w:rPr>
        <w:t>2,383</w:t>
      </w:r>
    </w:p>
    <w:p>
      <w:pPr>
        <w:spacing w:after="0" w:line="63"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18"/>
          <w:szCs w:val="18"/>
          <w:color w:val="auto"/>
        </w:rPr>
        <w:t>4,085</w:t>
      </w:r>
    </w:p>
    <w:p>
      <w:pPr>
        <w:spacing w:after="0" w:line="63"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18"/>
          <w:szCs w:val="18"/>
          <w:color w:val="auto"/>
        </w:rPr>
        <w:t>3,977</w:t>
      </w:r>
    </w:p>
    <w:p>
      <w:pPr>
        <w:spacing w:after="0" w:line="63"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18"/>
          <w:szCs w:val="18"/>
          <w:color w:val="auto"/>
        </w:rPr>
        <w:t>3,908</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29,590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86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57"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44,595</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(11,408)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861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57" w:lineRule="exact"/>
        <w:rPr>
          <w:sz w:val="20"/>
          <w:szCs w:val="20"/>
          <w:color w:val="auto"/>
        </w:rPr>
      </w:pPr>
    </w:p>
    <w:p>
      <w:pPr>
        <w:ind w:left="888" w:hanging="888"/>
        <w:spacing w:after="0"/>
        <w:tabs>
          <w:tab w:leader="none" w:pos="888" w:val="left"/>
        </w:tabs>
        <w:numPr>
          <w:ilvl w:val="0"/>
          <w:numId w:val="6"/>
        </w:numPr>
        <w:rPr>
          <w:rFonts w:ascii="Arial" w:cs="Arial" w:eastAsia="Arial" w:hAnsi="Arial"/>
          <w:sz w:val="17"/>
          <w:szCs w:val="17"/>
          <w:color w:val="auto"/>
        </w:rPr>
      </w:pPr>
      <w:r>
        <w:rPr>
          <w:rFonts w:ascii="Arial" w:cs="Arial" w:eastAsia="Arial" w:hAnsi="Arial"/>
          <w:sz w:val="17"/>
          <w:szCs w:val="17"/>
          <w:color w:val="auto"/>
        </w:rPr>
        <w:t>33,187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986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64770</wp:posOffset>
            </wp:positionV>
            <wp:extent cx="9861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482" w:lineRule="exact"/>
        <w:rPr>
          <w:sz w:val="20"/>
          <w:szCs w:val="20"/>
          <w:color w:val="auto"/>
        </w:rPr>
      </w:pPr>
    </w:p>
    <w:p>
      <w:pPr>
        <w:sectPr>
          <w:pgSz w:w="11900" w:h="16838" w:orient="portrait"/>
          <w:cols w:equalWidth="0" w:num="2">
            <w:col w:w="8972" w:space="720"/>
            <w:col w:w="1548"/>
          </w:cols>
          <w:pgMar w:left="320" w:top="179" w:right="339" w:bottom="1440" w:gutter="0" w:footer="0" w:header="0"/>
          <w:type w:val="continuous"/>
        </w:sectPr>
      </w:pPr>
    </w:p>
    <w:p>
      <w:pPr>
        <w:ind w:firstLine="8"/>
        <w:spacing w:after="0" w:line="294" w:lineRule="auto"/>
        <w:tabs>
          <w:tab w:leader="none" w:pos="165"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 xml:space="preserve">Total future minimum lease payments include the current portion of lease liabilities recorded in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of $2.9 million which relates to certain of our leases for which the lease incentives to be received exceed the minimum lease payments to be paid over the next 12 months.</w:t>
      </w:r>
    </w:p>
    <w:p>
      <w:pPr>
        <w:spacing w:after="0" w:line="257" w:lineRule="exact"/>
        <w:rPr>
          <w:sz w:val="20"/>
          <w:szCs w:val="20"/>
          <w:color w:val="auto"/>
        </w:rPr>
      </w:pPr>
    </w:p>
    <w:p>
      <w:pPr>
        <w:ind w:left="360" w:right="9560" w:hanging="352"/>
        <w:spacing w:after="0" w:line="416"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Long-Term Debt </w:t>
      </w:r>
      <w:r>
        <w:rPr>
          <w:rFonts w:ascii="Arial" w:cs="Arial" w:eastAsia="Arial" w:hAnsi="Arial"/>
          <w:sz w:val="15"/>
          <w:szCs w:val="15"/>
          <w:b w:val="1"/>
          <w:bCs w:val="1"/>
          <w:i w:val="1"/>
          <w:iCs w:val="1"/>
          <w:color w:val="auto"/>
        </w:rPr>
        <w:t>Credit Agreement</w:t>
      </w:r>
    </w:p>
    <w:p>
      <w:pPr>
        <w:jc w:val="both"/>
        <w:ind w:firstLine="648"/>
        <w:spacing w:after="0" w:line="255" w:lineRule="auto"/>
        <w:rPr>
          <w:sz w:val="20"/>
          <w:szCs w:val="20"/>
          <w:color w:val="auto"/>
        </w:rPr>
      </w:pPr>
      <w:r>
        <w:rPr>
          <w:rFonts w:ascii="Arial" w:cs="Arial" w:eastAsia="Arial" w:hAnsi="Arial"/>
          <w:sz w:val="18"/>
          <w:szCs w:val="18"/>
          <w:color w:val="auto"/>
        </w:rPr>
        <w:t>On December 24, 2018, we entered into Amendment Number Two to the Credit Agreement (the "Second Amendment") with Wells Fargo, as administrative agent, and the lenders that are parties thereto (as amended, the "Credit Agreement"). Under the terms of the Second Amendment, the lenders issued the Term Loan to us and increased the amount available under our Revolving Facility to $50.0 million. The maturity date of the Term Loan and Revolving Facility is December 24, 2023. In addition, pursuant to the Second Amendment, we are permitted to make certain restricted junior payments, including, without limitation, repurchases of our common stock, and to enter into acquisitions with no value limitation, so long as we maintain specified liquidity requirements and leverage ratios.</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Second Amendment also modified certain financial covenants by, among other things, requiring us to maintain (i) an EBITDA-to-interest-expense ratio of not less than 3.0 to 1.0, and (ii) a funded-indebtedness-to-EBITDA ratio of not more than 3.5 to 1.0 (the "Required Leverage Ratio") (decreasing by 0.25 per year until the Required Leverage Ratio is 2.5 to 1.0); provided, however, that we are not required to maintain the foregoing ratios if our liquidity (defined as the sum of the remaining borrowing capacity under the Credit Agreement and available cash) has equaled or exceeded the greater of $20.0 million and 20% of the sum of the outstanding principal amount of the Term Loan and commitments under the Revolving Facility. If we enter into an acquisition with a purchase price greater than or equal to $20.0 million, then the Required Leverage Ratio will be increased by 0.5 for the 12-month period immediately following the consummation of such acquisition.</w:t>
      </w:r>
    </w:p>
    <w:p>
      <w:pPr>
        <w:spacing w:after="0" w:line="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contains customary affirmative, negative and financial covenants. The affirmative covenants require us to, among other things, disclose financial and other information to the lenders, maintain our business and properties, and maintain adequate insurance. The negative covenants restrict us from, among other things, incurring additional</w:t>
      </w: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indebtedness, prepaying certain types of indebtedness, encumbering or disposing of our assets, making fundamental changes to our corporate structure, and making certain dividends and distributions. As of June 30, 2020, we were in compliance with the financial covenants under the Credit Agreement.</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Second Amendment, borrowings under the Credit Agreement will bear interest at a fluctuating rate per annum equal to, at our option, (i) the LIBOR or (ii) an alternate base rate, in each case plus the applicable interest rate margin. Borrowings will fluctuate between LIBOR plus 1.5% per annum and LIBOR plus 2.0% per annum (or between the alternate base rate plus 0.5% per annum and the alternate base rate plus 1.0% per annum), based upon our Required Leverage Ratio.</w:t>
      </w:r>
    </w:p>
    <w:p>
      <w:pPr>
        <w:spacing w:after="0" w:line="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Fees payable on the unused portion of the Revolving Facility will be 0.25% per annum, unless the average usage of the Revolving Facility is equal to or less than $30.0 million for the applicable period, in which case the fees on the unused portion of the Revolving Facility will be 0.375% per annum.</w:t>
      </w:r>
    </w:p>
    <w:p>
      <w:pPr>
        <w:spacing w:after="0" w:line="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maximum amount available under our Revolving Facility is $50.0 million. During the six months ended June 30, 2020 we borrowed $49.0 million under our Revolving Facility to provide additional liquidity in light of the uncertainty caused by the COVID-19 pandemic. There were no outstanding borrowings under the Revolving Facility as of December 31, 2019.</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 Costs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Second Amendment, we incurred $0.4 million in financing fees that were capitalized and will be amortized over the remaining life of the related debt, $0.2 million of which was related to the Term Loan and $0.2 million of which was related to the Revolving Facility. Pursuant to GAAP, the Second Amendment is accounted for as a debt modification. As a result, the unamortized deferred debt financing costs related to the Revolving Facility prior to the Second Amendment were added to the $0.2 million of deferred debt financing costs related to the Second Amendment and will be amortized over the remaining life of the Revolving Facility.</w:t>
      </w:r>
    </w:p>
    <w:p>
      <w:pPr>
        <w:spacing w:after="0" w:line="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Debt financing costs are deferred and amortized using the straight-line method, which approximates the effective interest method, for costs related to the Term Loan, and the straight-line method for costs related to the Revolving Facility, over the term of the debt arrangement; such amortization is included in interest expense in our Condensed Consolidated Statements of Operations. Amortization of deferred debt financing costs was not material for the three and six months ended June 30, 2020 or 2019. As of June 30, 2020 and December 31, 2019, the remaining unamortized deferred debt financing costs were $0.3 million and $0.4 million, respectively, of which $0.1 million and $0.2 million, respectively, was offset against debt. As of June 30, 2020 and December 31, 2019, $0.2 million and $0.3 million, respectively, of the remaining unamortized deferred debt financing costs were recorded in prepaid expenses and other current assets and other assets on our Condensed Consolidated Balance Sheets, as they pertained to the Revolving Facility.</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long-term debt as of June 30, 2020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amounts due under Term Loan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48,125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48,750</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Unamortized debt financing costs</w:t>
            </w:r>
          </w:p>
        </w:tc>
        <w:tc>
          <w:tcPr>
            <w:tcW w:w="3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(167)</w:t>
            </w: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unamortized debt financing costs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47,979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48,583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Scheduled principal payments for the Term Loan as of June 30, 2020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gridSpan w:val="2"/>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3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5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gridSpan w:val="2"/>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5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63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Arial" w:cs="Arial" w:eastAsia="Arial" w:hAnsi="Arial"/>
                <w:sz w:val="18"/>
                <w:szCs w:val="18"/>
                <w:color w:val="auto"/>
              </w:rPr>
              <w:t>19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5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June 30, 2020 and December 31, 2019 was $1.4 million and $1.8 million, respectively, and is included in other current liabilities on our Condensed Consolidated Balance Sheets.</w:t>
      </w:r>
    </w:p>
    <w:p>
      <w:pPr>
        <w:spacing w:after="0" w:line="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Included in prepaid expenses and other current assets as of June 30, 2020 and December 31, 2019 are $1.6 million and $1.3 million, respectively, of deposits held with a third party related to requirements to maintain collateral for this insurance service.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December 2018, we received a Civil Investigative Demand from the Federal Trade Commission ("FTC") requesting certain information relating to our compliance with the Fair Credit Reporting Act (the “FCRA”) in connection with our tenant screening Value+ service (the "FTC Investigation"). On April 30, 2020, the FTC staff informed us of its belief that there is a reasonable basis for asserting claims against us for our alleged failure to comply with certain sections of the FCRA that could result in monetary penalty and/or injunctive relief. We disagree with the stated belief of the FTC and have vigorously defended our position.</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Notwithstanding our disagreement with the FTC's position, and primarily in an effort to avoid protracted litigation and potential distraction to our business, we have entered into settlement negotiations with the FTC in an effort to resolve all claims and allegations arising out of or relating to the FTC Investigation. Although the final outcome of the FTC Investigation is subject to ongoing settlement discussions and therefore remains uncertain, we have determined that a loss is probable and that a reasonable estimate of the loss is approximately $4.3 million. Accordingly, we have recognized an accrual of $4.3 million during the three months ended June 30, 2020 within accrued expenses on our Condensed Consolidated Balance Sheet. While this amount represents our best judgment of the probable loss based on information currently available to us, it is subject to significant judgments and estimates and numerous factors beyond our control, including without limitation the FTC's position with respect to the ongoing settlement negotiations. In the event that the FTC Investigation results in a settlement payment by us, or a judgment against us, in an amount significantly in excess of our accrual, the resulting liability could have a material adverse effect upon our financial condition, results of operations and liquidity.</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received a Request for Information from the Civil Rights Division (Housing and Civil Enforcement Section) of the U.S. Department of Justice ("DOJ") requesting certain information relating to our compliance with the Servicemembers Civil Relief Act in connection with our tenant screening Value+ service. We continue to fully cooperate with the DOJ and do not presently have sufficient information to predict the outcome of, or any potential costs or penalties associated with, the DOJ investigation.</w:t>
      </w:r>
    </w:p>
    <w:p>
      <w:pPr>
        <w:spacing w:after="0" w:line="146" w:lineRule="exact"/>
        <w:rPr>
          <w:sz w:val="20"/>
          <w:szCs w:val="20"/>
          <w:color w:val="auto"/>
        </w:rPr>
      </w:pPr>
    </w:p>
    <w:p>
      <w:pPr>
        <w:jc w:val="both"/>
        <w:ind w:firstLine="388"/>
        <w:spacing w:after="0" w:line="239" w:lineRule="auto"/>
        <w:rPr>
          <w:sz w:val="20"/>
          <w:szCs w:val="20"/>
          <w:color w:val="auto"/>
        </w:rPr>
      </w:pPr>
      <w:r>
        <w:rPr>
          <w:rFonts w:ascii="Arial" w:cs="Arial" w:eastAsia="Arial" w:hAnsi="Arial"/>
          <w:sz w:val="18"/>
          <w:szCs w:val="18"/>
          <w:color w:val="auto"/>
        </w:rPr>
        <w:t>In addition, from time to time, we are involved in various other investigatory inquiries, legal proceedings and other disputes arising from or related to matters incident to the ordinary course of our business activities, including actions with respect to intellectual property, employment, regulatory and contractual issues. Although the results of such investigatory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investigatory inquiries, legal proceedings and other disputes may generally have an adverse impact on us as a result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ordinary course of business, we may provide indemnification of varying scope and terms to customers, vendors, investors, directors and officers with respect to certain matters, including, but not limited to, losses arising out of our breach of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may not be subject to maximum loss clauses and may therefore be indeterminable. We have never paid a material claim, nor have any legal claims been brought against us in connection with these indemnification arrangements. As of June 30, 2020 and December 31, 2019, we had not accrued a liability for these indemnification obligations because we determined that the likelihood of incurring any payment obligation in connection with these indemnification arrangements is not probable or reasonably possible, and the amount or range of amounts of any such liability is not reasonably estimable.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67" w:lineRule="exact"/>
        <w:rPr>
          <w:sz w:val="20"/>
          <w:szCs w:val="20"/>
          <w:color w:val="auto"/>
        </w:rPr>
      </w:pPr>
    </w:p>
    <w:p>
      <w:pPr>
        <w:jc w:val="both"/>
        <w:ind w:firstLine="495"/>
        <w:spacing w:after="0" w:line="275" w:lineRule="auto"/>
        <w:rPr>
          <w:sz w:val="20"/>
          <w:szCs w:val="20"/>
          <w:color w:val="auto"/>
        </w:rPr>
      </w:pPr>
      <w:r>
        <w:rPr>
          <w:rFonts w:ascii="Arial" w:cs="Arial" w:eastAsia="Arial" w:hAnsi="Arial"/>
          <w:sz w:val="17"/>
          <w:szCs w:val="17"/>
          <w:color w:val="auto"/>
        </w:rPr>
        <w:t>On February 20, 2019, our Board of Directors authorized a $100.0 million share repurchase program (the "Program") relating to our outstanding shares of Class A common stock. Under the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Program does not obligate us to repurchase any specific dollar amount or number of shares, there is no expiration date for the Program, and it may be modified, suspended or terminated at any time and for any reason.</w:t>
      </w:r>
    </w:p>
    <w:p>
      <w:pPr>
        <w:spacing w:after="0" w:line="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months ended March 31, 2020, we repurchased a total of 48,002 shares of our Class A common stock through open market repurchases, and recorded a $4.2 million reduction to stockholders' equity, which includes broker commissions. We did not repurchase any shares of our Class A common stock under the Program during the three months ended June 30, 2020 or the six months ended June 30, 2019.</w:t>
      </w:r>
    </w:p>
    <w:p>
      <w:pPr>
        <w:spacing w:after="0" w:line="269" w:lineRule="exact"/>
        <w:rPr>
          <w:sz w:val="20"/>
          <w:szCs w:val="20"/>
          <w:color w:val="auto"/>
        </w:rPr>
      </w:pPr>
    </w:p>
    <w:p>
      <w:pPr>
        <w:ind w:left="660" w:right="8860" w:hanging="652"/>
        <w:spacing w:after="0" w:line="453" w:lineRule="auto"/>
        <w:tabs>
          <w:tab w:leader="none" w:pos="272"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ind w:left="660"/>
        <w:spacing w:after="0"/>
        <w:rPr>
          <w:rFonts w:ascii="Arial" w:cs="Arial" w:eastAsia="Arial" w:hAnsi="Arial"/>
          <w:sz w:val="15"/>
          <w:szCs w:val="15"/>
          <w:b w:val="1"/>
          <w:bCs w:val="1"/>
          <w:color w:val="auto"/>
        </w:rPr>
      </w:pPr>
      <w:r>
        <w:rPr>
          <w:rFonts w:ascii="Arial" w:cs="Arial" w:eastAsia="Arial" w:hAnsi="Arial"/>
          <w:sz w:val="16"/>
          <w:szCs w:val="16"/>
          <w:color w:val="auto"/>
        </w:rPr>
        <w:t>A summary of activity in connection with our stock options for the six months ended June 30, 2020, is as follows (number of shares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4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0"/>
              </w:rPr>
              <w:t>Exercise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2019</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1,342</w:t>
            </w:r>
          </w:p>
        </w:tc>
        <w:tc>
          <w:tcPr>
            <w:tcW w:w="12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Options cancelled/forfeited</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23.76</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June 30, 2020</w:t>
            </w:r>
          </w:p>
        </w:tc>
        <w:tc>
          <w:tcPr>
            <w:tcW w:w="1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1,238</w:t>
            </w:r>
          </w:p>
        </w:tc>
        <w:tc>
          <w:tcPr>
            <w:tcW w:w="12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11.51</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2020, 77,000 PSOs vested based on the achievement of 95% of the pre-established free cash flow performance target for the year ended December 31, 2019, and 40,000 PSOs vested based on the achievement of 115% of the pre-established gross margin target for the year ended December 31, 2019.</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stock-based compensation expense for stock options for the three and six months ended June 30, 2020 was not material, and for the three and six months ended June 30, 2019 was $0.1 million and $0.3 million, respectively. As of June 30, 2020, the total estimated remaining stock-based compensation expense for unvested stock options was not material.</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six months ended June 30, 2020 or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in connection with our RSUs for the six months ended June 30, 2020, is as follows (number of shares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2019</w:t>
            </w:r>
          </w:p>
        </w:tc>
        <w:tc>
          <w:tcPr>
            <w:tcW w:w="1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107.16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June 30, 2020</w:t>
            </w:r>
          </w:p>
        </w:tc>
        <w:tc>
          <w:tcPr>
            <w:tcW w:w="1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560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six months ended June 30, 2020, we granted 142,000 RSUs that are subject to time-based vesting in equal annual installments over four years, and 14,000 PSUs that are subject to vesting based on the achievement of pre-established consolidated net revenue growth targets for the years ending December 31, 2020, 2021 and 2022, assuming continued employment throughout the performance period.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100% and 165% of the initial target awards.</w:t>
      </w:r>
    </w:p>
    <w:p>
      <w:pPr>
        <w:spacing w:after="0" w:line="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2020, 84,000 PSUs vested and 4,000 PSUs were cancelled based on the achievement of 95% of the pre-established free cash flow performance target for the year ended December 31, 2019.</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Included in the unvested RSUs as of June 30, 2020 are 37,000 and 95,000 PSUs granted in 2019 and 2018, respectively. Of these PSUs, 54,000 are subject to vesting based on the achievement of a pre-established consolidated net revenue growth target for the year ending December 31, 2020, 49,000 are subject to vesting based on the achievement of a pre-established consolidated net revenue growth target for the year ending December 31, 2021, and 29,000 are subject to vesting based on the achievement of a pre-established consolidated net revenue growth target for the year ending December 31, 2022. The number of PSUs granted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100% and 165% of the initial target awards.</w:t>
      </w:r>
    </w:p>
    <w:p>
      <w:pPr>
        <w:spacing w:after="0" w:line="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three months ended June 30, 2020 and 2019 was $3.2 million and $2.0 million, respectively, and $4.4 million and $3.6 million for the six months ended June 30, 2020 and 2019, respectively.</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the total estimated remaining stock-based compensation expense for the RSUs and PSUs was $28.6 million, which is expected to be recognized over a weighted average period of 2.5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A summary of activity in connection with our restricted stock awards for the six months ended June 30, 2020 is as follows (number of shares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2019</w:t>
            </w: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111.38</w:t>
            </w:r>
          </w:p>
        </w:tc>
        <w:tc>
          <w:tcPr>
            <w:tcW w:w="0" w:type="dxa"/>
            <w:vAlign w:val="bottom"/>
          </w:tcPr>
          <w:p>
            <w:pPr>
              <w:spacing w:after="0"/>
              <w:rPr>
                <w:sz w:val="1"/>
                <w:szCs w:val="1"/>
                <w:color w:val="auto"/>
              </w:rPr>
            </w:pP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June 30, 2020</w:t>
            </w:r>
          </w:p>
        </w:tc>
        <w:tc>
          <w:tcPr>
            <w:tcW w:w="12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the right to repurchase any unvested restricted stock awards subject to certain conditions. Restricted stock awards vest over a one-year period. We recognized stock-based compensation expense for restricted stock awards of $0.2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and $0.1 million for the three months ended June 30, 2020 and 2019, respectively, and $0.3 million and $0.2 million for the six months ended June 30, 2020 and 2019, respectively.</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the total estimated remaining stock-based compensation expense for unvested restricted stock awards with a repurchase right was $0.6 million, which is expected to be recognized over a weighted average period of 0.9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benefit from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2020, we recorded income tax benefit of $13.5 million and $13.1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2019, we recorded income tax benefit of $21.3 million and $25.6 million, respectively. During the second quarter of 2019, we evaluated all available positive and negative evidence, including our sustained profitability in 2018 and 2019, the impact of recent acquisitions and future projections of profitability. As a result, we determined that all of our deferred tax assets were more likely than not to be realized and reversed the valuation allowance against those deferred tax assets accordingly.</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unrecognized tax benefits during the six months ended June 30, 2020 and we do not expect to have any significant changes to unrecognized tax benefits through the end of the fiscal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revenue categories for the three and six months ended June 30, 2020 and 2019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23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26,061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21,609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50,963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42,431</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21"/>
                <w:szCs w:val="21"/>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51,592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39,056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95,730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72,754</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2,959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6,845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5,530</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81,043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63,624</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153,538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120,715</w:t>
            </w: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12"/>
        <w:spacing w:after="0" w:line="277" w:lineRule="auto"/>
        <w:rPr>
          <w:sz w:val="20"/>
          <w:szCs w:val="20"/>
          <w:color w:val="auto"/>
        </w:rPr>
      </w:pPr>
      <w:r>
        <w:rPr>
          <w:rFonts w:ascii="Arial" w:cs="Arial" w:eastAsia="Arial" w:hAnsi="Arial"/>
          <w:sz w:val="18"/>
          <w:szCs w:val="18"/>
          <w:color w:val="auto"/>
        </w:rPr>
        <w:t>During the six months ended June 30, 2020 and 2019, we recognized $3.5 million and $2.5 million of revenue, respectively, which were included in the deferred revenue balances as of December 31, 2019 and 2018, respectively.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revenue is generated primarily from customers in the United States. All of our property and equipment is located in the United States.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including those related to the anticipated impact on our business from, and our response to, the COVID-19 pandemic.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jc w:val="both"/>
        <w:ind w:right="20" w:firstLine="435"/>
        <w:spacing w:after="0" w:line="277" w:lineRule="auto"/>
        <w:rPr>
          <w:sz w:val="20"/>
          <w:szCs w:val="20"/>
          <w:color w:val="auto"/>
        </w:rPr>
      </w:pPr>
      <w:r>
        <w:rPr>
          <w:rFonts w:ascii="Arial" w:cs="Arial" w:eastAsia="Arial" w:hAnsi="Arial"/>
          <w:sz w:val="18"/>
          <w:szCs w:val="18"/>
          <w:color w:val="auto"/>
        </w:rPr>
        <w:t>Our mission is to revolutionize vertical industry businesses by providing great software and services. Today we offer industry-specific, cloud-based business software solutions, services and data analytics to the real estate market, which</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represents approximately 90% of our revenue, and, to a lesser extent, to the legal market. Although specific functionality varies by product, our core solutions address common business operations and interactions of our customers' businesses. In addition to our core solutions, we offer a range of optional, but often business-critical, Value+ services. Our Value+ services are built to enhance, automate and streamline processes and support workflows essential to our customers' businesses. Our mobile-optimized software solutions are designed for use across multiple devices and operating systems. Our software solutions are offered as a service for our customers and hosted using a modern cloud-based architecture. This architecture leads to rich data sets that have a consistent schema across our customer base and enables us to deploy data-powered products and services for our customers.</w:t>
      </w:r>
    </w:p>
    <w:p>
      <w:pPr>
        <w:spacing w:after="0" w:line="56" w:lineRule="exact"/>
        <w:rPr>
          <w:sz w:val="20"/>
          <w:szCs w:val="20"/>
          <w:color w:val="auto"/>
        </w:rPr>
      </w:pPr>
    </w:p>
    <w:p>
      <w:pPr>
        <w:jc w:val="both"/>
        <w:ind w:firstLine="463"/>
        <w:spacing w:after="0" w:line="275" w:lineRule="auto"/>
        <w:rPr>
          <w:sz w:val="20"/>
          <w:szCs w:val="20"/>
          <w:color w:val="auto"/>
        </w:rPr>
      </w:pPr>
      <w:r>
        <w:rPr>
          <w:rFonts w:ascii="Arial" w:cs="Arial" w:eastAsia="Arial" w:hAnsi="Arial"/>
          <w:sz w:val="17"/>
          <w:szCs w:val="17"/>
          <w:color w:val="auto"/>
        </w:rPr>
        <w:t>Our real estate software solutions provide our property management customers (including third-party property managers and owner-operators who manage single- and multi-family residences, community associations, commercial properties, and student housing, as well as mixed real estate portfolios)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w:t>
      </w:r>
    </w:p>
    <w:p>
      <w:pPr>
        <w:spacing w:after="0" w:line="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legal software solutions enable law firms to administer their practice and manage their caseloads more efficiently by centralizing case details in a single system of record and system of engagement.</w:t>
      </w:r>
    </w:p>
    <w:p>
      <w:pPr>
        <w:spacing w:after="0" w:line="62" w:lineRule="exact"/>
        <w:rPr>
          <w:sz w:val="20"/>
          <w:szCs w:val="20"/>
          <w:color w:val="auto"/>
        </w:rPr>
      </w:pPr>
    </w:p>
    <w:p>
      <w:pPr>
        <w:jc w:val="both"/>
        <w:ind w:firstLine="419"/>
        <w:spacing w:after="0" w:line="296" w:lineRule="auto"/>
        <w:rPr>
          <w:sz w:val="20"/>
          <w:szCs w:val="20"/>
          <w:color w:val="auto"/>
        </w:rPr>
      </w:pPr>
      <w:r>
        <w:rPr>
          <w:rFonts w:ascii="Arial" w:cs="Arial" w:eastAsia="Arial" w:hAnsi="Arial"/>
          <w:sz w:val="16"/>
          <w:szCs w:val="16"/>
          <w:color w:val="auto"/>
        </w:rPr>
        <w:t>We have focused on growing our revenue by increasing the size of our customer base in the markets we serve, increasing the number of units under management, introducing new or expanded Value+ services, retaining customers, and increasing the adoption and utilization of our Value+ services by new and existing customers. We evaluate the success of our business during the periods presented based on factors such as the development and launch of new and innovative core functionality and Value+ services, enhancements to user experience, customer satisfaction, growth in our revenue and customer base, fluctuations in costs and operating expenses as a percentage of revenue, operating loss or income and cash flows from operating activities.</w:t>
      </w:r>
    </w:p>
    <w:p>
      <w:pPr>
        <w:spacing w:after="0" w:line="53"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6"/>
          <w:szCs w:val="16"/>
          <w:color w:val="auto"/>
        </w:rPr>
        <w:t>To date, we have experienced rapid revenue growth due to our investments in research and product development, sales and marketing, customer service and support, and infrastructure. We intend to continue to invest in growth across our organization as we expand in our current and adjacent markets and into new verticals. Over the long-term, these investments to grow our business are expected to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 term, but this trend may be interrupted from time to time as a result of accelerated investment opportunities occurring in advance of realization of revenue.</w:t>
      </w:r>
    </w:p>
    <w:p>
      <w:pPr>
        <w:spacing w:after="0" w:line="56"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8"/>
          <w:szCs w:val="18"/>
          <w:color w:val="auto"/>
        </w:rPr>
        <w:t>We have managed, and plan to continue to manage, our business towards the achievement of long-term growth that we believe will positively impact long-term stockholder value, and not towards the realization of short-term financial or business metrics, or short-term stockholder value. We have invested, and intend to continue to invest, in our business to capitalize on our market opportunity. Accordingly, if opportunities arise that might cause us to sacrifice our performance with respect to short-term financial or business metrics, but that we believe are in the best interests of our stockholders in the long term, we will take those opportunities.</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believe our people are at the heart of our success and our customers’ success, and we have worked hard not only to attract and hire quality individuals but also to nurture and develop our valuable human resources. The professionalism and dedication of our workforce to continue effectively developing and supporting our product and service offerings has persisted notwithstanding the current environment, and the morale and focus of our team, even while working remotely, remains high. We take the health and welfare of our people very seriously, and have encouraged safe practices designed to stem the infection and spread of COVID-19 within our workforce and beyond. At the same time, in an effort to ensure business continuity, we have developed both short and long-term succession plans for key individuals and roles throughout the business. With all of that said, if the COVID-19 pandemic requires remote working conditions for a prolonged period of time, it could have an adverse impact on the productivity of our employees, which would harm our business and impede our ability to achieve our strategic plan. Further, we have a limited history of remote work and the long-term impact on, and the resulting types of continuing investments necessary for, our employee base is uncertain.</w:t>
      </w:r>
    </w:p>
    <w:p>
      <w:pPr>
        <w:spacing w:after="0" w:line="7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June 30, 2020, we had approximately 1,370 employees, and we continue to consider our relationship with them to be very good. We also hire temporary employees and consultants, and believe we have a similarly strong relationship with them. None of our employees is represented by a labor union or covered by a collective bargaining agreement. We must continue to attract, retain and motivate highly qualified and motivated personnel across our organization to execute our growth plan and achieve our strategic objectives. If we fail to do so, our business and operating results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Overview</w:t>
      </w:r>
    </w:p>
    <w:p>
      <w:pPr>
        <w:spacing w:after="0" w:line="121"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2008, we entered the real estate market with our first product, AppFolio Property Manager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One year later,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We expanded our electronic payment services in 2013 by allowing residents to pay rent by electronic cash payment and credit or debit card. In 2014, we launched a tenant-facing contact center solution to assist our property managers with resolving incoming maintenance requests. In 2015, we expanded the marketing services offered to our property management customers with a premium leads service built on technology acquired with our acquisition of RentLinx, LLC ("RentLinx") and expanded our electronic payment services to facilitate payments made between our customers and property owners and vendors. In 2016, we introduced a tenant debt collection Value+ service to assist our property managers with running a more efficient business. We expanded our insurance services in 2017 to enable tenants to purchase renters insurance from within APM, protecting both our property management customers and their tenants. In 2018, we acquired substantially all of the assets of WegoWise, Inc. ("WegoWise"), a provider of cloud-based utility analytics software solutions, and began offering AppFolio Utility Management as a Value+ service to our property management customers in mid-2019. That same year, we released AppFolio Property Manager PLUS ("APM PLUS"), a new tier of APM designed for larger businesses with more complex needs. APM PLUS builds upon the core functionality of APM and also offers data analytics, configurable workflows, and revenue management and optimization functionality for our customers. In January 2019, we acquired Dynasty, a provider of advanced artificial intelligence ("AI") solutions for the real estate market, and began offering an AI Leasing Assistant, which we refer to as "Lisa", as a Value+ service to our property management customers in mid-2019. In April 2019, we launched AppFolio Investment Management, which enables real estate investment managers to better manage their investor relationships by increasing transparency and streamlining certain business processes.</w:t>
      </w:r>
    </w:p>
    <w:p>
      <w:pPr>
        <w:spacing w:after="0" w:line="74"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Approximately 90% of our annual revenue is derived directly and indirectly from the software solutions, services and data analytics we offer to the real estate market. The significant majority of our customers in the real estate market use our property management solutions. We define our property management customer base as the number of customers subscribing to our property management core solutions. Customer count and property management units under management are presented in the table below:</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manager customers</w:t>
      </w:r>
    </w:p>
    <w:p>
      <w:pPr>
        <w:spacing w:after="0" w:line="63"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Property manager units under management (in millions)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0234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jc w:val="right"/>
              <w:ind w:right="579"/>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30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right"/>
              <w:ind w:right="419"/>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4"/>
                <w:szCs w:val="14"/>
                <w:b w:val="1"/>
                <w:bCs w:val="1"/>
                <w:color w:val="auto"/>
                <w:w w:val="96"/>
              </w:rPr>
              <w:t>2019</w:t>
            </w:r>
          </w:p>
        </w:tc>
        <w:tc>
          <w:tcPr>
            <w:tcW w:w="1200" w:type="dxa"/>
            <w:vAlign w:val="bottom"/>
            <w:tcBorders>
              <w:top w:val="single" w:sz="8" w:color="auto"/>
              <w:bottom w:val="single" w:sz="8" w:color="auto"/>
            </w:tcBorders>
          </w:tcPr>
          <w:p>
            <w:pPr>
              <w:spacing w:after="0"/>
              <w:rPr>
                <w:sz w:val="17"/>
                <w:szCs w:val="17"/>
                <w:color w:val="auto"/>
              </w:rPr>
            </w:pPr>
          </w:p>
        </w:tc>
      </w:tr>
      <w:tr>
        <w:trPr>
          <w:trHeight w:val="243"/>
        </w:trPr>
        <w:tc>
          <w:tcPr>
            <w:tcW w:w="1540" w:type="dxa"/>
            <w:vAlign w:val="bottom"/>
          </w:tcPr>
          <w:p>
            <w:pPr>
              <w:jc w:val="right"/>
              <w:ind w:right="379"/>
              <w:spacing w:after="0"/>
              <w:rPr>
                <w:sz w:val="20"/>
                <w:szCs w:val="20"/>
                <w:color w:val="auto"/>
              </w:rPr>
            </w:pPr>
            <w:r>
              <w:rPr>
                <w:rFonts w:ascii="Arial" w:cs="Arial" w:eastAsia="Arial" w:hAnsi="Arial"/>
                <w:sz w:val="18"/>
                <w:szCs w:val="18"/>
                <w:color w:val="auto"/>
              </w:rPr>
              <w:t>15,011</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14,729</w:t>
            </w:r>
          </w:p>
        </w:tc>
        <w:tc>
          <w:tcPr>
            <w:tcW w:w="100" w:type="dxa"/>
            <w:vAlign w:val="bottom"/>
          </w:tcPr>
          <w:p>
            <w:pPr>
              <w:spacing w:after="0"/>
              <w:rPr>
                <w:sz w:val="21"/>
                <w:szCs w:val="21"/>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14,385</w:t>
            </w:r>
          </w:p>
        </w:tc>
        <w:tc>
          <w:tcPr>
            <w:tcW w:w="1140" w:type="dxa"/>
            <w:vAlign w:val="bottom"/>
          </w:tcPr>
          <w:p>
            <w:pPr>
              <w:jc w:val="right"/>
              <w:spacing w:after="0"/>
              <w:rPr>
                <w:sz w:val="20"/>
                <w:szCs w:val="20"/>
                <w:color w:val="auto"/>
              </w:rPr>
            </w:pPr>
            <w:r>
              <w:rPr>
                <w:rFonts w:ascii="Arial" w:cs="Arial" w:eastAsia="Arial" w:hAnsi="Arial"/>
                <w:sz w:val="18"/>
                <w:szCs w:val="18"/>
                <w:color w:val="auto"/>
              </w:rPr>
              <w:t>14,034</w:t>
            </w:r>
          </w:p>
        </w:tc>
        <w:tc>
          <w:tcPr>
            <w:tcW w:w="1600" w:type="dxa"/>
            <w:vAlign w:val="bottom"/>
          </w:tcPr>
          <w:p>
            <w:pPr>
              <w:jc w:val="right"/>
              <w:ind w:right="199"/>
              <w:spacing w:after="0"/>
              <w:rPr>
                <w:sz w:val="20"/>
                <w:szCs w:val="20"/>
                <w:color w:val="auto"/>
              </w:rPr>
            </w:pPr>
            <w:r>
              <w:rPr>
                <w:rFonts w:ascii="Arial" w:cs="Arial" w:eastAsia="Arial" w:hAnsi="Arial"/>
                <w:sz w:val="18"/>
                <w:szCs w:val="18"/>
                <w:color w:val="auto"/>
              </w:rPr>
              <w:t>13,737</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13,409</w:t>
            </w:r>
          </w:p>
        </w:tc>
      </w:tr>
      <w:tr>
        <w:trPr>
          <w:trHeight w:val="378"/>
        </w:trPr>
        <w:tc>
          <w:tcPr>
            <w:tcW w:w="1540" w:type="dxa"/>
            <w:vAlign w:val="bottom"/>
          </w:tcPr>
          <w:p>
            <w:pPr>
              <w:jc w:val="right"/>
              <w:ind w:right="379"/>
              <w:spacing w:after="0"/>
              <w:rPr>
                <w:sz w:val="20"/>
                <w:szCs w:val="20"/>
                <w:color w:val="auto"/>
              </w:rPr>
            </w:pPr>
            <w:r>
              <w:rPr>
                <w:rFonts w:ascii="Arial" w:cs="Arial" w:eastAsia="Arial" w:hAnsi="Arial"/>
                <w:sz w:val="18"/>
                <w:szCs w:val="18"/>
                <w:color w:val="auto"/>
              </w:rPr>
              <w:t>4.94</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4"/>
                <w:szCs w:val="24"/>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4.64</w:t>
            </w:r>
          </w:p>
        </w:tc>
        <w:tc>
          <w:tcPr>
            <w:tcW w:w="1140" w:type="dxa"/>
            <w:vAlign w:val="bottom"/>
          </w:tcPr>
          <w:p>
            <w:pPr>
              <w:jc w:val="right"/>
              <w:spacing w:after="0"/>
              <w:rPr>
                <w:sz w:val="20"/>
                <w:szCs w:val="20"/>
                <w:color w:val="auto"/>
              </w:rPr>
            </w:pPr>
            <w:r>
              <w:rPr>
                <w:rFonts w:ascii="Arial" w:cs="Arial" w:eastAsia="Arial" w:hAnsi="Arial"/>
                <w:sz w:val="18"/>
                <w:szCs w:val="18"/>
                <w:color w:val="auto"/>
              </w:rPr>
              <w:t>4.41</w:t>
            </w:r>
          </w:p>
        </w:tc>
        <w:tc>
          <w:tcPr>
            <w:tcW w:w="1600" w:type="dxa"/>
            <w:vAlign w:val="bottom"/>
          </w:tcPr>
          <w:p>
            <w:pPr>
              <w:jc w:val="right"/>
              <w:ind w:right="199"/>
              <w:spacing w:after="0"/>
              <w:rPr>
                <w:sz w:val="20"/>
                <w:szCs w:val="20"/>
                <w:color w:val="auto"/>
              </w:rPr>
            </w:pPr>
            <w:r>
              <w:rPr>
                <w:rFonts w:ascii="Arial" w:cs="Arial" w:eastAsia="Arial" w:hAnsi="Arial"/>
                <w:sz w:val="18"/>
                <w:szCs w:val="18"/>
                <w:color w:val="auto"/>
              </w:rPr>
              <w:t>4.23</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-402590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3120" w:space="200"/>
            <w:col w:w="7920"/>
          </w:cols>
          <w:pgMar w:left="320" w:top="179" w:right="33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Overview</w:t>
      </w:r>
    </w:p>
    <w:p>
      <w:pPr>
        <w:spacing w:after="0" w:line="364"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We entered the legal market with the acquisition of MyCase Inc. ("MyCase") in 2012. In 2013, we introduced website design and hosting services, our first Value+ service for our legal market customers, designed to assist smaller law firms and solo practitioners with the marketing of their practices, electronic storage of case information and communications. In 2016, we launched electronic payments services for the legal market, which streamlined the billing and receivables process through MyCase. We expanded our electronic payments services for our law firm customers in 2019 with support for in-office payments and recurring payment plans via credit card.</w:t>
      </w:r>
    </w:p>
    <w:p>
      <w:pPr>
        <w:spacing w:after="0" w:line="80" w:lineRule="exact"/>
        <w:rPr>
          <w:sz w:val="20"/>
          <w:szCs w:val="20"/>
          <w:color w:val="auto"/>
        </w:rPr>
      </w:pPr>
    </w:p>
    <w:p>
      <w:pPr>
        <w:jc w:val="both"/>
        <w:ind w:firstLine="367"/>
        <w:spacing w:after="0" w:line="308" w:lineRule="auto"/>
        <w:rPr>
          <w:sz w:val="20"/>
          <w:szCs w:val="20"/>
          <w:color w:val="auto"/>
        </w:rPr>
      </w:pPr>
      <w:r>
        <w:rPr>
          <w:rFonts w:ascii="Arial" w:cs="Arial" w:eastAsia="Arial" w:hAnsi="Arial"/>
          <w:sz w:val="17"/>
          <w:szCs w:val="17"/>
          <w:color w:val="auto"/>
        </w:rPr>
        <w:t>Our legal customers directly and indirectly account for approximately 10% of our annual revenue. We define our legal customer base as the number of customers subscribing to MyCase core solutions, exclusive of free trial periods. Legal customer count is summarized in the table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4"/>
                <w:szCs w:val="14"/>
                <w:b w:val="1"/>
                <w:bCs w:val="1"/>
                <w:color w:val="auto"/>
              </w:rPr>
              <w:t>Quarter Ended</w:t>
            </w:r>
          </w:p>
        </w:tc>
        <w:tc>
          <w:tcPr>
            <w:tcW w:w="1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332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March 31,</w:t>
            </w:r>
          </w:p>
        </w:tc>
        <w:tc>
          <w:tcPr>
            <w:tcW w:w="130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right"/>
              <w:ind w:right="422"/>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33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202"/>
              <w:spacing w:after="0"/>
              <w:rPr>
                <w:sz w:val="20"/>
                <w:szCs w:val="20"/>
                <w:color w:val="auto"/>
              </w:rPr>
            </w:pPr>
            <w:r>
              <w:rPr>
                <w:rFonts w:ascii="Arial" w:cs="Arial" w:eastAsia="Arial" w:hAnsi="Arial"/>
                <w:sz w:val="14"/>
                <w:szCs w:val="14"/>
                <w:b w:val="1"/>
                <w:bCs w:val="1"/>
                <w:color w:val="auto"/>
                <w:w w:val="96"/>
              </w:rPr>
              <w:t>2019</w:t>
            </w:r>
          </w:p>
        </w:tc>
        <w:tc>
          <w:tcPr>
            <w:tcW w:w="1200" w:type="dxa"/>
            <w:vAlign w:val="bottom"/>
            <w:tcBorders>
              <w:top w:val="single" w:sz="8" w:color="auto"/>
              <w:bottom w:val="single" w:sz="8" w:color="auto"/>
            </w:tcBorders>
          </w:tcPr>
          <w:p>
            <w:pPr>
              <w:spacing w:after="0"/>
              <w:rPr>
                <w:sz w:val="17"/>
                <w:szCs w:val="17"/>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Law firm customers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10,971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10,781</w:t>
            </w:r>
          </w:p>
        </w:tc>
        <w:tc>
          <w:tcPr>
            <w:tcW w:w="16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10,631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10,485</w:t>
            </w:r>
          </w:p>
        </w:tc>
      </w:tr>
      <w:tr>
        <w:trPr>
          <w:trHeight w:val="864"/>
        </w:trPr>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jc w:val="right"/>
              <w:ind w:right="99"/>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 Related to the COVID-19 Pandemic</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early calendar year 2020, the novel coronavirus disease, referred to as COVID-19, spread globally, including to every state in the United States, and the World Health Organization has since declared COVID-19 a pandemic. In response to the COVID-19 pandemic, many state, local, and foreign governments have put in place, and others in the future may put in place, travel restrictions, quarantines, "shelter-in-place" orders, and similar government orders and restrictions, in an attempt to control the spread and impact of the disease. Such restrictions or orders, or the perception that such restrictions or orders could be implemented, have resulted in business closures, work stoppages, slowdowns and delays, work-from-home policies, travel restrictions and the cancellation or postponement of events.</w:t>
      </w:r>
    </w:p>
    <w:p>
      <w:pPr>
        <w:spacing w:after="0" w:line="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Beginning in March 2020, in an effort to protect our employees and comply with applicable government orders, we restricted non-essential employee travel and transitioned our employees to a remote work environment. We currently expect our employees to continue working remotely at least through the end of the fiscal year. The professionalism and dedication of our workforce to continue effectively developing and supporting our product and service offerings has persisted notwithstanding the current environment, and the morale and focus of our team, even while working remotely, remains high. We take the health and welfare of our people very seriously, and have encouraged safe practices designed to stem the infection and spread of COVID-19 within our workforce and beyond. With all of that said, if the COVID-19 pandemic requires remote working conditions for a prolonged period of time, it could have an adverse impact on the productivity of our employees, which would harm our business and impede our ability to achieve our strategic plan. For example, we expect our employees with younger children will need to respond to ongoing school closures and adapt to a distance learning environment for at least the first part of the school year. Further, we have a limited history of remote work and the long-term impact on, and the resulting types of continuing investments necessary for, our employee base is uncertain.</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began fiscal year 2020 with healthy demand for our products and services, many of which are designed to enable our customers to manage their businesses virtually. During the three and six months ended June 30, 2020, we experienced some variability in demand for certain Value+ services after government restrictions were implemented. We expect demand variability for our products and services could continue as a result of the COVID-19 pandemic, although it is presently unclear whether the cumulative impacts will be positive or negative.</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actively communicate with and listen to our customers to best ensure that we are responding to their needs in the current environment with innovative solutions that will not only be beneficial now but also over the long-term as well. However, our ability to interact with customers has been impacted by the current environment. For example, we believe that our inability to meet in-person with current or prospective customers, as well as the cancellation or postponement of Company-sponsored events or third-party events at which our products are featured, may have a negative impact on our business.</w:t>
      </w:r>
    </w:p>
    <w:p>
      <w:pPr>
        <w:spacing w:after="0" w:line="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continue to monitor developments related to COVID-19 and remain flexible in our response to the challenges presented by the pandemic. To mitigate the adverse impact COVID-19 may have on our business and operations, we have implemented a number of measures to protect the health and safety of our employees, as well as to strengthen our financial position. These efforts include increasing our cash position and eliminating, reducing, or deferring non-essential expenditures, as well as complying with local and state government recommendations to protect our workforce.</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reported results for the three and six months ended June 30, 2020 may not be reflective of current market conditions, or of our results for any future periods, which may be negatively impacted by the COVID-19 pandemic to a greater extent than the reported period. The impact of the COVID-19 pandemic may also exacerbate other risks discussed in this Quarterly Report. Refer to Item 1A. “Risk Factors” in this Quarterly Report for a complete description of the material risks that we currently face.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7"/>
          <w:szCs w:val="17"/>
          <w:color w:val="auto"/>
        </w:rPr>
        <w:t>We charge our customers on a subscription basis for our core solutions and certain of our Value+ services. Our subscription fees are designed to scale to the size of our customers’ businesses. We recognize subscription revenue over time on a straight-line basis over the contract term beginning on the date that our service is made available to the customer. We generally invoice our customers for subscription services in monthly or annual installments, typically in advance of the subscription period. Revenue from subscription services is impacted by a number of factors, including the change in the number and type of our customers, the size and needs of our customers’ businesses, our customer renewal rates, pricing for our solutions, and the level of adoption of our Value+ subscription services by new and existing customers.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We also charge our customers usage-based fees for using certain Value+ services. Certain of the usage-based fees are paid by either our customers or clients of our customers. Usage-based fees are charged on a flat fee per transaction basis with no minimum usage commitments. We recognize revenue for usage-based services in the period the service is rendered. We generally invoice our customers for usage-based services on a monthly basis for services rendered in the preceding month. Other usage-based fees are collected at the time of service. Revenue from usage-based services is impacted by a number of factors, including the number of new and existing customers that adopt and utilize our Value+ services, the size and needs of our customers, and our customer renewal rates.</w:t>
      </w:r>
    </w:p>
    <w:p>
      <w:pPr>
        <w:spacing w:after="0" w:line="152" w:lineRule="exact"/>
        <w:rPr>
          <w:sz w:val="20"/>
          <w:szCs w:val="20"/>
          <w:color w:val="auto"/>
        </w:rPr>
      </w:pPr>
    </w:p>
    <w:p>
      <w:pPr>
        <w:jc w:val="both"/>
        <w:ind w:firstLine="368"/>
        <w:spacing w:after="0" w:line="275" w:lineRule="auto"/>
        <w:rPr>
          <w:sz w:val="20"/>
          <w:szCs w:val="20"/>
          <w:color w:val="auto"/>
        </w:rPr>
      </w:pPr>
      <w:r>
        <w:rPr>
          <w:rFonts w:ascii="Arial" w:cs="Arial" w:eastAsia="Arial" w:hAnsi="Arial"/>
          <w:sz w:val="17"/>
          <w:szCs w:val="17"/>
          <w:color w:val="auto"/>
        </w:rPr>
        <w:t>We experience limited seasonality in our Value+ services revenue, primarily with respect to certain leasing-related services we provide to our property management customers, including our tenant screening services and new tenant applications which impact electronic payment services revenue. Our property management customers historically have processed fewer applications for new tenants during the fourth quarter. As a result of this seasonal decline in activity, we have typically experienced overall slower sequential revenue growth or a sequential decline in revenue in the fourth quarter of each of our most recent fiscal years. We expect this seasonality to continue in the foreseeable future.</w:t>
      </w:r>
    </w:p>
    <w:p>
      <w:pPr>
        <w:spacing w:after="0" w:line="149" w:lineRule="exact"/>
        <w:rPr>
          <w:sz w:val="20"/>
          <w:szCs w:val="20"/>
          <w:color w:val="auto"/>
        </w:rPr>
      </w:pPr>
    </w:p>
    <w:p>
      <w:pPr>
        <w:jc w:val="both"/>
        <w:ind w:firstLine="418"/>
        <w:spacing w:after="0" w:line="279" w:lineRule="auto"/>
        <w:rPr>
          <w:sz w:val="20"/>
          <w:szCs w:val="20"/>
          <w:color w:val="auto"/>
        </w:rPr>
      </w:pPr>
      <w:r>
        <w:rPr>
          <w:rFonts w:ascii="Arial" w:cs="Arial" w:eastAsia="Arial" w:hAnsi="Arial"/>
          <w:sz w:val="17"/>
          <w:szCs w:val="17"/>
          <w:color w:val="auto"/>
        </w:rPr>
        <w:t>We offer assistance to our customers with on-boarding to our core solutions, as well as website design services. We generally invoice our customers for these other services in advance of the services being completed. We recognize revenue for these other services upon completion of the related service. We generate revenue from RentLinx, WegoWise, and Dynasty stand-alone customers by providing services outside of our property management core solution platform. Revenue derived from customers using these services is recorded in Other revenue.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511"/>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consists of fees paid to third-party service providers associated with delivering certain of our Value+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legal fees and costs associated with the delivery and provision of those services, as well as loss reserves and other costs associated with our legal liability to landlord insurance services), personnel-related costs (including salaries, performance-based compensation, benefits, and stock-based compensation) for our employees focused on customer service and the support of our operations, platform infrastructure costs (such as data center operations and hosting-related costs), payment processing fees and allocated shared and other costs. Cost of revenue excludes depreciation of property and equipment, and amortization of capitalized software development costs and intangible assets. We intend to continue to invest in customer service and support, and the expansion of our technology infrastructure as our business grows.</w:t>
      </w:r>
    </w:p>
    <w:p>
      <w:pPr>
        <w:spacing w:after="0" w:line="69" w:lineRule="exact"/>
        <w:rPr>
          <w:sz w:val="20"/>
          <w:szCs w:val="20"/>
          <w:color w:val="auto"/>
        </w:rPr>
      </w:pPr>
    </w:p>
    <w:p>
      <w:pPr>
        <w:jc w:val="both"/>
        <w:ind w:firstLine="511"/>
        <w:spacing w:after="0" w:line="290"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 consists of personnel-related costs (including salaries, sales commissions,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 We intend to continue to invest in sales and marketing to increase our customer base and increase the adoption and utilization of Value+ services by our new and existing customers.</w:t>
      </w:r>
    </w:p>
    <w:p>
      <w:pPr>
        <w:spacing w:after="0" w:line="57"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i w:val="1"/>
          <w:iCs w:val="1"/>
          <w:color w:val="auto"/>
        </w:rPr>
        <w:t xml:space="preserve">Research and Product Development. </w:t>
      </w:r>
      <w:r>
        <w:rPr>
          <w:rFonts w:ascii="Arial" w:cs="Arial" w:eastAsia="Arial" w:hAnsi="Arial"/>
          <w:sz w:val="17"/>
          <w:szCs w:val="17"/>
          <w:color w:val="auto"/>
        </w:rPr>
        <w:t>Research and product development expense consists of personnel-related costs (including salaries, performance-based compensation, benefits, and stock-based compensation) for our employees focused on research and product development, fees for third-party development resources, and allocated shared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 We intend to continue to invest in research and product development as we continue to introduce new core functionality, roll out new Value+ services, develop new products and services, and expand into adjacent markets and new verticals.</w:t>
      </w:r>
    </w:p>
    <w:p>
      <w:pPr>
        <w:spacing w:after="0" w:line="70" w:lineRule="exact"/>
        <w:rPr>
          <w:sz w:val="20"/>
          <w:szCs w:val="20"/>
          <w:color w:val="auto"/>
        </w:rPr>
      </w:pPr>
    </w:p>
    <w:p>
      <w:pPr>
        <w:jc w:val="both"/>
        <w:ind w:firstLine="662"/>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of personnel-related costs (including salaries, a majority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benefits, and stock-based compensation) for employees in our executive, finance, information technology, human resources, corporate development, legal, and administrative organizations. In addition, general and administrative expense includes fees for third-party professional services (including audit, legal, tax, and consulting services), transaction costs related to business combinations, regulatory fines and penalties, other corporate expenses, and allocated shared costs. We intend to continue to incur incremental general and administrative costs associated with supporting the growth of our business.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14"/>
        <w:spacing w:after="0" w:line="25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of property and equipment, amortization of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As we continue to invest in our research and product development organization and the development or acquisition of new technology, we expect to have increased capitalized software development costs and incremental amortization. Further, we may incur additional amortization expense to the extent we enter into additional arrangements to acquire or invest in new technologies or markets adjacent to those we serve today or entirely new verticals. Finally, as we expand our facilities footprint and increase our base of employees, we expect to have increased property and equipment expenditures and incremental depreciation expense.</w:t>
      </w:r>
    </w:p>
    <w:p>
      <w:pPr>
        <w:spacing w:after="0" w:line="8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includes interest paid on outstanding borrowings under our Credit Agreement. Interest income includes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earned on investment securities, amortization and accretion of the premium and discounts paid from the purchase of investment securities, and interest earned on notes receivable and on cash deposited in our bank accounts.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Benefit from Income Taxes. </w:t>
      </w:r>
      <w:r>
        <w:rPr>
          <w:rFonts w:ascii="Arial" w:cs="Arial" w:eastAsia="Arial" w:hAnsi="Arial"/>
          <w:sz w:val="18"/>
          <w:szCs w:val="18"/>
          <w:color w:val="auto"/>
        </w:rPr>
        <w:t>Benefit from income taxes consists of federal and state income taxes in the United States.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ind w:right="511"/>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4"/>
          </w:tcPr>
          <w:p>
            <w:pPr>
              <w:jc w:val="center"/>
              <w:ind w:left="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Consolidated Statements of Operations Data:</w:t>
            </w: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81,043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63,624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$ 153,538</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$ 120,715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360"/>
              <w:spacing w:after="0" w:line="176" w:lineRule="exact"/>
              <w:rPr>
                <w:sz w:val="20"/>
                <w:szCs w:val="20"/>
                <w:color w:val="auto"/>
              </w:rPr>
            </w:pPr>
            <w:r>
              <w:rPr>
                <w:rFonts w:ascii="Arial" w:cs="Arial" w:eastAsia="Arial" w:hAnsi="Arial"/>
                <w:sz w:val="18"/>
                <w:szCs w:val="18"/>
                <w:color w:val="auto"/>
              </w:rPr>
              <w:t>Cost of revenue (exclusive of</w:t>
            </w:r>
          </w:p>
        </w:tc>
        <w:tc>
          <w:tcPr>
            <w:tcW w:w="16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25,128</w:t>
            </w:r>
          </w:p>
        </w:tc>
        <w:tc>
          <w:tcPr>
            <w:tcW w:w="940" w:type="dxa"/>
            <w:vAlign w:val="bottom"/>
            <w:gridSpan w:val="4"/>
            <w:vMerge w:val="restart"/>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5"/>
                <w:szCs w:val="15"/>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8"/>
                <w:szCs w:val="18"/>
                <w:color w:val="auto"/>
              </w:rPr>
              <w:t>56,372</w:t>
            </w:r>
          </w:p>
        </w:tc>
        <w:tc>
          <w:tcPr>
            <w:tcW w:w="8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49,309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94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5"/>
            <w:vMerge w:val="continue"/>
          </w:tcPr>
          <w:p>
            <w:pPr>
              <w:spacing w:after="0"/>
              <w:rPr>
                <w:sz w:val="19"/>
                <w:szCs w:val="19"/>
                <w:color w:val="auto"/>
              </w:rPr>
            </w:pPr>
          </w:p>
        </w:tc>
        <w:tc>
          <w:tcPr>
            <w:tcW w:w="86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13,717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23"/>
                <w:szCs w:val="23"/>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24,451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Arial" w:cs="Arial" w:eastAsia="Arial" w:hAnsi="Arial"/>
                <w:sz w:val="18"/>
                <w:szCs w:val="18"/>
                <w:color w:val="auto"/>
                <w:w w:val="96"/>
              </w:rPr>
              <w:t xml:space="preserve">Research and product development </w:t>
            </w:r>
            <w:r>
              <w:rPr>
                <w:rFonts w:ascii="Arial" w:cs="Arial" w:eastAsia="Arial" w:hAnsi="Arial"/>
                <w:sz w:val="23"/>
                <w:szCs w:val="23"/>
                <w:color w:val="auto"/>
                <w:w w:val="96"/>
                <w:vertAlign w:val="superscript"/>
              </w:rPr>
              <w:t>(1)</w:t>
            </w:r>
          </w:p>
        </w:tc>
        <w:tc>
          <w:tcPr>
            <w:tcW w:w="160" w:type="dxa"/>
            <w:vAlign w:val="bottom"/>
          </w:tcPr>
          <w:p>
            <w:pPr>
              <w:spacing w:after="0"/>
              <w:rPr>
                <w:sz w:val="23"/>
                <w:szCs w:val="23"/>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12,128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9,339</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3"/>
                <w:szCs w:val="23"/>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23,340</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17,820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14,785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23"/>
                <w:szCs w:val="23"/>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16,406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5,415</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1"/>
                <w:szCs w:val="21"/>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13,071</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4"/>
              </w:rPr>
              <w:t>Total costs and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74,698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61,328</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144,363</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118,477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80" w:type="dxa"/>
            <w:vAlign w:val="bottom"/>
            <w:tcBorders>
              <w:top w:val="single" w:sz="8" w:color="auto"/>
            </w:tcBorders>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9,175</w:t>
            </w:r>
          </w:p>
        </w:tc>
        <w:tc>
          <w:tcPr>
            <w:tcW w:w="100" w:type="dxa"/>
            <w:vAlign w:val="bottom"/>
            <w:tcBorders>
              <w:top w:val="single" w:sz="8" w:color="auto"/>
            </w:tcBorders>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2,238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(1,056)</w:t>
            </w:r>
          </w:p>
        </w:tc>
        <w:tc>
          <w:tcPr>
            <w:tcW w:w="1080" w:type="dxa"/>
            <w:vAlign w:val="bottom"/>
            <w:gridSpan w:val="5"/>
          </w:tcPr>
          <w:p>
            <w:pPr>
              <w:ind w:left="5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benefit from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8,131</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2"/>
              </w:rPr>
              <w:t>(13,484)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(21,338)</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21"/>
                <w:szCs w:val="21"/>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(13,109)</w:t>
            </w:r>
          </w:p>
        </w:tc>
        <w:tc>
          <w:tcPr>
            <w:tcW w:w="1080" w:type="dxa"/>
            <w:vAlign w:val="bottom"/>
            <w:gridSpan w:val="5"/>
          </w:tcPr>
          <w:p>
            <w:pPr>
              <w:ind w:left="5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(25,619)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19,257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21,240</w:t>
            </w:r>
          </w:p>
        </w:tc>
        <w:tc>
          <w:tcPr>
            <w:tcW w:w="1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  26,876</w:t>
            </w: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400" w:type="dxa"/>
            <w:vAlign w:val="bottom"/>
            <w:gridSpan w:val="8"/>
          </w:tcPr>
          <w:p>
            <w:pPr>
              <w:spacing w:after="0"/>
              <w:rPr>
                <w:sz w:val="20"/>
                <w:szCs w:val="20"/>
                <w:color w:val="auto"/>
              </w:rPr>
            </w:pPr>
            <w:r>
              <w:rPr>
                <w:rFonts w:ascii="Arial" w:cs="Arial" w:eastAsia="Arial" w:hAnsi="Arial"/>
                <w:sz w:val="23"/>
                <w:szCs w:val="23"/>
                <w:color w:val="auto"/>
                <w:w w:val="91"/>
                <w:vertAlign w:val="superscript"/>
              </w:rPr>
              <w:t>(1)</w:t>
            </w:r>
            <w:r>
              <w:rPr>
                <w:rFonts w:ascii="Arial" w:cs="Arial" w:eastAsia="Arial" w:hAnsi="Arial"/>
                <w:sz w:val="18"/>
                <w:szCs w:val="18"/>
                <w:color w:val="auto"/>
                <w:w w:val="91"/>
              </w:rPr>
              <w:t xml:space="preserve"> Includes stock-based compensation expense as follows (in thousands):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10"/>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center"/>
              <w:ind w:left="4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tcBorders>
              <w:bottom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color w:val="auto"/>
                <w:w w:val="97"/>
              </w:rPr>
              <w:t>Stock-based compensation expense included in costs and operating expenses: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gridSpan w:val="5"/>
          </w:tcPr>
          <w:p>
            <w:pPr>
              <w:ind w:left="220"/>
              <w:spacing w:after="0"/>
              <w:rPr>
                <w:sz w:val="20"/>
                <w:szCs w:val="20"/>
                <w:color w:val="auto"/>
              </w:rPr>
            </w:pPr>
            <w:r>
              <w:rPr>
                <w:rFonts w:ascii="Arial" w:cs="Arial" w:eastAsia="Arial" w:hAnsi="Arial"/>
                <w:sz w:val="18"/>
                <w:szCs w:val="18"/>
                <w:color w:val="auto"/>
                <w:w w:val="91"/>
              </w:rPr>
              <w:t>Cost of revenue (exclusive of depreciation and amortization)</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Arial" w:cs="Arial" w:eastAsia="Arial" w:hAnsi="Arial"/>
                <w:sz w:val="18"/>
                <w:szCs w:val="18"/>
                <w:color w:val="auto"/>
              </w:rPr>
              <w:t>Research and product development</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w w:val="99"/>
              </w:rPr>
              <w:t>Total stock-based compensation expense</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gridSpan w:val="3"/>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ind w:right="82"/>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3,712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2020 and 2019</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26,061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8"/>
              </w:rPr>
              <w:t>21,609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4,452</w:t>
            </w: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50,963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42,431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8,532</w:t>
            </w:r>
          </w:p>
        </w:tc>
        <w:tc>
          <w:tcPr>
            <w:tcW w:w="3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220" w:type="dxa"/>
            <w:vAlign w:val="bottom"/>
          </w:tcPr>
          <w:p>
            <w:pPr>
              <w:spacing w:after="0"/>
              <w:rPr>
                <w:sz w:val="21"/>
                <w:szCs w:val="21"/>
                <w:color w:val="auto"/>
              </w:rPr>
            </w:pPr>
          </w:p>
        </w:tc>
        <w:tc>
          <w:tcPr>
            <w:tcW w:w="760" w:type="dxa"/>
            <w:vAlign w:val="bottom"/>
          </w:tcPr>
          <w:p>
            <w:pPr>
              <w:jc w:val="right"/>
              <w:ind w:right="58"/>
              <w:spacing w:after="0"/>
              <w:rPr>
                <w:sz w:val="20"/>
                <w:szCs w:val="20"/>
                <w:color w:val="auto"/>
              </w:rPr>
            </w:pPr>
            <w:r>
              <w:rPr>
                <w:rFonts w:ascii="Arial" w:cs="Arial" w:eastAsia="Arial" w:hAnsi="Arial"/>
                <w:sz w:val="18"/>
                <w:szCs w:val="18"/>
                <w:color w:val="auto"/>
              </w:rPr>
              <w:t>51,592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39,056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12,536</w:t>
            </w:r>
          </w:p>
        </w:tc>
        <w:tc>
          <w:tcPr>
            <w:tcW w:w="3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8"/>
              <w:spacing w:after="0"/>
              <w:rPr>
                <w:sz w:val="20"/>
                <w:szCs w:val="20"/>
                <w:color w:val="auto"/>
              </w:rPr>
            </w:pPr>
            <w:r>
              <w:rPr>
                <w:rFonts w:ascii="Arial" w:cs="Arial" w:eastAsia="Arial" w:hAnsi="Arial"/>
                <w:sz w:val="18"/>
                <w:szCs w:val="18"/>
                <w:color w:val="auto"/>
              </w:rPr>
              <w:t>95,730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72,754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22,976</w:t>
            </w:r>
          </w:p>
        </w:tc>
        <w:tc>
          <w:tcPr>
            <w:tcW w:w="3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431</w:t>
            </w: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6,845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1,315</w:t>
            </w:r>
          </w:p>
        </w:tc>
        <w:tc>
          <w:tcPr>
            <w:tcW w:w="3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81,043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8"/>
              </w:rPr>
              <w:t>63,624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17,419</w:t>
            </w:r>
          </w:p>
        </w:tc>
        <w:tc>
          <w:tcPr>
            <w:tcW w:w="3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w w:val="98"/>
              </w:rPr>
              <w:t>153,538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89"/>
              </w:rPr>
              <w:t>120,715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32,823</w:t>
            </w:r>
          </w:p>
        </w:tc>
        <w:tc>
          <w:tcPr>
            <w:tcW w:w="3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2020 and 2019, we derived the significant majority of our revenue directly and indirectly from the software solutions, services and data analytics we offer to our real estate market customers, most notably from our property management solutions. The majority of our revenue is derived from our property management core solutions and Value+ services utilized by property managers, residents, applicants and owners.</w:t>
      </w:r>
    </w:p>
    <w:p>
      <w:pPr>
        <w:spacing w:after="0" w:line="7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increase in core solutions and Value+ services revenue was mainly attributable to a growing base of property management customers and additional residents, applicants and owners utilizing our Value+ services. During the comparative three and six months ended June 30, 2020, we experienced growth of 17% and 18%, respectively, in the average number of property management units under management resulting from 10% growth in the average number of property management customers during the same periods. In addition, the increase in core solutions revenue was also attributable to growth of 6% and 7%, respectively, in the average number of law firm customers coupled with a core solutions price increase rolled out during the period.</w:t>
      </w:r>
    </w:p>
    <w:p>
      <w:pPr>
        <w:spacing w:after="0" w:line="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significant majority of our Value+ services revenue comes directly and indirectly from our customers' use of our electronic payment services, tenant screening services, and insurance services. Our electronic payment services experienced increased demand during the most recent quarter as residents, property managers, owners and customers transacted more business online. It is unclear whether the trend will continue over the long term. During the comparative periods, we also introduced new Value+ services and expanded the functionality of others, which resulted in incremental revenue. The increase in Other revenue was primarily attributable to increases in revenue from our acquisitions of WegoWise and Dynasty, onboarding fees driven by growth in the number of property management customers, and fees associated with our property management customers upgrading to a new website hosting platform.</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0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8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2"/>
              </w:rPr>
              <w:t>(dollars in thousands)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(exclusive of</w:t>
            </w: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27,411</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25,128</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2,283</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9 %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56,372</w:t>
            </w: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49,309</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7,063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5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cost of revenue (exclusive of depreciation and amortization) for the three months ended June 30, 2020 compared to the three months ended June 30, 2019, was primarily attributable to increased costs associated with servicing the incremental $17.4 million in revenue over the same period, partially offset by third party service provider incentives earned of $2.0 million.</w:t>
      </w:r>
    </w:p>
    <w:p>
      <w:pPr>
        <w:spacing w:after="0" w:line="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months ended June 30, 2020, expenditures to third-party service providers related to the delivery of our Value+ services increased $2.3 million, which was directly associated with the increased adoption and utilization of our Value+ services, as evidenced by the $12.5 million increase in Value+ services revenue. Offsetting this volume increase was $2.0 million of annual maximum incentives earned during the period from third-party service providers related to programs intended to increase adoption and utilization of online payments and favorable trends in loss reserves in our insurance services business. Personnel-related costs, including performance-based compensation, necessary to support growth and key investments in the business, increased $2.0 million. Allocated and other costs increased by $0.1 million primarily driven by an increase in platform infrastructure, payment processing and other costs associated with the delivery and provision of our Value+ services, partially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offset by a reduction of workplace-related expenses and the reduction of other non-essential expenditures in response to the impact of the COVID-19 pandemic.</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cost of revenue (exclusive of depreciation and amortization) for the six months ended June 30, 2020 compared to the six months ended June 30, 2019, was primarily attributable to increased costs associated with servicing the incremental $32.8 million in revenue over the same period, partially offset by third-party service provider incentives earned of $2.1 million.</w:t>
      </w:r>
    </w:p>
    <w:p>
      <w:pPr>
        <w:spacing w:after="0" w:line="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six months ended June 30, 2020, expenditures to third-party service providers related to the delivery of our Value+ services increased $5.8 million, which was directly associated with the increased adoption and utilization of our Value+ services, as evidenced by the $23.0 million increase in Value+ services revenue. Partially offsetting this volume increase was $2.1 million of annual maximum incentives earned during the period from third-party service providers related to programs intended to increase adoption and utilization of online payments and favorable trends in loss reserves in our insurance services business. Personnel-related costs, including performance-based compensation, necessary to support growth and key investments in the business, increased $2.6 million. Allocated and other costs increased by $0.8 million primarily driven by an increase in platform infrastructure, payment processing and other costs associated with the delivery and provision of our Value+ services, partially offset by a reduction of workplace-related expenses and the reduction of other non-essential expenditures in response to the impact of the COVID-19 pandemic.</w:t>
      </w:r>
    </w:p>
    <w:p>
      <w:pPr>
        <w:spacing w:after="0" w:line="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percentage of revenue, cost of revenue (exclusive of depreciation and amortization) fluctuates primarily based on the mix and prices of Value+ services utilized during the period, and investments made in advance of expected revenue generation. Excluding the third-party service provider incentives earned during the period, as a percentage of revenue, cost of revenue (exclusive of depreciation and amortization) decreased to 36.4% from 39.5% for the three months ended June 30, 2020 compared to the three months ended June 30, 2019, and to 38.1% from 40.8% for the six months ended June 30, 2020 compared to the six months ended June 30, 2019. This improvement in cost as a percentage of revenue was primarily driven by the mix of Value+ services revenue with varying underlying costs and our ability to increase revenue with a more moderate increase in personnel-related costs.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02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0"/>
              </w:rPr>
              <w:t>(dollars in thousands)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13,717</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13,232</w:t>
            </w:r>
          </w:p>
        </w:tc>
        <w:tc>
          <w:tcPr>
            <w:tcW w:w="4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8"/>
                <w:szCs w:val="18"/>
                <w:color w:val="auto"/>
              </w:rPr>
              <w:t>485</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4 %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24,451</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3,772</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5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increase in sales and marketing expense for the three months ended June 30, 2020 compared to the three months ended June 30, 2019, was primarily due to a $2.0 million increase in personnel-related costs, including performance-based compensation, necessary to support growth and key investments in the business. As a result of the COVID-19 pandemic, advertising and promotion costs decreased by $0.7 million primarily due to the cancellation or postponement of in-person events and the reduction of online marketing spend. In addition, there was a decrease in allocated and other costs of $0.8 million related to a reduction of workplace-related expenses, the elimination of event-related travel from cancelled or postponed events and the reduction of other non-essential expenditures in response to the impact of the COVID-19 pandemic. The investment we make in sales and marketing is key to acquiring new customers, expanding the adoption and utilization of Value+ services, and growing revenue over time. Notwithstanding these decreases, we intend to continue to invest in sales and marketing to increase our customer base and increase the adoption and utilization of Value+ services over time.</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increase in sales and marketing expense for the six months ended June 30, 2020 compared to the six months ended June 30, 2019, was primarily due to a $4.5 million increase in personnel-related costs, including performance-based compensation, necessary to support growth and key investments in the business. As a result of the COVID-19 pandemic, advertising and promotion costs decreased by $0.3 million primarily due to the cancellation or postponement of in-person events and the reduction of online marketing spend. In addition, there was a decrease in allocated and other costs of $0.5 million related to a reduction of workplace-related expenses, the elimination of event-related travel from cancelled or postponed events and the reduction of other non-essential expenditures in response to the impact of the COVID-19 pandemic.</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percentage of revenue, sales and marketing expense decreased to 16.9% from 20.8% for the three months ended June 30, 2020 compared to the three months ended June 30, 2019 and 18.4% from 20.3% for the six months ended June 30, 2020 compared to the six months ended June 30, 2019. This leverage in cost as a percentage of revenue was primarily driven by the reduction of advertising and promotion, event related travel and other non-essential expenditures as a result of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COVID-19 pandemic. Notwithstanding the leverage in cost as a percentage of revenue, we intend to continue to invest in sales and marketing to increase our customer base and increase the adoption and utilization of Value+ services over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00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product</w:t>
            </w:r>
          </w:p>
        </w:tc>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12,128</w:t>
            </w: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8"/>
                <w:szCs w:val="18"/>
                <w:color w:val="auto"/>
              </w:rPr>
              <w:t>2,789</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23,340</w:t>
            </w: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17,820</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5,520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research and product development expense for the three months ended June 30, 2020 compared to the three months ended June 30, 2019, was the result of an increase in personnel-related costs, net of capitalized software development costs, of $3.3 million due to investments in headcount growth within our research and product development organization. This increase was partially offset by a decrease in allocated and other costs of $0.5 million related to a reduction of workplace-related expenses and the reduction of other non-essential expenditures in response to the impact of the COVID-19 pandemic.</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research and product development expense for the six months ended June 30, 2020 compared to the six months ended June 30, 2019, was the result of an increase in personnel-related costs, net of capitalized software development costs, of $5.6 million due to investments in headcount growth within our research and product development organization. This increase was partially offset by a decrease in allocated and other costs of $0.1 million related to a reduction of workplace related expenses and the reduction of other non-essential expenditures in response to the impact of the COVID-19 pandemic.</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00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14,785</w:t>
            </w: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8"/>
                <w:szCs w:val="18"/>
                <w:color w:val="auto"/>
              </w:rPr>
              <w:t>6,571</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23,357</w:t>
            </w: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16,406</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6,951</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The increase in general and administrative expense for the three months ended June 30, 2020 compared to the three months ended June 30, 2019 was primarily due to a $4.3 million expense recorded during the current period, which we believe is a reasonable estimate of the probable loss associated with the FTC Investigation based on information currently available to us. For additional information regarding the FTC Investigation and related matters, refer to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of our Condensed Consolidated Financial Statements. In addition, personnel-related costs, including performance-based compensation, necessary to support growth and key investments in the business, increased $2.6 million. This increase was partially offset by a decrease in allocated and other costs of $0.3 million related to a reduction of workplace-related expenses and the reduction of other non-essential expenditures in response to the impact of the COVID-19 pandemic.</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increase in general and administrative expense for the six months ended June 30, 2020 compared to the six months ended June 30, 2019, was primarily due to a $4.3 million expense recorded during the current period related to the probable loss associated with the FTC Investigation. In addition, personnel-related costs, including performance-based compensation, necessary to support growth and key investments in the business, increased $3.3 million. This increase was partially offset by a decrease in allocated and other costs of $0.7 million related to a reduction of workplace-related expenses and the reduction of other non-essential expenditures in response to the impact of the COVID-19 pandemic.</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stock-based compensation expense will continue to decrease for certain executives in light of our adoption of the Long-Term Cash Bonus Plan in 2018. No accrual has yet been made under this plan as a result of the high degree of uncertainty regarding potential future payments under the plan.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2"/>
              </w:rPr>
              <w:t>(dollars in thousands)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8"/>
                <w:szCs w:val="18"/>
                <w:color w:val="auto"/>
              </w:rPr>
              <w:t>1,242</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6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10,491</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2,580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6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depreciation and amortization expense for the three and six months ended June 30, 2020 compared to the three and six months ended June 30, 2019, was primarily due to increased amortization expense associated with higher accumulated capitalized software development balances.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left="741"/>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2"/>
              </w:rPr>
              <w:t>(dollars in thousands)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w w:val="98"/>
              </w:rPr>
              <w:t>$  (13,484)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2"/>
              </w:rPr>
              <w:t>(21,338)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8"/>
                <w:szCs w:val="18"/>
                <w:color w:val="auto"/>
              </w:rPr>
              <w:t>7,854</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  $</w:t>
            </w:r>
          </w:p>
        </w:tc>
        <w:tc>
          <w:tcPr>
            <w:tcW w:w="9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(13,109)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5"/>
              </w:rPr>
              <w:t>(25,619)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  12,510</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(49)%</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94"/>
        <w:spacing w:after="0" w:line="277" w:lineRule="auto"/>
        <w:rPr>
          <w:sz w:val="20"/>
          <w:szCs w:val="20"/>
          <w:color w:val="auto"/>
        </w:rPr>
      </w:pPr>
      <w:r>
        <w:rPr>
          <w:rFonts w:ascii="Arial" w:cs="Arial" w:eastAsia="Arial" w:hAnsi="Arial"/>
          <w:sz w:val="18"/>
          <w:szCs w:val="18"/>
          <w:color w:val="auto"/>
        </w:rPr>
        <w:t>We calculate our provision for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2020, we recorded income tax benefit of $13.5 million and $13.1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and six months ended June 30, 2019, we recorded an income tax benefit of $21.3 million and $25.6 million, respectively. The tax benefits recorded were primarily due to the release of the valuation allowance during the second quarter of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of June 30, 2020, our principal sources of liquidity were cash and cash equivalents and investment securities, which had an aggregate balance of $80.2 million. During the six months ended June 30, 2020, we increased cash and cash equivalents by borrowing $49.0 million of the $50.0 million available under our Revolving Facility. Our available cash is subject to our ongoing compliance with the financial covenants set forth in the Credit Agreement. For additional information regarding the Credit Agreement, refer to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June 30, 2020, we had working capital of $55.4 million, compared to working capital of $14.3 million as of December 31, 2019. The increase in our working capital was primarily due to an increase in cash and cash equivalents as a result of our borrowing under the Revolving Facility, a decrease in other current liabilities due to the payment of contingent consideration related to the Dynasty acquisition, and an increase in accounts receivable primarily driven by increased usage of our Value+ services. The increase in our working capital was partially offset by a decrease in investment securities-current and increases in accrued expenses, accounts payable and accrued employee expenses.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June 30, 2020, we had a $50.0 million Revolving Facility under the terms of the Credit Agreement with $1.0 million remaining available to borrow. During the six months ended June 30, 2020, we borrowed $49.0 million under our Revolving Facility to provide additional liquidity in light of the uncertainty caused by the COVID-19 pandemic. For additional information regarding the Credit Agreement, refer to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existing cash and cash equivalents, investment securities, and cash generated from operating activities will be sufficient to meet our working capital and capital expenditure requirements for at least the next 12 months.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 xml:space="preserve">Our future capital requirements will depend on many factors, including continued market acceptance of our software solutions, change in the number of our customers, adoption and utilization of our Value+ services by new and existing customers, the timing and extent of the introduction of new core functionality, products and Value+ services, the timing and extent of our expansion into adjacent or new markets, the timing and extent of our investments across our organization, and the impact of the COVID-19 pandemic on the customers we serve and on our business.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from time to time. To date, we have repurchased $4.2 million of our Class A common stock under the Program. For additional information regarding our share repurchase program, refer to Note 10, </w:t>
      </w:r>
      <w:r>
        <w:rPr>
          <w:rFonts w:ascii="Arial" w:cs="Arial" w:eastAsia="Arial" w:hAnsi="Arial"/>
          <w:sz w:val="16"/>
          <w:szCs w:val="16"/>
          <w:i w:val="1"/>
          <w:iCs w:val="1"/>
          <w:color w:val="auto"/>
        </w:rPr>
        <w:t>Share Repurchase Program,</w:t>
      </w:r>
      <w:r>
        <w:rPr>
          <w:rFonts w:ascii="Arial" w:cs="Arial" w:eastAsia="Arial" w:hAnsi="Arial"/>
          <w:sz w:val="16"/>
          <w:szCs w:val="16"/>
          <w:color w:val="auto"/>
        </w:rPr>
        <w:t xml:space="preserve"> of our Condensed Consolidated Financial Statements.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49"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13335</wp:posOffset>
            </wp:positionV>
            <wp:extent cx="1731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4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27,376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11,813</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000" w:type="dxa"/>
            <w:vAlign w:val="bottom"/>
          </w:tcPr>
          <w:p>
            <w:pPr>
              <w:jc w:val="center"/>
              <w:ind w:left="94"/>
              <w:spacing w:after="0"/>
              <w:rPr>
                <w:sz w:val="20"/>
                <w:szCs w:val="20"/>
                <w:color w:val="auto"/>
              </w:rPr>
            </w:pPr>
            <w:r>
              <w:rPr>
                <w:rFonts w:ascii="Arial" w:cs="Arial" w:eastAsia="Arial" w:hAnsi="Arial"/>
                <w:sz w:val="18"/>
                <w:szCs w:val="18"/>
                <w:color w:val="auto"/>
                <w:w w:val="92"/>
              </w:rPr>
              <w:t>(18,712)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(60,777)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color w:val="auto"/>
                <w:w w:val="87"/>
              </w:rPr>
              <w:t>28,840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(5,597)</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center"/>
              <w:ind w:left="114"/>
              <w:spacing w:after="0"/>
              <w:rPr>
                <w:sz w:val="20"/>
                <w:szCs w:val="20"/>
                <w:color w:val="auto"/>
              </w:rPr>
            </w:pPr>
            <w:r>
              <w:rPr>
                <w:rFonts w:ascii="Arial" w:cs="Arial" w:eastAsia="Arial" w:hAnsi="Arial"/>
                <w:sz w:val="18"/>
                <w:szCs w:val="18"/>
                <w:color w:val="auto"/>
                <w:w w:val="87"/>
              </w:rPr>
              <w:t>37,504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(54,561)</w:t>
            </w:r>
          </w:p>
        </w:tc>
      </w:tr>
      <w:tr>
        <w:trPr>
          <w:trHeight w:val="27"/>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2"/>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1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six months ended June 30, 2020, net cash provided by operating activities was $27.4 million resulting from net income of $21.2 million, adjusted by non-cash charges of $5.7 million and a net increase in our operating assets and liabilities of $0.4 million. The non-cash charges primarily consist of an increase in deferred taxes of $13.1 million, $13.1 million of depreciation and amortization costs, stock-based compensation expense of $3.7 million, and $2.1 million of amortization of operating lease right-of-use assets. The net increase in our operating assets and liabilities was mostly attributable to a $5.1 million increase in accounts receivable primarily driven by growth of our Value+ services, partially offset by a $4.5 million increase in accrued expenses which was primarily due to a $4.3 million accrual recorded during the current period related to our reasonable estimate of the probable loss associated with the FTC Investigation, a $0.7 million increase in accrued employee expenses primarily due to an increase in accrued paid time off and partially offset by a decrease in accrued performance-based cash compensation and a $0.5 million increase in deferred revenue driven by growth in the number of customers invoiced during the period.</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six months ended June 30, 2019, cash provided by operating activities was $11.8 million resulting from net income of $26.9 million, adjusted by non-cash charges of $9.9 million and a net decrease in our operating assets and liabilities of $5.2 million. The non-cash charges primarily consist of a one-time benefit of $25.6 million related to the release of the valuation allowance for our deferred tax assets, offset by $10.5 million of depreciation and amortization of our property and equipment and capitalized software development costs, $3.2 million of stock-based compensation and $1.9 million of amortization of operating lease right-of-use assets. The net decrease in our operating assets and liabilities was mostly attributable to an increase of $5.2 million in prepaid expenses and other current assets, $2.7 million increase in accounts receivable primarily driven by growth in our Value+ services and a $1.8 million decrease in operating lease liabilities. The decrease in our operating assets and liabilities was partially offset by a $1.3 million decrease in other long-term assets, a $1.4 million increase in accrued expenses and a $0.7 million increase in accrued employee expenses.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Cash used in investing activities is generally comprised of purchases, maturities and sales of investment securities, purchases of property and equipment, additions to capitalized software development, and cash paid for business acquisitions.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2020, investing activities used $18.7 million in cash primarily due to capital expenditures of $14.3 million to purchase property and equipment for the continued growth and expansion of our business, purchases of investment securities of $13.4 million, and capitalized software development costs of $12.7 million for the continued investment in our software development. These uses of cash were partially offset by sales and maturities of investment securities of $13.9 million and $7.8 million, respectively.</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2019, investing activities used $60.8 million in cash primarily due to $54.0 million used to acquire Dynasty, as well as capitalized software development costs of $9.4 million for the continued investment in our software development, and capital expenditures of $2.4 million to purchase property and equipment for the continued growth and expansion of our business. These uses were partially offset by sales and maturities of investment securities of $1.8 million and $4.0 million, respectively.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17" w:lineRule="exact"/>
        <w:rPr>
          <w:sz w:val="20"/>
          <w:szCs w:val="20"/>
          <w:color w:val="auto"/>
        </w:rPr>
      </w:pPr>
    </w:p>
    <w:p>
      <w:pPr>
        <w:jc w:val="both"/>
        <w:ind w:firstLine="527"/>
        <w:spacing w:after="0" w:line="263" w:lineRule="auto"/>
        <w:rPr>
          <w:sz w:val="20"/>
          <w:szCs w:val="20"/>
          <w:color w:val="auto"/>
        </w:rPr>
      </w:pPr>
      <w:r>
        <w:rPr>
          <w:rFonts w:ascii="Arial" w:cs="Arial" w:eastAsia="Arial" w:hAnsi="Arial"/>
          <w:sz w:val="18"/>
          <w:szCs w:val="18"/>
          <w:color w:val="auto"/>
        </w:rPr>
        <w:t>Cash provided by (used in) financing activities is generally comprised of proceeds from the exercise of stock options, net share settlements for employee tax withholdings associated with the vesting of RSUs, the payment of contingent consideration under acquisition arrangements, activities associated with our Credit Facility, and activities related to the repurchase of our Class A common stock.</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2020, financing activities provided $28.8 million in cash primarily as a result of proceeds from the Revolving Facility of $50.2 million, partially offset by net share settlements for employee tax withholdings associated with the vesting of RSUs of $9.7 million, payment of contingent consideration related to the Dynasty acquisition of $6.0 million, the repurchase of outstanding shares of Class A common stock in the amount of $4.2 million, and principal payments on debt of $1.8 million.</w:t>
      </w:r>
    </w:p>
    <w:p>
      <w:pPr>
        <w:spacing w:after="0" w:line="16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six months ended June 30, 2019, financing activities used $5.6 million in cash primarily as a result of net share settlements for employee tax withholdings associated with the vesting of RSUs of $4.8 million, as well as principal payments on debt of $1.8 million, and payments of debt issuance costs of $0.4 million, partially offset by proceeds from issuance of debt of $1.2 million and proceeds from stock option exercises of $0.2 million.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2020,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COVID-19 has created and may continue to create significant uncertainty in a wide variety of industries and markets, which may reduce demand for our core solutions and/or Value+ services, impact the productivity of our workforce, reduce our access to capital, and harm our business and results of operations. As of the date of our Condensed Consolidated Financial Statements, we are not aware of any specific event or circumstance that would require us to update our estimates or judgments, or to revise the carrying value of our assets or liabilities. However, these estimates may change as new events occur and additional information is obtained, which may result in changes being recognized in our consolidated financial statements in future periods. While we considered the effects of COVID-19 in our estimates and assumptions, due to the current level of uncertainty over the economic and operational impacts of COVID-19 on our business, there may be other judgments and assumptions that were not currently considered. Such judgments and assumptions could result in a meaningful impact to our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statements in future periods. Actual results could differ from those estimates and any such differences may have a material impact on our financial statements.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and estimates described in our Annual Report that have had a material impact on our Condensed Consolidated Financial Statements and related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0" w:firstLine="871"/>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June 30, 2020, we had cash and cash equivalents of $53.3 million consisting of bank deposits, money market funds, and treasury securities, and $26.9 million of investment securities consisting of treasury securities, United States government agency securities and corporate bonds. The primary objective of our investment policy is to invest in securities to support our liquidity and capital needs. We have not purchased investments for trading or speculative purposes and have not used any derivative financial instruments to manage our credit risk or interest rate risk exposure.</w:t>
      </w:r>
    </w:p>
    <w:p>
      <w:pPr>
        <w:spacing w:after="0" w:line="49" w:lineRule="exact"/>
        <w:rPr>
          <w:sz w:val="20"/>
          <w:szCs w:val="20"/>
          <w:color w:val="auto"/>
        </w:rPr>
      </w:pPr>
    </w:p>
    <w:p>
      <w:pPr>
        <w:jc w:val="both"/>
        <w:ind w:firstLine="454"/>
        <w:spacing w:after="0" w:line="273" w:lineRule="auto"/>
        <w:rPr>
          <w:sz w:val="20"/>
          <w:szCs w:val="20"/>
          <w:color w:val="auto"/>
        </w:rPr>
      </w:pPr>
      <w:r>
        <w:rPr>
          <w:rFonts w:ascii="Arial" w:cs="Arial" w:eastAsia="Arial" w:hAnsi="Arial"/>
          <w:sz w:val="17"/>
          <w:szCs w:val="17"/>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As of June 30, 2020 a hypothetical 100 basis point change in interest rates would not have resulted in a material change in the fair value of our investment securities. This estimate is based on a sensitivity model which measured an instant change in interest rates by 100 basis points as of June 30, 2020.</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firstLine="451"/>
        <w:spacing w:after="0" w:line="255" w:lineRule="auto"/>
        <w:rPr>
          <w:sz w:val="20"/>
          <w:szCs w:val="20"/>
          <w:color w:val="auto"/>
        </w:rPr>
      </w:pPr>
      <w:r>
        <w:rPr>
          <w:rFonts w:ascii="Arial" w:cs="Arial" w:eastAsia="Arial" w:hAnsi="Arial"/>
          <w:sz w:val="18"/>
          <w:szCs w:val="18"/>
          <w:color w:val="auto"/>
        </w:rPr>
        <w:t xml:space="preserve">We are exposed to interest rate risk as a result of our Credit Facility. Outstanding borrowings under the Credit Facility accrue interest as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 Our borrowings under the Credit Facility are subject to interest rate fluctuations, which could have a material impact on our cash flows and results of operations depending on the magnitude of the fluctuations and the outstanding borrowings. In order to determine the potential impact of changes in interest rates on our cash flows and result of operations, we performed a sensitivity analysis. A hypothetical 100 basis point increase in interest rates during the period ended June 30, 2020 would not have had a material impact on our cash flows or results of operations.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been exposed to, nor do we anticipate being exposed to, material risks relating to foreign currency fluctuations.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We have not experienced any material changes to our internal controls over financial reporting despite the fact that all non-essential employees are working remotely due to the COVID-19 pandemic. We are continually monitoring the impact of COVID-19 on the operating effectiveness of our internal control over financial reporting.</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117"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additional information regarding investigatory inquiries and legal proceedings, refer to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our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An investment in our Class A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192" w:lineRule="exact"/>
        <w:rPr>
          <w:sz w:val="20"/>
          <w:szCs w:val="20"/>
          <w:color w:val="auto"/>
        </w:rPr>
      </w:pPr>
    </w:p>
    <w:p>
      <w:pPr>
        <w:jc w:val="both"/>
        <w:ind w:right="20" w:firstLine="429"/>
        <w:spacing w:after="0" w:line="277"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Health epidemics, including the COVID-19 pandemic, have had, and could in the future have, a material adverse impact on our operations, the operations of our customers and other business partners, and the markets and communities in which we and our customers and partners operate.</w:t>
      </w:r>
    </w:p>
    <w:p>
      <w:pPr>
        <w:spacing w:after="0" w:line="1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2019, a novel coronavirus disease, referred to as COVID-19, was reported and has spread globally, including to every state in the United States. On March 11, 2020, the World Health Organization declared COVID-19 a pandemic, and on March 13, 2020, the United States government declared a national emergency with respect to COVID-19.</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COVID-19 pandemic has had, and another public health crisis or epidemic in the future could have, repercussions across local, regional and global economies and financial markets. The outbreak of COVID-19 in many countries, including the United States, has adversely impacted global economic activity and has contributed to volatility in and negative pressure on financial markets. 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cancellation or postponement of events, among other effects that could negatively impact our operations, as well as the operations of our customers and business partners.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Beginning in March 2020, we restricted non-essential employee travel and transitioned our employees to a remote work environment. We currently expect our employees to continue working remotely at least through the end of the fiscal year. Although we have not experienced a material impact from shifting our employees to a remote work environment, there is no guarantee that our employees will be as effective while working remotely due to a number of factors, including the inability of team members to communicate as effectively in a remote environment, the reality that employees may have additional personal needs to attend to (such as looking after children as a result of school closures or family members who become sick), and employees may become sick themselves and unable to work. If the COVID-19 pandemic requires remote working conditions for a prolonged period of time, it could have an adverse impact on the productivity of our employees, which would harm our business and impede our ability to achieve our strategic plan. Further, we have a limited history of remote work and the long-term impact on, and the resulting types of continuing investments necessary for, our employee base is uncertain. In addition, in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an effort to manage the financial uncertainty involved with the COVID-19 pandemic, we have delayed the hiring of certain non-essential employees.</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COVID-19 pandemic has resulted in a rapid rise in unemployment and a sudden decrease in global economic activity, and many businesses have experienced, or are anticipating that they may experience, a significant negative impact on their operating results. While we did not experience a significant impact on the demand for our core products and Value+ services during the period ended June 30, 2020, we anticipate greater demand impacts in future periods, although the timing and magnitude of these impacts is difficult to estimate. In addition, our inability to meet in-person with current or prospective customers, or the cancellation or postponement of Company-sponsored events or third-party events at which our products are featured, could have a negative impact on our customer engagement efforts, which could further impact demand in future periods.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Furthermore, the demand for our products and services, as well as our operating results, could be adversely impacted due to number of other factors, including the following:</w:t>
      </w:r>
    </w:p>
    <w:p>
      <w:pPr>
        <w:spacing w:after="0" w:line="116" w:lineRule="exact"/>
        <w:rPr>
          <w:sz w:val="20"/>
          <w:szCs w:val="20"/>
          <w:color w:val="auto"/>
        </w:rPr>
      </w:pPr>
    </w:p>
    <w:p>
      <w:pPr>
        <w:ind w:left="1140" w:right="20" w:hanging="484"/>
        <w:spacing w:after="0" w:line="277" w:lineRule="auto"/>
        <w:tabs>
          <w:tab w:leader="none" w:pos="11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customers delaying decisions to adopt our core products, or expand the use of our Value+ services, as they seek to reduce or delay spending in response to the impacts of COVID-19 on their own businesses;</w:t>
      </w:r>
    </w:p>
    <w:p>
      <w:pPr>
        <w:spacing w:after="0" w:line="102" w:lineRule="exact"/>
        <w:rPr>
          <w:rFonts w:ascii="Arial" w:cs="Arial" w:eastAsia="Arial" w:hAnsi="Arial"/>
          <w:sz w:val="18"/>
          <w:szCs w:val="18"/>
          <w:color w:val="auto"/>
        </w:rPr>
      </w:pPr>
    </w:p>
    <w:p>
      <w:pPr>
        <w:ind w:left="1140" w:hanging="484"/>
        <w:spacing w:after="0" w:line="277" w:lineRule="auto"/>
        <w:tabs>
          <w:tab w:leader="none" w:pos="11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properties owned by our customers resulting from government restrictions or orders;</w:t>
      </w:r>
    </w:p>
    <w:p>
      <w:pPr>
        <w:spacing w:after="0" w:line="116"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deterioration in our ability, or the ability of our customers, to operate in affected geographic areas;</w:t>
      </w:r>
    </w:p>
    <w:p>
      <w:pPr>
        <w:spacing w:after="0" w:line="171" w:lineRule="exact"/>
        <w:rPr>
          <w:rFonts w:ascii="Arial" w:cs="Arial" w:eastAsia="Arial" w:hAnsi="Arial"/>
          <w:sz w:val="18"/>
          <w:szCs w:val="18"/>
          <w:color w:val="auto"/>
        </w:rPr>
      </w:pPr>
    </w:p>
    <w:p>
      <w:pPr>
        <w:ind w:left="1140" w:hanging="484"/>
        <w:spacing w:after="0" w:line="277" w:lineRule="auto"/>
        <w:tabs>
          <w:tab w:leader="none" w:pos="11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bankruptcies or other financial difficulties facing our customers, which could cause them to delay making payments to us, or result in them terminating or reducing their use of our core products or Value+ services;</w:t>
      </w:r>
    </w:p>
    <w:p>
      <w:pPr>
        <w:spacing w:after="0" w:line="116"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of tenants to meet their obligations to our customers, resulting in tenant evictions or the sale of properties;</w:t>
      </w:r>
    </w:p>
    <w:p>
      <w:pPr>
        <w:spacing w:after="0" w:line="157" w:lineRule="exact"/>
        <w:rPr>
          <w:rFonts w:ascii="Arial" w:cs="Arial" w:eastAsia="Arial" w:hAnsi="Arial"/>
          <w:sz w:val="18"/>
          <w:szCs w:val="18"/>
          <w:color w:val="auto"/>
        </w:rPr>
      </w:pPr>
    </w:p>
    <w:p>
      <w:pPr>
        <w:ind w:left="1140" w:hanging="484"/>
        <w:spacing w:after="0" w:line="277" w:lineRule="auto"/>
        <w:tabs>
          <w:tab w:leader="none" w:pos="11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key business partners to provide services needed for our efficient operations, including with respect to electronic payments and tenant screening;</w:t>
      </w:r>
    </w:p>
    <w:p>
      <w:pPr>
        <w:spacing w:after="0" w:line="116" w:lineRule="exact"/>
        <w:rPr>
          <w:rFonts w:ascii="Arial" w:cs="Arial" w:eastAsia="Arial" w:hAnsi="Arial"/>
          <w:sz w:val="18"/>
          <w:szCs w:val="18"/>
          <w:color w:val="auto"/>
        </w:rPr>
      </w:pPr>
    </w:p>
    <w:p>
      <w:pPr>
        <w:ind w:left="1140" w:hanging="484"/>
        <w:spacing w:after="0" w:line="277" w:lineRule="auto"/>
        <w:tabs>
          <w:tab w:leader="none" w:pos="11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reliability or availability of our core products or Value+ services as a result of errors, defects or service interruptions caused by the remote work environment;</w:t>
      </w:r>
    </w:p>
    <w:p>
      <w:pPr>
        <w:spacing w:after="0" w:line="116" w:lineRule="exact"/>
        <w:rPr>
          <w:rFonts w:ascii="Arial" w:cs="Arial" w:eastAsia="Arial" w:hAnsi="Arial"/>
          <w:sz w:val="18"/>
          <w:szCs w:val="18"/>
          <w:color w:val="auto"/>
        </w:rPr>
      </w:pPr>
    </w:p>
    <w:p>
      <w:pPr>
        <w:ind w:left="1140" w:hanging="484"/>
        <w:spacing w:after="0" w:line="277" w:lineRule="auto"/>
        <w:tabs>
          <w:tab w:leader="none" w:pos="11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risks related to cyber-attacks or fraud designed to exploit perceived or actual gaps in security as a result of the remote work environment; and</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availability or utility of our customer service organization caused by the remote work environment.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Any of the factors described above, or any number of other risks related to the COVID-19 pandemic, could disrupt our business, which could have a material adverse impact on our business, operations and financial results. The global impact of COVID-19 continues to rapidly evolve, and it is not currently possible to ascertain all of the current or future impacts to our business. The ultimate impact of the COVID-19 pandemic, or a similar public health crisis in the future, on our business is highly uncertain and subject to change. Further, we expect any further spread of the COVID-19 pandemic, or even the threat or perception that this could occur, could further exacerbate any negative impacts on our business,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towards the achievement of long-term growth, which may not be consistent with the short-term expectations of some investors.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plan to continue to manage our business towards the achievement of long-term growth that we believe will positively impact long-term stockholder value, and not towards the realization of short-term financial or business metrics, or short-term stockholder value. If opportunities arise that might cause us to sacrifice our performance with respect to short-term financial or business metrics, but that we believe are in the best interests of our stockholders, we will take those opportunities.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focus on growing our customer base by developing and launching new and innovative core functionality and/or Value+ services to address our customers’ evolving business needs, developing and/or acquiring new products for adjacent markets and additional verticals consistent with our strategic plan, and improving the experience of our users across our targeted verticals. We prioritize product innovation and user experience over short-term financial or business metrics. We will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make product decisions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and our stock price from period to period. In addition, notwithstanding our intention to make strategic decisions that positively impact long-term stockholder value, the decisions we make may not produce the long-term benefits we expect.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executive officers, directors and principal stockholders control a majority of the combined voting power of our outstanding capital stock. As a result, they are able to exercise significant influence and control over the establishment and implementation of our future business plans and strategic objectives, as well as control all matters submitted to our stockholders for approval. These persons may manage our business in ways with which you disagree and which may be adverse to your interests.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growth effectively, it could adversely affect our operating results and preclude us from achieving our strategic objectives.</w:t>
      </w:r>
    </w:p>
    <w:p>
      <w:pPr>
        <w:spacing w:after="0" w:line="275" w:lineRule="exact"/>
        <w:rPr>
          <w:sz w:val="20"/>
          <w:szCs w:val="20"/>
          <w:color w:val="auto"/>
        </w:rPr>
      </w:pPr>
    </w:p>
    <w:p>
      <w:pPr>
        <w:jc w:val="both"/>
        <w:ind w:firstLine="407"/>
        <w:spacing w:after="0" w:line="296" w:lineRule="auto"/>
        <w:rPr>
          <w:sz w:val="20"/>
          <w:szCs w:val="20"/>
          <w:color w:val="auto"/>
        </w:rPr>
      </w:pPr>
      <w:r>
        <w:rPr>
          <w:rFonts w:ascii="Arial" w:cs="Arial" w:eastAsia="Arial" w:hAnsi="Arial"/>
          <w:sz w:val="16"/>
          <w:szCs w:val="16"/>
          <w:color w:val="auto"/>
        </w:rPr>
        <w:t>We have experienced significant growth since our formation in 2006, and we anticipate that we will continue to experience growth and expansion of our operations, although the rate of growth may be negatively impacted by the COVID-19 pandemic.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which we expect to be more challenging in the current environment as we seek to respond to the uncertainty and disruption caused by the COVID-19 pandemic.</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manage the expected growth of our operations, we will need to continue to develop and improve our operational and financial controls and our reporting systems and procedures, attract and retain highly qualified and motivated personnel across our organization, and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exposure to legal, regulatory and operational risks inherent in our business and resulting from any new products or services we provide to our customers or to our customers’ customers, increases in costs and operating expenses, and other operational difficulties. If any of these risks actually occur, it could adversely affect our operating results, and preclude us from achieving our strategic objectives.</w:t>
      </w:r>
    </w:p>
    <w:p>
      <w:pPr>
        <w:spacing w:after="0" w:line="3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and limited experience selling our solutions. We expect to make substantial investments across our organization to grow our business and, as a result, we expect our financial results may fluctuate significantly from period to period and we may not sustain profitability.</w:t>
      </w:r>
    </w:p>
    <w:p>
      <w:pPr>
        <w:spacing w:after="0" w:line="211" w:lineRule="exact"/>
        <w:rPr>
          <w:sz w:val="20"/>
          <w:szCs w:val="20"/>
          <w:color w:val="auto"/>
        </w:rPr>
      </w:pPr>
    </w:p>
    <w:p>
      <w:pPr>
        <w:jc w:val="both"/>
        <w:ind w:firstLine="412"/>
        <w:spacing w:after="0" w:line="291" w:lineRule="auto"/>
        <w:rPr>
          <w:sz w:val="20"/>
          <w:szCs w:val="20"/>
          <w:color w:val="auto"/>
        </w:rPr>
      </w:pPr>
      <w:r>
        <w:rPr>
          <w:rFonts w:ascii="Arial" w:cs="Arial" w:eastAsia="Arial" w:hAnsi="Arial"/>
          <w:sz w:val="16"/>
          <w:szCs w:val="16"/>
          <w:color w:val="auto"/>
        </w:rPr>
        <w:t>We were formed in 2006 and in 2008 entered the real estate vertical with our first product, APM, to serve property managers. We expanded our real estate offerings with the launch of APM PLUS in late 2018 and AppFolio Investment Management in April 2019. In 2012, we entered the legal vertical through the acquisition of MyCase, which represents approximately 10% of our total revenue for the six months ended June 30, 2020. As a result, we have a limited operating history and limited experience selling our software solutions in two dynamic vertical markets. These and other factors, including the significant disruption and uncertainty caused by the COVID-19 pandemic, combine to make it difficult for us to accurately forecast our future operating results, which in turn makes it difficult for us to prepare accurate budgets and implement strategic plans. We expect this uncertainty will continue to exist in our business for the foreseeable future, and the future impacts of the COVID-19 pandemic may be significantly worse than we currently expect.</w:t>
      </w:r>
    </w:p>
    <w:p>
      <w:pPr>
        <w:spacing w:after="0" w:line="193" w:lineRule="exact"/>
        <w:rPr>
          <w:sz w:val="20"/>
          <w:szCs w:val="20"/>
          <w:color w:val="auto"/>
        </w:rPr>
      </w:pPr>
    </w:p>
    <w:p>
      <w:pPr>
        <w:jc w:val="both"/>
        <w:ind w:firstLine="390"/>
        <w:spacing w:after="0" w:line="277" w:lineRule="auto"/>
        <w:rPr>
          <w:sz w:val="20"/>
          <w:szCs w:val="20"/>
          <w:color w:val="auto"/>
        </w:rPr>
      </w:pPr>
      <w:r>
        <w:rPr>
          <w:rFonts w:ascii="Arial" w:cs="Arial" w:eastAsia="Arial" w:hAnsi="Arial"/>
          <w:sz w:val="18"/>
          <w:szCs w:val="18"/>
          <w:color w:val="auto"/>
        </w:rPr>
        <w:t>We have made substantial investments across our organization to develop our software solutions and capitalize on our market opportunity. In order to implement our business strategy, we intend to continue to make substantial investments in, among other things:</w:t>
      </w:r>
    </w:p>
    <w:p>
      <w:pPr>
        <w:spacing w:after="0" w:line="116" w:lineRule="exact"/>
        <w:rPr>
          <w:sz w:val="20"/>
          <w:szCs w:val="20"/>
          <w:color w:val="auto"/>
        </w:rPr>
      </w:pPr>
    </w:p>
    <w:p>
      <w:pPr>
        <w:jc w:val="both"/>
        <w:ind w:left="1140" w:hanging="484"/>
        <w:spacing w:after="0" w:line="263" w:lineRule="auto"/>
        <w:tabs>
          <w:tab w:leader="none" w:pos="11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research and product development organization to enhance the ease of use and functionality of our software solutions by adding new core functionality, Value+ services and/or other improvements to address the evolving needs of our customers, as well as to develop new products for adjacent markets and new verticals consistent with our strategic plan;</w:t>
      </w:r>
    </w:p>
    <w:p>
      <w:pPr>
        <w:spacing w:after="0" w:line="116" w:lineRule="exact"/>
        <w:rPr>
          <w:rFonts w:ascii="Arial" w:cs="Arial" w:eastAsia="Arial" w:hAnsi="Arial"/>
          <w:sz w:val="18"/>
          <w:szCs w:val="18"/>
          <w:color w:val="auto"/>
        </w:rPr>
      </w:pPr>
    </w:p>
    <w:p>
      <w:pPr>
        <w:ind w:left="1140" w:hanging="484"/>
        <w:spacing w:after="0" w:line="277" w:lineRule="auto"/>
        <w:tabs>
          <w:tab w:leader="none" w:pos="11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continued efforts to identify acquisition targets that enhance the depth or functionality of our software solutions or Value+ services, or that enable our expansion into adjacent markets or new vertical markets consistent with our strategic plan;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40" w:hanging="484"/>
        <w:spacing w:after="0" w:line="277" w:lineRule="auto"/>
        <w:tabs>
          <w:tab w:leader="none" w:pos="11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 service organization to deepen our relationships with our customers, assist our customers in achieving success through the use of our software solutions, and promote customer retention;</w:t>
      </w:r>
    </w:p>
    <w:p>
      <w:pPr>
        <w:spacing w:after="0" w:line="102" w:lineRule="exact"/>
        <w:rPr>
          <w:rFonts w:ascii="Arial" w:cs="Arial" w:eastAsia="Arial" w:hAnsi="Arial"/>
          <w:sz w:val="18"/>
          <w:szCs w:val="18"/>
          <w:color w:val="auto"/>
        </w:rPr>
      </w:pPr>
    </w:p>
    <w:p>
      <w:pPr>
        <w:jc w:val="both"/>
        <w:ind w:left="1140" w:hanging="484"/>
        <w:spacing w:after="0" w:line="263" w:lineRule="auto"/>
        <w:tabs>
          <w:tab w:leader="none" w:pos="11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and marketing organization, including expansion of our direct sales organization and marketing programs, to increase the size of our customer base, increase adoption and utilization of new and existing Value+ services by our new and existing customers, and enter adjacent markets and new verticals consistent with our strategic plan;</w:t>
      </w:r>
    </w:p>
    <w:p>
      <w:pPr>
        <w:spacing w:after="0" w:line="129" w:lineRule="exact"/>
        <w:rPr>
          <w:rFonts w:ascii="Arial" w:cs="Arial" w:eastAsia="Arial" w:hAnsi="Arial"/>
          <w:sz w:val="18"/>
          <w:szCs w:val="18"/>
          <w:color w:val="auto"/>
        </w:rPr>
      </w:pPr>
    </w:p>
    <w:p>
      <w:pPr>
        <w:ind w:left="1140" w:hanging="484"/>
        <w:spacing w:after="0" w:line="277" w:lineRule="auto"/>
        <w:tabs>
          <w:tab w:leader="none" w:pos="11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and expanding our technology infrastructure and operational support to promote the security and availability of our software solutions, and support our growth;</w:t>
      </w:r>
    </w:p>
    <w:p>
      <w:pPr>
        <w:spacing w:after="0" w:line="116" w:lineRule="exact"/>
        <w:rPr>
          <w:rFonts w:ascii="Arial" w:cs="Arial" w:eastAsia="Arial" w:hAnsi="Arial"/>
          <w:sz w:val="18"/>
          <w:szCs w:val="18"/>
          <w:color w:val="auto"/>
        </w:rPr>
      </w:pPr>
    </w:p>
    <w:p>
      <w:pPr>
        <w:ind w:left="1140" w:right="20" w:hanging="484"/>
        <w:spacing w:after="0" w:line="277" w:lineRule="auto"/>
        <w:tabs>
          <w:tab w:leader="none" w:pos="11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general and administrative functions, to support our growth and assist us in maintaining compliance with legal, regulatory and other compliance-related obligations; and</w:t>
      </w:r>
    </w:p>
    <w:p>
      <w:pPr>
        <w:spacing w:after="0" w:line="116" w:lineRule="exact"/>
        <w:rPr>
          <w:rFonts w:ascii="Arial" w:cs="Arial" w:eastAsia="Arial" w:hAnsi="Arial"/>
          <w:sz w:val="18"/>
          <w:szCs w:val="18"/>
          <w:color w:val="auto"/>
        </w:rPr>
      </w:pPr>
    </w:p>
    <w:p>
      <w:pPr>
        <w:ind w:left="1160" w:hanging="504"/>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expansion of our existing facilities, including leasing and building out additional office space, to support our growth and strategic</w:t>
      </w:r>
    </w:p>
    <w:p>
      <w:pPr>
        <w:spacing w:after="0" w:line="30" w:lineRule="exact"/>
        <w:rPr>
          <w:sz w:val="20"/>
          <w:szCs w:val="20"/>
          <w:color w:val="auto"/>
        </w:rPr>
      </w:pPr>
    </w:p>
    <w:p>
      <w:pPr>
        <w:ind w:left="1140"/>
        <w:spacing w:after="0" w:line="207" w:lineRule="exact"/>
        <w:rPr>
          <w:sz w:val="20"/>
          <w:szCs w:val="20"/>
          <w:color w:val="auto"/>
        </w:rPr>
      </w:pPr>
      <w:r>
        <w:rPr>
          <w:rFonts w:ascii="Arial" w:cs="Arial" w:eastAsia="Arial" w:hAnsi="Arial"/>
          <w:sz w:val="18"/>
          <w:szCs w:val="18"/>
          <w:color w:val="auto"/>
        </w:rPr>
        <w:t>development.</w:t>
      </w:r>
      <w:r>
        <w:rPr>
          <w:rFonts w:ascii="MS PGothic" w:cs="MS PGothic" w:eastAsia="MS PGothic" w:hAnsi="MS PGothic"/>
          <w:sz w:val="18"/>
          <w:szCs w:val="18"/>
          <w:color w:val="auto"/>
        </w:rPr>
        <w:t> </w:t>
      </w:r>
    </w:p>
    <w:p>
      <w:pPr>
        <w:spacing w:after="0" w:line="16" w:lineRule="exact"/>
        <w:rPr>
          <w:sz w:val="20"/>
          <w:szCs w:val="20"/>
          <w:color w:val="auto"/>
        </w:rPr>
      </w:pPr>
    </w:p>
    <w:p>
      <w:pPr>
        <w:jc w:val="both"/>
        <w:ind w:firstLine="383"/>
        <w:spacing w:after="0" w:line="269" w:lineRule="auto"/>
        <w:rPr>
          <w:sz w:val="20"/>
          <w:szCs w:val="20"/>
          <w:color w:val="auto"/>
        </w:rPr>
      </w:pPr>
      <w:r>
        <w:rPr>
          <w:rFonts w:ascii="Arial" w:cs="Arial" w:eastAsia="Arial" w:hAnsi="Arial"/>
          <w:sz w:val="17"/>
          <w:szCs w:val="17"/>
          <w:color w:val="auto"/>
        </w:rPr>
        <w:t>As a result of our continuing investments to grow our business in these and other areas, we expect our expenses to increase significantly, and we may not be consistently profitable. Even if we are successful in growing our customer base and increasing revenue from new and existing customers, we may not be able to generate additional revenue in an amount that is sufficient to cover our expenses. We may incur significant losses in a particular period for a number of reasons, and may experience significant fluctuations in our operating results from period to period. We cannot assure you that we will continue to achieve profitability in the near term or that we will sustain profitability on a sequential quarterly basis or over any particular period of time. Any additional operating losses will have a negative impact on our stockholders’ equity.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252"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In addition, our quarterly results may not fully reflect the underlying performance of our business. Factors that may cause fluctuations in our quarterly results include, but are not limited to:</w:t>
      </w:r>
    </w:p>
    <w:p>
      <w:pPr>
        <w:spacing w:after="0" w:line="119" w:lineRule="exact"/>
        <w:rPr>
          <w:sz w:val="20"/>
          <w:szCs w:val="20"/>
          <w:color w:val="auto"/>
        </w:rPr>
      </w:pPr>
    </w:p>
    <w:p>
      <w:pPr>
        <w:ind w:left="1060" w:right="20" w:hanging="485"/>
        <w:spacing w:after="0" w:line="277" w:lineRule="auto"/>
        <w:tabs>
          <w:tab w:leader="none" w:pos="10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expand adoption and utilization of our core solutions and Value+ services by our existing customers;</w:t>
      </w:r>
    </w:p>
    <w:p>
      <w:pPr>
        <w:spacing w:after="0" w:line="116" w:lineRule="exact"/>
        <w:rPr>
          <w:rFonts w:ascii="Arial" w:cs="Arial" w:eastAsia="Arial" w:hAnsi="Arial"/>
          <w:sz w:val="18"/>
          <w:szCs w:val="18"/>
          <w:color w:val="auto"/>
        </w:rPr>
      </w:pPr>
    </w:p>
    <w:p>
      <w:pPr>
        <w:ind w:left="1060" w:hanging="485"/>
        <w:spacing w:after="0" w:line="277" w:lineRule="auto"/>
        <w:tabs>
          <w:tab w:leader="none" w:pos="10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customers, the type of customers we are able to attract, the size and needs of their businesses, and the cost of acquiring these customers;</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mix of our core solutions and Value+ services sold during the period;</w:t>
      </w:r>
    </w:p>
    <w:p>
      <w:pPr>
        <w:spacing w:after="0" w:line="157" w:lineRule="exact"/>
        <w:rPr>
          <w:rFonts w:ascii="Arial" w:cs="Arial" w:eastAsia="Arial" w:hAnsi="Arial"/>
          <w:sz w:val="18"/>
          <w:szCs w:val="18"/>
          <w:color w:val="auto"/>
        </w:rPr>
      </w:pPr>
    </w:p>
    <w:p>
      <w:pPr>
        <w:ind w:left="1060" w:hanging="485"/>
        <w:spacing w:after="0" w:line="277" w:lineRule="auto"/>
        <w:tabs>
          <w:tab w:leader="none" w:pos="10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impact of security breaches, service outages or other performance issues with our technology infrastructure and software solutions;</w:t>
      </w:r>
    </w:p>
    <w:p>
      <w:pPr>
        <w:spacing w:after="0" w:line="116"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the timing of sales of our core solutions and Value+ services as a result of trends impacting the verticals in which we sell our software solutions;</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and market acceptance of new core functionality, Value+ services and other products introduced by us and our competitors;</w:t>
      </w:r>
    </w:p>
    <w:p>
      <w:pPr>
        <w:spacing w:after="0" w:line="182" w:lineRule="exact"/>
        <w:rPr>
          <w:rFonts w:ascii="Arial" w:cs="Arial" w:eastAsia="Arial" w:hAnsi="Arial"/>
          <w:sz w:val="17"/>
          <w:szCs w:val="17"/>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recognition of revenue;</w:t>
      </w:r>
    </w:p>
    <w:p>
      <w:pPr>
        <w:spacing w:after="0" w:line="171" w:lineRule="exact"/>
        <w:rPr>
          <w:rFonts w:ascii="Arial" w:cs="Arial" w:eastAsia="Arial" w:hAnsi="Arial"/>
          <w:sz w:val="18"/>
          <w:szCs w:val="18"/>
          <w:color w:val="auto"/>
        </w:rPr>
      </w:pPr>
    </w:p>
    <w:p>
      <w:pPr>
        <w:ind w:left="1060" w:hanging="485"/>
        <w:spacing w:after="0" w:line="277" w:lineRule="auto"/>
        <w:tabs>
          <w:tab w:leader="none" w:pos="10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maintenance and expansion of our business, infrastructure and operations;</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and timing of costs and operating expenses associated with assessing or entering adjacent markets or new verticals;</w:t>
      </w:r>
    </w:p>
    <w:p>
      <w:pPr>
        <w:spacing w:after="0" w:line="182" w:lineRule="exact"/>
        <w:rPr>
          <w:rFonts w:ascii="Arial" w:cs="Arial" w:eastAsia="Arial" w:hAnsi="Arial"/>
          <w:sz w:val="17"/>
          <w:szCs w:val="17"/>
          <w:color w:val="auto"/>
        </w:rPr>
      </w:pPr>
    </w:p>
    <w:p>
      <w:pPr>
        <w:ind w:left="1060" w:hanging="485"/>
        <w:spacing w:after="0" w:line="277" w:lineRule="auto"/>
        <w:tabs>
          <w:tab w:leader="none" w:pos="10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development or acquisition of businesses, services, technologies or intellectual property rights, and potential future charges for impairment of goodwill from these acquisitions;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costs associated with legal proceedings, enforcement actions, regulatory inquiries or similar matters;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 strategic partners or customers;</w:t>
      </w:r>
    </w:p>
    <w:p>
      <w:pPr>
        <w:spacing w:after="0" w:line="182" w:lineRule="exact"/>
        <w:rPr>
          <w:rFonts w:ascii="Arial" w:cs="Arial" w:eastAsia="Arial" w:hAnsi="Arial"/>
          <w:sz w:val="17"/>
          <w:szCs w:val="17"/>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our executive officers or other key employees;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conditions and trends that are specific to the verticals in which we sell or intend to sell our software solutions; and</w:t>
      </w:r>
    </w:p>
    <w:p>
      <w:pPr>
        <w:spacing w:after="0" w:line="171" w:lineRule="exact"/>
        <w:rPr>
          <w:rFonts w:ascii="Arial" w:cs="Arial" w:eastAsia="Arial" w:hAnsi="Arial"/>
          <w:sz w:val="18"/>
          <w:szCs w:val="18"/>
          <w:color w:val="auto"/>
        </w:rPr>
      </w:pPr>
    </w:p>
    <w:p>
      <w:pPr>
        <w:ind w:left="1060" w:hanging="485"/>
        <w:spacing w:after="0" w:line="277" w:lineRule="auto"/>
        <w:tabs>
          <w:tab w:leader="none" w:pos="10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market conditions, including the impacts and disruptions caused by the COVID-19 pandemic, which could increase the negative impacts to our business of any of the factors discussed above.</w:t>
      </w:r>
    </w:p>
    <w:p>
      <w:pPr>
        <w:spacing w:after="0" w:line="197" w:lineRule="exact"/>
        <w:rPr>
          <w:sz w:val="20"/>
          <w:szCs w:val="20"/>
          <w:color w:val="auto"/>
        </w:rPr>
      </w:pPr>
    </w:p>
    <w:p>
      <w:pPr>
        <w:jc w:val="both"/>
        <w:ind w:firstLine="487"/>
        <w:spacing w:after="0" w:line="296" w:lineRule="auto"/>
        <w:rPr>
          <w:sz w:val="20"/>
          <w:szCs w:val="20"/>
          <w:color w:val="auto"/>
        </w:rPr>
      </w:pPr>
      <w:r>
        <w:rPr>
          <w:rFonts w:ascii="Arial" w:cs="Arial" w:eastAsia="Arial" w:hAnsi="Arial"/>
          <w:sz w:val="16"/>
          <w:szCs w:val="16"/>
          <w:color w:val="auto"/>
        </w:rPr>
        <w:t>Our focus on managing our business towards the achievement of long-term growth, rather than the realization of short-term financial or business metrics, may also serve to exacerbate the fluctuations in our quarterly results, which could result in downward pressure on the market price of our Class A common stock. In addition, fluctuations in quarterly results may negatively impact the value of our Class A common stock, regardless of whether they impact or reflect the overall performance of our business. Furthermore, if our quarterly results fall below the expectations of investors or any securities analysts who follow our stock, or below any financial guidance we may provide, the price of our Class A common stock could decline substantially.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favorable terms, or at all, which may adversely affect our business and financial condition.</w:t>
      </w:r>
    </w:p>
    <w:p>
      <w:pPr>
        <w:spacing w:after="0" w:line="197" w:lineRule="exact"/>
        <w:rPr>
          <w:sz w:val="20"/>
          <w:szCs w:val="20"/>
          <w:color w:val="auto"/>
        </w:rPr>
      </w:pPr>
    </w:p>
    <w:p>
      <w:pPr>
        <w:jc w:val="both"/>
        <w:ind w:firstLine="402"/>
        <w:spacing w:after="0" w:line="269" w:lineRule="auto"/>
        <w:rPr>
          <w:sz w:val="20"/>
          <w:szCs w:val="20"/>
          <w:color w:val="auto"/>
        </w:rPr>
      </w:pPr>
      <w:r>
        <w:rPr>
          <w:rFonts w:ascii="Arial" w:cs="Arial" w:eastAsia="Arial" w:hAnsi="Arial"/>
          <w:sz w:val="17"/>
          <w:szCs w:val="17"/>
          <w:color w:val="auto"/>
        </w:rPr>
        <w:t>We may need additional capital to grow our business and meet our strategic objectives. Our ability to obtain additional capital, if and when required, will depend on numerous factors, including investor and lender demand, our compliance with debt obligations, our historical and forecasted financial and operating performance, our liquidity position, the overall condition of the capital markets, and the global economy as a whole. The capital markets have been negatively impacted by the COVID-19 pandemic, and the impacts may continue for the foreseeable future. We cannot guarantee that additional financing will be available to us on favorable terms when required, or at all. In addition, if we raise additional funds through the issuance of equity securities, those securities may have powers, preferences or rights senior to the rights of our Class A common stock, and our existing stockholders may experience immediate dilution. If we raise additional funds through the issuance of debt securities, we may incur interest expense or other costs to service the indebtedness, we may be required to encumber certain assets, and we may become subject to restrictions on our ability to conduct business, any of which could negatively impact our operating results. Furthermore, if we are unable to obtain adequate financing or financing on terms satisfactory to us when we require it, our ability to continue to support the growth of our business and the achievement of our strategic objectives could be significantly impaired and our operating results may be harmed.</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197"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We determine the level of our investment in various aspects of the business, in part, based on our market opportunity estimates. If we had made different assumptions, our estimates of market opportunity, and/or our related investment determinations, could be materially different. The disruptions and impacts caused by the COVID-19 pandemic may ultimately require us to reduce, potentially by a significant margin, our estimates of the market opportunities in certain markets or industry verticals, which could negatively impact our prospects for long-term growth.</w:t>
      </w:r>
    </w:p>
    <w:p>
      <w:pPr>
        <w:spacing w:after="0" w:line="219"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8"/>
          <w:szCs w:val="18"/>
          <w:color w:val="auto"/>
        </w:rPr>
        <w:t>In addition, even if the markets in which we compete meet or exceed our size estimates, our software solutions could fail to gain market acceptance and our business may not grow in line with our forecasts, or at all, which would have a material adverse impact on our financial condition and operating results.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and may in the future acquire, other companies or technologies, which could divert our management’s attention, result in additional dilution to our stockholders and otherwise disrupt our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76"/>
        <w:spacing w:after="0" w:line="275" w:lineRule="auto"/>
        <w:rPr>
          <w:sz w:val="20"/>
          <w:szCs w:val="20"/>
          <w:color w:val="auto"/>
        </w:rPr>
      </w:pPr>
      <w:r>
        <w:rPr>
          <w:rFonts w:ascii="Arial" w:cs="Arial" w:eastAsia="Arial" w:hAnsi="Arial"/>
          <w:sz w:val="17"/>
          <w:szCs w:val="17"/>
          <w:color w:val="auto"/>
        </w:rPr>
        <w:t>We have acquired, and may in the future acquire, other companies or technologies to complement or expand our software solutions, optimize our technical capabilities, enhance our ability to compete in our targeted verticals, provide an opportunity to expand into an adjacent market or new vertical, or otherwise offer growth or strategic opportunities. For example, in our real estate vertical, we acquired substantially all of the assets of WegoWise in 2018 and completed the acquisition of Dynasty in 2019. The pursuit of acquisitions may divert the attention of management and cause us to incur various expenses in identifying, investigating and pursuing suitable acquisitions, whether or not they are consummated.</w:t>
      </w:r>
    </w:p>
    <w:p>
      <w:pPr>
        <w:spacing w:after="0" w:line="203"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8"/>
          <w:szCs w:val="18"/>
          <w:color w:val="auto"/>
        </w:rPr>
        <w:t>We have limited experience acquiring other businesses. We may not be able to integrate acquired assets, technologies, personnel and operations successfully or achieve the anticipated synergies or other benefits from the acquired business due to a number of risks associated with acquisitions, including:</w:t>
      </w:r>
    </w:p>
    <w:p>
      <w:pPr>
        <w:spacing w:after="0" w:line="130"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cost, whether in the form of cash or equity securities, to acquire the business;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integrating the assets, technologies, personnel or operations of the acquired business in a cost-effective manner;</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services of the acquired business;</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converting the customers of the acquired business to our software solutions and contract terms;</w:t>
      </w:r>
    </w:p>
    <w:p>
      <w:pPr>
        <w:spacing w:after="0" w:line="171" w:lineRule="exact"/>
        <w:rPr>
          <w:rFonts w:ascii="Arial" w:cs="Arial" w:eastAsia="Arial" w:hAnsi="Arial"/>
          <w:sz w:val="18"/>
          <w:szCs w:val="18"/>
          <w:color w:val="auto"/>
        </w:rPr>
      </w:pPr>
    </w:p>
    <w:p>
      <w:pPr>
        <w:ind w:left="1140" w:hanging="484"/>
        <w:spacing w:after="0" w:line="277" w:lineRule="auto"/>
        <w:tabs>
          <w:tab w:leader="none" w:pos="11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 to address acquisition and integration challenges, as well as post-acquisition disputes;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effects on our existing business relationships with customers and strategic partners as a result of the acquisition;</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organization into our company;</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71" w:lineRule="exact"/>
        <w:rPr>
          <w:rFonts w:ascii="Arial" w:cs="Arial" w:eastAsia="Arial" w:hAnsi="Arial"/>
          <w:sz w:val="18"/>
          <w:szCs w:val="18"/>
          <w:color w:val="auto"/>
        </w:rPr>
      </w:pPr>
    </w:p>
    <w:p>
      <w:pPr>
        <w:ind w:left="1140" w:hanging="484"/>
        <w:spacing w:after="0" w:line="277" w:lineRule="auto"/>
        <w:tabs>
          <w:tab w:leader="none" w:pos="11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and exposure to new or enhanced legal, regulatory or other compliance-based and/or operational risks implicit in the acquired business;</w:t>
      </w:r>
    </w:p>
    <w:p>
      <w:pPr>
        <w:spacing w:after="0" w:line="116"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resources to consummate the acquisition or pay acquisition-related expenses; and</w:t>
      </w:r>
    </w:p>
    <w:p>
      <w:pPr>
        <w:spacing w:after="0" w:line="182" w:lineRule="exact"/>
        <w:rPr>
          <w:rFonts w:ascii="Arial" w:cs="Arial" w:eastAsia="Arial" w:hAnsi="Arial"/>
          <w:sz w:val="17"/>
          <w:szCs w:val="17"/>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52"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8"/>
          <w:szCs w:val="18"/>
          <w:color w:val="auto"/>
        </w:rPr>
        <w:t>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 In addition, acquisitions could result in the issuance of equity securities, which would result in immediate dilution to our stockholders or, the incurrence of debt, which could impose debt service obligations and restrictions on our ability to operate our business.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and sensitive information, which could harm our relationships with customers or employees, expose us to litigation or regulatory proceedings, or harm our reputation, any of which could negatively impact our business and operating results.</w:t>
      </w:r>
    </w:p>
    <w:p>
      <w:pPr>
        <w:spacing w:after="0" w:line="214" w:lineRule="exact"/>
        <w:rPr>
          <w:sz w:val="20"/>
          <w:szCs w:val="20"/>
          <w:color w:val="auto"/>
        </w:rPr>
      </w:pPr>
    </w:p>
    <w:p>
      <w:pPr>
        <w:jc w:val="both"/>
        <w:ind w:firstLine="609"/>
        <w:spacing w:after="0" w:line="273" w:lineRule="auto"/>
        <w:rPr>
          <w:sz w:val="20"/>
          <w:szCs w:val="20"/>
          <w:color w:val="auto"/>
        </w:rPr>
      </w:pPr>
      <w:r>
        <w:rPr>
          <w:rFonts w:ascii="Arial" w:cs="Arial" w:eastAsia="Arial" w:hAnsi="Arial"/>
          <w:sz w:val="17"/>
          <w:szCs w:val="17"/>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Cyber attacks and other malicious Internet-based activities continue on a regular basis. Like many other businesses,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experienced, and are continually at risk of being subject to, attacks and data security incidents. As our business grows, the number of users of our software solutions, as well as the amount of information we collect and store, is increasing, and our brands are becoming more widely recognized. We believe these factors combine to make us an even greater target for this type of malicious activity. Although we take data security seriously, there can be no assurance that the security measures we employ will prevent malicious or unauthorized access to our systems and information. Techniques used to sabotage, or to obtain unauthorized access to, systems or networks change frequently and may not be recognized until launched against a target. Furthermore, no security program can eliminate entirely the risk of non-malicious human error, such as an employee or contractor’s failure to follow one or more security protocols. Therefore, despite our significant efforts to keep our systems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21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7"/>
          <w:szCs w:val="17"/>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any security breaches could result in reputational damage, adversely affect our ability to attract new customers and cause existing customers to reduce or discontinue the use of our software solutions, any of which could harm our business and operating results.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 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 outages due to malicious activities or performance problems associated with our technology infrastructure could harm our reputation, adversely affect our ability to attract new customers and cause us to lose existing customers.</w:t>
      </w:r>
    </w:p>
    <w:p>
      <w:pPr>
        <w:spacing w:after="0" w:line="197" w:lineRule="exact"/>
        <w:rPr>
          <w:sz w:val="20"/>
          <w:szCs w:val="20"/>
          <w:color w:val="auto"/>
        </w:rPr>
      </w:pPr>
    </w:p>
    <w:p>
      <w:pPr>
        <w:jc w:val="both"/>
        <w:ind w:firstLine="381"/>
        <w:spacing w:after="0" w:line="301" w:lineRule="auto"/>
        <w:rPr>
          <w:sz w:val="20"/>
          <w:szCs w:val="20"/>
          <w:color w:val="auto"/>
        </w:rPr>
      </w:pPr>
      <w:r>
        <w:rPr>
          <w:rFonts w:ascii="Arial" w:cs="Arial" w:eastAsia="Arial" w:hAnsi="Arial"/>
          <w:sz w:val="16"/>
          <w:szCs w:val="16"/>
          <w:color w:val="auto"/>
        </w:rPr>
        <w:t>We have experienced significant growth in the number of users and the amount of data that our technology infrastructure supports, and we expect this growth to continue. We seek to maintain sufficient excess capacity in our technology infrastructure to meet the needs of all of our customers, including facilitating the expansion of existing customer deployments and the provisioning of new customer deployments. In addition, we need to properly manage our technology infrastructure in order to support version control, changes in hardware and software parameters, and the evolution of our software solutions.</w:t>
      </w:r>
    </w:p>
    <w:p>
      <w:pPr>
        <w:spacing w:after="0" w:line="184" w:lineRule="exact"/>
        <w:rPr>
          <w:sz w:val="20"/>
          <w:szCs w:val="20"/>
          <w:color w:val="auto"/>
        </w:rPr>
      </w:pPr>
    </w:p>
    <w:p>
      <w:pPr>
        <w:jc w:val="both"/>
        <w:ind w:firstLine="453"/>
        <w:spacing w:after="0" w:line="291" w:lineRule="auto"/>
        <w:rPr>
          <w:sz w:val="20"/>
          <w:szCs w:val="20"/>
          <w:color w:val="auto"/>
        </w:rPr>
      </w:pPr>
      <w:r>
        <w:rPr>
          <w:rFonts w:ascii="Arial" w:cs="Arial" w:eastAsia="Arial" w:hAnsi="Arial"/>
          <w:sz w:val="16"/>
          <w:szCs w:val="16"/>
          <w:color w:val="auto"/>
        </w:rPr>
        <w:t>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data centers, human or software errors, viruses, security breaches, fraud or other malicious activity, spikes in customer usage and distributed denial of service attacks. In some instances, we may not be able to identify the cause or causes of these service outages and performance problems within an acceptable period of time.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197" w:lineRule="exact"/>
        <w:rPr>
          <w:sz w:val="20"/>
          <w:szCs w:val="20"/>
          <w:color w:val="auto"/>
        </w:rPr>
      </w:pPr>
    </w:p>
    <w:p>
      <w:pPr>
        <w:jc w:val="both"/>
        <w:ind w:firstLine="367"/>
        <w:spacing w:after="0" w:line="293"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while our software updates undergo extensive testing prior to their release,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in order to address customer service or reputational concerns,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 is evolving and unfavorable changes could adversely affect our operating results, subject us to litigation or governmental investigation, or otherwise harm our business.</w:t>
      </w:r>
    </w:p>
    <w:p>
      <w:pPr>
        <w:spacing w:after="0" w:line="197"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7"/>
          <w:szCs w:val="17"/>
          <w:color w:val="auto"/>
        </w:rPr>
        <w:t>We are subject to general business regulations and laws, as well as regulations and laws specifically governing the highly regulated real estate and legal markets, electronic payment, background screening and insurance services markets, the Internet itself, the use of mobile devices to conduct business and communicate, and many other products and services we provide. Existing and future laws and regulations may impede our growth. These regulations and laws may cover privacy, data protection, artificial intelligence and related technologies, pricing, content, intellectual property, mobile, cellular or other telecommunications matters, electronic contracts and other communications, competition, consumer protection, employment, trade and protectionist measures, web services, the provision of online payment and tenant screening services, information reporting requirements, unencumbered Internet access to our products or services, and the design and operation of websites. It is not clear how existing laws governing issues such as property ownership, management, rental and investment, data protection, and personal privacy apply to the Internet, digital content,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data security laws and regulations could impose additional costs on us and reduce the demand for our software solutions.</w:t>
      </w:r>
    </w:p>
    <w:p>
      <w:pPr>
        <w:spacing w:after="0" w:line="264" w:lineRule="exact"/>
        <w:rPr>
          <w:sz w:val="20"/>
          <w:szCs w:val="20"/>
          <w:color w:val="auto"/>
        </w:rPr>
      </w:pPr>
    </w:p>
    <w:p>
      <w:pPr>
        <w:jc w:val="both"/>
        <w:ind w:firstLine="424"/>
        <w:spacing w:after="0" w:line="269" w:lineRule="auto"/>
        <w:rPr>
          <w:sz w:val="20"/>
          <w:szCs w:val="20"/>
          <w:color w:val="auto"/>
        </w:rPr>
      </w:pPr>
      <w:r>
        <w:rPr>
          <w:rFonts w:ascii="Arial" w:cs="Arial" w:eastAsia="Arial" w:hAnsi="Arial"/>
          <w:sz w:val="17"/>
          <w:szCs w:val="17"/>
          <w:color w:val="auto"/>
        </w:rPr>
        <w:t>We store and transmit personal information relating to our employees and other individuals, and our customers use our technology platform to store and transmit a significant amount of personal information relating to their clients, vendors, employees and other industry participants. Privacy and data security have become significant issues in the United States and in other jurisdictions where we may operate or offer our software solutions. The regulatory framework relating to privacy and data security worldwide is rapidly evolving, and is likely to remain uncertain for the foreseeable future.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which went into effect on January 1, 2020, creates new data privacy and security rights for California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212" w:lineRule="exact"/>
        <w:rPr>
          <w:sz w:val="20"/>
          <w:szCs w:val="20"/>
          <w:color w:val="auto"/>
        </w:rPr>
      </w:pPr>
    </w:p>
    <w:p>
      <w:pPr>
        <w:jc w:val="both"/>
        <w:ind w:firstLine="543"/>
        <w:spacing w:after="0" w:line="255" w:lineRule="auto"/>
        <w:rPr>
          <w:sz w:val="20"/>
          <w:szCs w:val="20"/>
          <w:color w:val="auto"/>
        </w:rPr>
      </w:pPr>
      <w:r>
        <w:rPr>
          <w:rFonts w:ascii="Arial" w:cs="Arial" w:eastAsia="Arial" w:hAnsi="Arial"/>
          <w:sz w:val="18"/>
          <w:szCs w:val="18"/>
          <w:color w:val="auto"/>
        </w:rPr>
        <w:t>In addition to government regulation, privacy advocates and industry groups may propose various self-regulatory standards that may legally or contractually apply to our business. Because the interpretation and application of many privacy and data security laws, regulations and applicable industry standards are uncertain, it is possible that these laws, regulations and standards may be interpreted and applied in a manner inconsistent with our existing privacy and data management practices. As new laws, regulations and industry standards take effect, and as we expand into new jurisdictions, adjacent markets or verticals consistent with our strategic plan, we will need to understand and comply with various new requirements, which may result in significant additional costs.</w:t>
      </w:r>
    </w:p>
    <w:p>
      <w:pPr>
        <w:spacing w:after="0" w:line="219" w:lineRule="exact"/>
        <w:rPr>
          <w:sz w:val="20"/>
          <w:szCs w:val="20"/>
          <w:color w:val="auto"/>
        </w:rPr>
      </w:pPr>
    </w:p>
    <w:p>
      <w:pPr>
        <w:jc w:val="both"/>
        <w:ind w:firstLine="385"/>
        <w:spacing w:after="0" w:line="271" w:lineRule="auto"/>
        <w:rPr>
          <w:sz w:val="20"/>
          <w:szCs w:val="20"/>
          <w:color w:val="auto"/>
        </w:rPr>
      </w:pPr>
      <w:r>
        <w:rPr>
          <w:rFonts w:ascii="Arial" w:cs="Arial" w:eastAsia="Arial" w:hAnsi="Arial"/>
          <w:sz w:val="17"/>
          <w:szCs w:val="17"/>
          <w:color w:val="auto"/>
        </w:rPr>
        <w:t>To the extent applicable to our business or the businesses of our customers, these laws, regulations and industry standards could have negative effects on our business, including by increasing our costs and operating expenses, and/or delaying or impeding our deployment of new or existing core functionality or Value+ services. Compliance with these laws, regulations and industry standards requires significant management time and attention, and failure to comply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Even the perception of privacy and data security concerns, whether or not valid, may inhibit market acceptance of our software solutions. Furthermore, privacy and data security concerns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number of risks in our electronic payment services business that could adversely affect our business or operating results.</w:t>
      </w:r>
    </w:p>
    <w:p>
      <w:pPr>
        <w:spacing w:after="0" w:line="264"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w:t>
      </w:r>
    </w:p>
    <w:p>
      <w:pPr>
        <w:spacing w:after="0" w:line="111" w:lineRule="exact"/>
        <w:rPr>
          <w:sz w:val="20"/>
          <w:szCs w:val="20"/>
          <w:color w:val="auto"/>
        </w:rPr>
      </w:pPr>
    </w:p>
    <w:p>
      <w:pPr>
        <w:ind w:left="1140" w:hanging="484"/>
        <w:spacing w:after="0" w:line="277" w:lineRule="auto"/>
        <w:tabs>
          <w:tab w:leader="none" w:pos="11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customer costs related to disputed or fraudulent transactions if those costs exceed the amount of the customer reserves we have, if any, during the clearing period or after payments have been settled to our customers;</w:t>
      </w:r>
    </w:p>
    <w:p>
      <w:pPr>
        <w:spacing w:after="0" w:line="102" w:lineRule="exact"/>
        <w:rPr>
          <w:rFonts w:ascii="Arial" w:cs="Arial" w:eastAsia="Arial" w:hAnsi="Arial"/>
          <w:sz w:val="18"/>
          <w:szCs w:val="18"/>
          <w:color w:val="auto"/>
        </w:rPr>
      </w:pPr>
    </w:p>
    <w:p>
      <w:pPr>
        <w:ind w:left="1140" w:hanging="484"/>
        <w:spacing w:after="0" w:line="277" w:lineRule="auto"/>
        <w:tabs>
          <w:tab w:leader="none" w:pos="11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electronic processing limits on the amounts that any single electronic payment services provider, or collectively all of our electronic payment services providers, will underwrite;</w:t>
      </w:r>
    </w:p>
    <w:p>
      <w:pPr>
        <w:spacing w:after="0" w:line="116" w:lineRule="exact"/>
        <w:rPr>
          <w:rFonts w:ascii="Arial" w:cs="Arial" w:eastAsia="Arial" w:hAnsi="Arial"/>
          <w:sz w:val="18"/>
          <w:szCs w:val="18"/>
          <w:color w:val="auto"/>
        </w:rPr>
      </w:pPr>
    </w:p>
    <w:p>
      <w:pPr>
        <w:ind w:left="1140" w:hanging="484"/>
        <w:spacing w:after="0" w:line="277" w:lineRule="auto"/>
        <w:tabs>
          <w:tab w:leader="none" w:pos="11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sponsoring clearing banks, card payment processors and other electronic payment providers to process electronic transactions;</w:t>
      </w:r>
    </w:p>
    <w:p>
      <w:pPr>
        <w:spacing w:after="0" w:line="116" w:lineRule="exact"/>
        <w:rPr>
          <w:rFonts w:ascii="Arial" w:cs="Arial" w:eastAsia="Arial" w:hAnsi="Arial"/>
          <w:sz w:val="18"/>
          <w:szCs w:val="18"/>
          <w:color w:val="auto"/>
        </w:rPr>
      </w:pPr>
    </w:p>
    <w:p>
      <w:pPr>
        <w:ind w:left="1140" w:right="20" w:hanging="484"/>
        <w:spacing w:after="0" w:line="277" w:lineRule="auto"/>
        <w:tabs>
          <w:tab w:leader="none" w:pos="11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us, our electronic payment services providers or our customers to adhere to applicable laws, regulations and standards that apply to the provision of electronic payment services;</w:t>
      </w:r>
    </w:p>
    <w:p>
      <w:pPr>
        <w:spacing w:after="0" w:line="116" w:lineRule="exact"/>
        <w:rPr>
          <w:rFonts w:ascii="Arial" w:cs="Arial" w:eastAsia="Arial" w:hAnsi="Arial"/>
          <w:sz w:val="18"/>
          <w:szCs w:val="18"/>
          <w:color w:val="auto"/>
        </w:rPr>
      </w:pPr>
    </w:p>
    <w:p>
      <w:pPr>
        <w:ind w:left="1140" w:hanging="484"/>
        <w:spacing w:after="0" w:line="277" w:lineRule="auto"/>
        <w:tabs>
          <w:tab w:leader="none" w:pos="11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continually evolving laws and regulations governing money transmission and anti-money laundering, the application or interpretation of which is not clear in some jurisdictions;</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incidences of fraud in our electronic payment services ecosystem, security breaches, errors, defects, failures, vulnerabilities or bugs in our electronic payment services business, or our failure to comply with required external audit standards; and</w:t>
      </w:r>
    </w:p>
    <w:p>
      <w:pPr>
        <w:spacing w:after="0" w:line="83"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increase our fees as the business evolves in a sufficient amount to maintain our existing margins.</w:t>
      </w:r>
      <w:r>
        <w:rPr>
          <w:rFonts w:ascii="MS PGothic" w:cs="MS PGothic" w:eastAsia="MS PGothic" w:hAnsi="MS PGothic"/>
          <w:sz w:val="18"/>
          <w:szCs w:val="18"/>
          <w:color w:val="auto"/>
        </w:rPr>
        <w:t> </w:t>
      </w:r>
    </w:p>
    <w:p>
      <w:pPr>
        <w:spacing w:after="0" w:line="58" w:lineRule="exact"/>
        <w:rPr>
          <w:sz w:val="20"/>
          <w:szCs w:val="20"/>
          <w:color w:val="auto"/>
        </w:rPr>
      </w:pPr>
    </w:p>
    <w:p>
      <w:pPr>
        <w:jc w:val="both"/>
        <w:ind w:firstLine="475"/>
        <w:spacing w:after="0" w:line="252" w:lineRule="auto"/>
        <w:rPr>
          <w:sz w:val="20"/>
          <w:szCs w:val="20"/>
          <w:color w:val="auto"/>
        </w:rPr>
      </w:pPr>
      <w:r>
        <w:rPr>
          <w:rFonts w:ascii="Arial" w:cs="Arial" w:eastAsia="Arial" w:hAnsi="Arial"/>
          <w:sz w:val="18"/>
          <w:szCs w:val="18"/>
          <w:color w:val="auto"/>
        </w:rPr>
        <w:t>If any of these risks related to our electronic payment services were to materialize, our business or operating results could be negatively affected. Although we attempt to structure and adapt our electronic payment services to comply with complex and evolving laws, regulations and standards, our underwriting efforts do not guarantee compliance. In the event that we are found to be in violation of our legal, regulatory or contractual requirements, we may be subject to monetary fines or penalties, cease-and-desist orders, mandatory product changes, or other liabilities that could have an adverse effect on our operating results.</w:t>
      </w:r>
    </w:p>
    <w:p>
      <w:pPr>
        <w:spacing w:after="0" w:line="220"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color w:val="auto"/>
        </w:rPr>
        <w:t>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(such as if the customer is illegitimate, or if the customer refuses or is unable to reimburse us for the amounts charged back), we bear the ultimate risk of loss for the transaction amount. While we have not experienced material losses resulting from amounts charged back in the past, there can be no assurance that we will not experience these types of losses in the future.</w:t>
      </w:r>
    </w:p>
    <w:p>
      <w:pPr>
        <w:spacing w:after="0" w:line="219" w:lineRule="exact"/>
        <w:rPr>
          <w:sz w:val="20"/>
          <w:szCs w:val="20"/>
          <w:color w:val="auto"/>
        </w:rPr>
      </w:pPr>
    </w:p>
    <w:p>
      <w:pPr>
        <w:jc w:val="both"/>
        <w:ind w:firstLine="580"/>
        <w:spacing w:after="0" w:line="273" w:lineRule="auto"/>
        <w:rPr>
          <w:sz w:val="20"/>
          <w:szCs w:val="20"/>
          <w:color w:val="auto"/>
        </w:rPr>
      </w:pPr>
      <w:r>
        <w:rPr>
          <w:rFonts w:ascii="Arial" w:cs="Arial" w:eastAsia="Arial" w:hAnsi="Arial"/>
          <w:sz w:val="17"/>
          <w:szCs w:val="17"/>
          <w:color w:val="auto"/>
        </w:rPr>
        <w:t>In addition,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or change the transaction costs associated with or potential revenue derived from those payments, thereby reducing our revenue and increasing our associated expenses, which could materially impact our business,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53"/>
        <w:spacing w:after="0" w:line="291"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number of risks in our tenant screening services business that could adversely affect our business or operating results.</w:t>
      </w:r>
    </w:p>
    <w:p>
      <w:pPr>
        <w:spacing w:after="0" w:line="252" w:lineRule="exact"/>
        <w:rPr>
          <w:sz w:val="20"/>
          <w:szCs w:val="20"/>
          <w:color w:val="auto"/>
        </w:rPr>
      </w:pPr>
    </w:p>
    <w:p>
      <w:pPr>
        <w:jc w:val="both"/>
        <w:ind w:firstLine="393"/>
        <w:spacing w:after="0" w:line="272" w:lineRule="auto"/>
        <w:rPr>
          <w:sz w:val="20"/>
          <w:szCs w:val="20"/>
          <w:color w:val="auto"/>
        </w:rPr>
      </w:pPr>
      <w:r>
        <w:rPr>
          <w:rFonts w:ascii="Arial" w:cs="Arial" w:eastAsia="Arial" w:hAnsi="Arial"/>
          <w:sz w:val="17"/>
          <w:szCs w:val="17"/>
          <w:color w:val="auto"/>
        </w:rPr>
        <w:t>Our tenant screening services business is subject to a number of complex laws that are subject to varying interpretations, including without limitation the Fair Credit Reporting Act (the "FCRA") and related regulations. The FCRA has recently been the subject of multiple class-based litigation proceedings, as well as numerous regulatory inquiries and enforcement actions. In addition, entities such as the Federal Trade Commission (the "FTC") and the Consumer Financial Protection Bureau ("CFPB") have the authority to promulgate rules and regulations that may impact our customers and our business. Although we attempt to structure and adapt our tenant screening services to comply with these and other relevant laws and regulations, we may from time to time be found to be in violation of them. Further, regardless of our compliance with applicable laws and regulations, we may from time to time be subject to regulatory inquiries, enforcement actions, class-based litigation or indemnity demands.</w:t>
      </w:r>
    </w:p>
    <w:p>
      <w:pPr>
        <w:spacing w:after="0" w:line="204" w:lineRule="exact"/>
        <w:rPr>
          <w:sz w:val="20"/>
          <w:szCs w:val="20"/>
          <w:color w:val="auto"/>
        </w:rPr>
      </w:pPr>
    </w:p>
    <w:p>
      <w:pPr>
        <w:jc w:val="both"/>
        <w:ind w:firstLine="450"/>
        <w:spacing w:after="0" w:line="269" w:lineRule="auto"/>
        <w:rPr>
          <w:sz w:val="20"/>
          <w:szCs w:val="20"/>
          <w:color w:val="auto"/>
        </w:rPr>
      </w:pPr>
      <w:r>
        <w:rPr>
          <w:rFonts w:ascii="Arial" w:cs="Arial" w:eastAsia="Arial" w:hAnsi="Arial"/>
          <w:sz w:val="16"/>
          <w:szCs w:val="16"/>
          <w:color w:val="auto"/>
        </w:rPr>
        <w:t>As previously disclosed, we received a Civil Investigative Demand from the FTC in December 2018 requesting certain information relating to our compliance with the FCRA in connection with our tenant screening services business (the "FTC Investigation"). On April 30, 2020, the FTC staff informed us of its belief that there is a reasonable basis for asserting claims against us for our alleged failure to comply with certain sections of the FCRA that could result in monetary penalty and injunctive relief. We disagree with the stated belief of the FTC and have vigorously defended our position. Notwithstanding our disagreement with the FTC's position, and primarily in an effort to avoid protracted litigation and potential distraction to our business, we have entered into settlement negotiations with the FTC in an effort to resolve all claims and allegations arising out of or relating to the FTC Investigation. Although the final outcome of the FTC Investigation is subject to ongoing settlement discussions and therefore remains uncertain, we have determined that a loss is probable and that a reasonable estimate of the loss is approximately $4.3 million. Accordingly, we have recognized an accrual of $4.3 million during the three months ended June 30, 2020 within accrued expenses on our Condensed Consolidated Balance Sheet. While this amount represents our best judgment of the probable loss based on information currently available to us, it is subject to significant judgments and estimates and numerous factors beyond our control, including without limitation the FTC's position with respect to the ongoing settlement negotiations. In the event that the FTC Investigation results in a settlement payment by us, or a judgment against us, in an amount significantly in excess of our accrual, the resulting liability could have a material adverse effect upon our financial condition, results of operations and liquidity.</w:t>
      </w:r>
    </w:p>
    <w:p>
      <w:pPr>
        <w:spacing w:after="0" w:line="195"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6"/>
          <w:szCs w:val="16"/>
          <w:color w:val="auto"/>
        </w:rPr>
        <w:t>In addition, we completed the settlement of a class action lawsuit related to alleged violations of the FCRA in 2019. Further, we received a Request for Information from the Civil Rights Division (Housing and Civil Enforcement Section) of the U.S. Department of Justice in July 2019 requesting certain information relating to our compliance with the Servicemembers Civil Relief Act in connection with our tenant screening services business.</w:t>
      </w:r>
    </w:p>
    <w:p>
      <w:pPr>
        <w:spacing w:after="0" w:line="176" w:lineRule="exact"/>
        <w:rPr>
          <w:sz w:val="20"/>
          <w:szCs w:val="20"/>
          <w:color w:val="auto"/>
        </w:rPr>
      </w:pPr>
    </w:p>
    <w:p>
      <w:pPr>
        <w:jc w:val="both"/>
        <w:ind w:firstLine="471"/>
        <w:spacing w:after="0" w:line="275" w:lineRule="auto"/>
        <w:rPr>
          <w:sz w:val="20"/>
          <w:szCs w:val="20"/>
          <w:color w:val="auto"/>
        </w:rPr>
      </w:pPr>
      <w:r>
        <w:rPr>
          <w:rFonts w:ascii="Arial" w:cs="Arial" w:eastAsia="Arial" w:hAnsi="Arial"/>
          <w:sz w:val="17"/>
          <w:szCs w:val="17"/>
          <w:color w:val="auto"/>
        </w:rPr>
        <w:t>Due to the large number of tenant screening transactions in which we participate, our potential liability in an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 Any of the foregoing events may have a material adverse impact on our business, financial condition, and operating results.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third-party service providers for important electronic payment and tenant screening services, and their failure to fulfill their contractual obligations could harm our reputation, disrupt our business and adversely affect our operating results.</w:t>
      </w:r>
    </w:p>
    <w:p>
      <w:pPr>
        <w:spacing w:after="0" w:line="197" w:lineRule="exact"/>
        <w:rPr>
          <w:sz w:val="20"/>
          <w:szCs w:val="20"/>
          <w:color w:val="auto"/>
        </w:rPr>
      </w:pPr>
    </w:p>
    <w:p>
      <w:pPr>
        <w:jc w:val="both"/>
        <w:ind w:firstLine="399"/>
        <w:spacing w:after="0" w:line="263" w:lineRule="auto"/>
        <w:rPr>
          <w:sz w:val="20"/>
          <w:szCs w:val="20"/>
          <w:color w:val="auto"/>
        </w:rPr>
      </w:pPr>
      <w:r>
        <w:rPr>
          <w:rFonts w:ascii="Arial" w:cs="Arial" w:eastAsia="Arial" w:hAnsi="Arial"/>
          <w:sz w:val="18"/>
          <w:szCs w:val="18"/>
          <w:color w:val="auto"/>
        </w:rPr>
        <w:t>We use third-party electronic payment services providers to enable us to provide electronic payment services to our customers, and third-party tenant screening services providers to enable us to provide tenant screening services, such as background and credit checks, to our customers. We rely on these service providers to provide us with accurate and timely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and therefore have significantly less control over our electronic payment and tenant screening services than if we were to maintain and operate them ourselves. In some cases, functions necessary to our business are performed on proprietary third-party systems and software to which we have no access. We also generally do not have long-term contracts with these service providers. In addition, some of these service providers compete with us directly or indirectly in the markets we serve. The failure of these service providers to provide us with accurate and timely information, to fulfill their contractual obligations to us, or to renew their contracts with us, all of which may be more likely in light of the impacts and disruptions caused by the COVID-19 pandemic, could result in direct liability to us, harm our reputation, result in significant disruptions to our business, and adversely affect our operating results.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197" w:lineRule="exact"/>
        <w:rPr>
          <w:sz w:val="20"/>
          <w:szCs w:val="20"/>
          <w:color w:val="auto"/>
        </w:rPr>
      </w:pPr>
    </w:p>
    <w:p>
      <w:pPr>
        <w:jc w:val="both"/>
        <w:ind w:firstLine="369"/>
        <w:spacing w:after="0" w:line="254"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 This difficulty will only be exacerbated by the COVID-19 pandemic, which has resulted in travel restrictions, quarantines, shelter-in-place orders and similar government orders and restrictions that collectively make it more difficult for employees to interact, communicate and innovate.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key members of our management team, our business may be harmed.</w:t>
      </w:r>
    </w:p>
    <w:p>
      <w:pPr>
        <w:spacing w:after="0" w:line="252" w:lineRule="exact"/>
        <w:rPr>
          <w:sz w:val="20"/>
          <w:szCs w:val="20"/>
          <w:color w:val="auto"/>
        </w:rPr>
      </w:pPr>
    </w:p>
    <w:p>
      <w:pPr>
        <w:jc w:val="both"/>
        <w:ind w:firstLine="454"/>
        <w:spacing w:after="0" w:line="254" w:lineRule="auto"/>
        <w:rPr>
          <w:sz w:val="20"/>
          <w:szCs w:val="20"/>
          <w:color w:val="auto"/>
        </w:rPr>
      </w:pPr>
      <w:r>
        <w:rPr>
          <w:rFonts w:ascii="Arial" w:cs="Arial" w:eastAsia="Arial" w:hAnsi="Arial"/>
          <w:sz w:val="18"/>
          <w:szCs w:val="18"/>
          <w:color w:val="auto"/>
        </w:rPr>
        <w:t>Our success and future growth depend, in part, upon the continued services of our executive officers and other key employees. From time to time, there may be changes in our executive officers or other key employees resulting from the hiring or departure of these personnel, which may disrupt our business. Our executive officers and other key employees are generally employed on an at-will basis, which means that these personnel could terminate their employment with us at any time. Additionally, the equity awards held by many of our executive officers and other key employees are close to fully vested, and these employees may not have sufficient financial incentive to stay with us. The loss of one or more of our executive officers or other key employees, or the failure by our executive team to work effectively with our employees and lead our company, could have an adverse effect on our business.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we may not be able to achieve our strategic objectives.</w:t>
      </w:r>
    </w:p>
    <w:p>
      <w:pPr>
        <w:spacing w:after="0" w:line="197" w:lineRule="exact"/>
        <w:rPr>
          <w:sz w:val="20"/>
          <w:szCs w:val="20"/>
          <w:color w:val="auto"/>
        </w:rPr>
      </w:pPr>
    </w:p>
    <w:p>
      <w:pPr>
        <w:jc w:val="both"/>
        <w:ind w:firstLine="487"/>
        <w:spacing w:after="0" w:line="253" w:lineRule="auto"/>
        <w:rPr>
          <w:sz w:val="20"/>
          <w:szCs w:val="20"/>
          <w:color w:val="auto"/>
        </w:rPr>
      </w:pPr>
      <w:r>
        <w:rPr>
          <w:rFonts w:ascii="Arial" w:cs="Arial" w:eastAsia="Arial" w:hAnsi="Arial"/>
          <w:sz w:val="18"/>
          <w:szCs w:val="18"/>
          <w:color w:val="auto"/>
        </w:rPr>
        <w:t>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In addition, in order for us to achieve broader market acceptance of our software solutions, grow our customer base, and pursue adjacent markets and new verticals, we will need to continue to increase the size of our sales and marketing and customer service and support organizations. Identifying and recruiting qualified personnel, training them in the use of our software solutions, and ensuring they are well-equipped to provide great service to our customers, requires a significant investment of time and resources, and it can be particularly difficult to retain these individuals.</w:t>
      </w:r>
    </w:p>
    <w:p>
      <w:pPr>
        <w:spacing w:after="0" w:line="223" w:lineRule="exact"/>
        <w:rPr>
          <w:sz w:val="20"/>
          <w:szCs w:val="20"/>
          <w:color w:val="auto"/>
        </w:rPr>
      </w:pPr>
    </w:p>
    <w:p>
      <w:pPr>
        <w:jc w:val="both"/>
        <w:ind w:firstLine="453"/>
        <w:spacing w:after="0" w:line="257" w:lineRule="auto"/>
        <w:rPr>
          <w:sz w:val="20"/>
          <w:szCs w:val="20"/>
          <w:color w:val="auto"/>
        </w:rPr>
      </w:pPr>
      <w:r>
        <w:rPr>
          <w:rFonts w:ascii="Arial" w:cs="Arial" w:eastAsia="Arial" w:hAnsi="Arial"/>
          <w:sz w:val="18"/>
          <w:szCs w:val="18"/>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w:t>
      </w:r>
    </w:p>
    <w:p>
      <w:pPr>
        <w:spacing w:after="0" w:line="215"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As of March 2020, in an effort to manage the financial uncertainty involved with the COVID-19 pandemic, we have delayed the hiring of certain non-essential employees and deferred the retention of certain contractors. The timeline for when we may resume ordinary hiring activities is highly uncertain and subject to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intensely competitive and, if we do not compete effectively, our business could be harmed.</w:t>
      </w:r>
    </w:p>
    <w:p>
      <w:pPr>
        <w:spacing w:after="0" w:line="252"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overall market for business management software is global, highly competitive and continually evolving in response to a number of factors, including changes in technology, operational requirements, and laws and regulations. The market for cloud-based business management software is also highly competitive and subject to similar market factors.</w:t>
      </w:r>
    </w:p>
    <w:p>
      <w:pPr>
        <w:spacing w:after="0" w:line="211" w:lineRule="exact"/>
        <w:rPr>
          <w:sz w:val="20"/>
          <w:szCs w:val="20"/>
          <w:color w:val="auto"/>
        </w:rPr>
      </w:pPr>
    </w:p>
    <w:p>
      <w:pPr>
        <w:jc w:val="both"/>
        <w:ind w:firstLine="386"/>
        <w:spacing w:after="0" w:line="257" w:lineRule="auto"/>
        <w:rPr>
          <w:sz w:val="20"/>
          <w:szCs w:val="20"/>
          <w:color w:val="auto"/>
        </w:rPr>
      </w:pPr>
      <w:r>
        <w:rPr>
          <w:rFonts w:ascii="Arial" w:cs="Arial" w:eastAsia="Arial" w:hAnsi="Arial"/>
          <w:sz w:val="18"/>
          <w:szCs w:val="18"/>
          <w:color w:val="auto"/>
        </w:rPr>
        <w:t>While we focus on providing industry-specific, cloud-based business management software solutions in our targeted verticals,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w:t>
      </w:r>
    </w:p>
    <w:p>
      <w:pPr>
        <w:spacing w:after="0" w:line="215" w:lineRule="exact"/>
        <w:rPr>
          <w:sz w:val="20"/>
          <w:szCs w:val="20"/>
          <w:color w:val="auto"/>
        </w:rPr>
      </w:pPr>
    </w:p>
    <w:p>
      <w:pPr>
        <w:jc w:val="both"/>
        <w:ind w:firstLine="483"/>
        <w:spacing w:after="0" w:line="287" w:lineRule="auto"/>
        <w:rPr>
          <w:sz w:val="20"/>
          <w:szCs w:val="20"/>
          <w:color w:val="auto"/>
        </w:rPr>
      </w:pPr>
      <w:r>
        <w:rPr>
          <w:rFonts w:ascii="Arial" w:cs="Arial" w:eastAsia="Arial" w:hAnsi="Arial"/>
          <w:sz w:val="16"/>
          <w:szCs w:val="16"/>
          <w:color w:val="auto"/>
        </w:rPr>
        <w:t>Although the domain expertise required to successfully develop, market and sell cloud-based business management software solutions in the real estate and legal verticals may hinder new entrants that are unable to invest the necessary resources to develop and deploy cloud-based solutions with the same level of functionality as ours, many of our competitors and potential competitors are larger and have greater name recognition, longer operating histories, and significantly greater resources than we do. As a result, our competitors may be able to respond more quickly and effectively to new or changing opportunities, technologies, operational requirements and industry standards, as well as to new challenges such as those resulting from the COVID-19 pandemic. Some of these competitors may have more established customer relationships or strategic partnerships with third parties that enhance their products and services. Other competitors may offer products or services that address one or a number of business functions on a standalone basis at lower prices or bundled as part of a broader product sale, or with greater depth than our software solutions. In addition, our current and potential competitors may develop, market and sell new technologies with comparable functionality to our software solutions, which could cause us to lose customers, slow the rate of growth of new customers and cause us to decrease our prices in order to remain competitive. For all of these reasons, we may not be able to compete effectively against our current and future competitors, which could harm our business.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 management software for small and medium-sized businesses ("SMBs") is a relatively new and developing market and, if the market is smaller than we estimate or develops more slowly than we expect, our operating results could be adversely affected.</w:t>
      </w:r>
    </w:p>
    <w:p>
      <w:pPr>
        <w:spacing w:after="0" w:line="197"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We provide cloud-based business management software for SMBs in the real estate and, to a lesser extent, legal markets and will assess entry into new or adjacent markets consistent with our strategic plan. Our success will depend, in part, on the continued widespread adoption by SMBs of cloud computing in general and of cloud-based business management software in particular.</w:t>
      </w:r>
    </w:p>
    <w:p>
      <w:pPr>
        <w:spacing w:after="0" w:line="211"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The market for industry-specific, cloud-based business management software for SMBs, both generally, and specifically within the real estate and legal markets, is evolving and, in comparison to the overall market for cloud-based solutions, is relatively small. The continued expansion of this market depends on numerous factors, including:</w:t>
      </w:r>
    </w:p>
    <w:p>
      <w:pPr>
        <w:spacing w:after="0" w:line="130" w:lineRule="exact"/>
        <w:rPr>
          <w:sz w:val="20"/>
          <w:szCs w:val="20"/>
          <w:color w:val="auto"/>
        </w:rPr>
      </w:pPr>
    </w:p>
    <w:p>
      <w:pPr>
        <w:ind w:left="1060" w:hanging="485"/>
        <w:spacing w:after="0" w:line="277" w:lineRule="auto"/>
        <w:tabs>
          <w:tab w:leader="none" w:pos="10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perceived value associated with cloud-based business management software relative to on-premise software applications and disparate point solutions;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cloud-based solution providers to offer SMBs the functionality they need to operate and grow their businesses;</w:t>
      </w:r>
    </w:p>
    <w:p>
      <w:pPr>
        <w:spacing w:after="0" w:line="171"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SMBs to transition from their existing software systems, or otherwise alter their existing businesses practices, to migrate their businesses to a vertical cloud-based business management software solution; and</w:t>
      </w:r>
    </w:p>
    <w:p>
      <w:pPr>
        <w:spacing w:after="0" w:line="83" w:lineRule="exact"/>
        <w:rPr>
          <w:rFonts w:ascii="Arial" w:cs="Arial" w:eastAsia="Arial" w:hAnsi="Arial"/>
          <w:sz w:val="18"/>
          <w:szCs w:val="18"/>
          <w:color w:val="auto"/>
        </w:rPr>
      </w:pPr>
    </w:p>
    <w:p>
      <w:pPr>
        <w:ind w:left="1060" w:hanging="485"/>
        <w:spacing w:after="0" w:line="207" w:lineRule="exact"/>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cloud-based solution providers to address security, privacy, availability and other concerns.</w:t>
      </w:r>
      <w:r>
        <w:rPr>
          <w:rFonts w:ascii="MS PGothic" w:cs="MS PGothic" w:eastAsia="MS PGothic" w:hAnsi="MS PGothic"/>
          <w:sz w:val="18"/>
          <w:szCs w:val="18"/>
          <w:color w:val="auto"/>
        </w:rPr>
        <w:t> </w:t>
      </w:r>
    </w:p>
    <w:p>
      <w:pPr>
        <w:spacing w:after="0" w:line="58" w:lineRule="exact"/>
        <w:rPr>
          <w:sz w:val="20"/>
          <w:szCs w:val="20"/>
          <w:color w:val="auto"/>
        </w:rPr>
      </w:pPr>
    </w:p>
    <w:p>
      <w:pPr>
        <w:ind w:firstLine="464"/>
        <w:spacing w:after="0" w:line="258" w:lineRule="auto"/>
        <w:rPr>
          <w:sz w:val="20"/>
          <w:szCs w:val="20"/>
          <w:color w:val="auto"/>
        </w:rPr>
      </w:pPr>
      <w:r>
        <w:rPr>
          <w:rFonts w:ascii="Arial" w:cs="Arial" w:eastAsia="Arial" w:hAnsi="Arial"/>
          <w:sz w:val="18"/>
          <w:szCs w:val="18"/>
          <w:color w:val="auto"/>
        </w:rPr>
        <w:t>Notwithstanding our efforts to increase sales of our software solutions to larger customers, if cloud-based business management software does not continue to achieve widespread market acceptance among SMBs, our revenue may increase at 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slower rate than we expect and may even decline, which could adversely affect our operating results. In addition, it is difficult to estimate the rate at which SMBs will be willing to transition to vertical cloud-based business management software in any particular period, which makes it difficult to estimate the overall size and growth rate of the market for cloud-based business management software for SMBs at any given point in time or to forecast growth in our revenue or market share. This transition rate may be negatively impacted by the COVID-19 pandemic as customers may delay decisions to adopt our core products, or expand the use of our Value+ services, as they seek to reduce or delay spending within their businesses.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197" w:lineRule="exact"/>
        <w:rPr>
          <w:sz w:val="20"/>
          <w:szCs w:val="20"/>
          <w:color w:val="auto"/>
        </w:rPr>
      </w:pPr>
    </w:p>
    <w:p>
      <w:pPr>
        <w:jc w:val="both"/>
        <w:ind w:firstLine="556"/>
        <w:spacing w:after="0" w:line="254" w:lineRule="auto"/>
        <w:rPr>
          <w:sz w:val="20"/>
          <w:szCs w:val="20"/>
          <w:color w:val="auto"/>
        </w:rPr>
      </w:pPr>
      <w:r>
        <w:rPr>
          <w:rFonts w:ascii="Arial" w:cs="Arial" w:eastAsia="Arial" w:hAnsi="Arial"/>
          <w:sz w:val="18"/>
          <w:szCs w:val="18"/>
          <w:color w:val="auto"/>
        </w:rPr>
        <w:t>The software industry in general, and our targeted verticals in particular, are characterized by rapid technological advances, changing industry standards, evolving customer requirements and intense competition. Our ability to attract new customers, increase revenue from our existing customers, and expand into adjacent markets or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 term depends, in part, on our ability to introduce new products for adjacent markets and, potentially, additional verticals that we identify through our market validation process. Market acceptance of our current and future software solutions will depend on numerous factors, including:</w:t>
      </w:r>
    </w:p>
    <w:p>
      <w:pPr>
        <w:spacing w:after="0" w:line="141" w:lineRule="exact"/>
        <w:rPr>
          <w:sz w:val="20"/>
          <w:szCs w:val="20"/>
          <w:color w:val="auto"/>
        </w:rPr>
      </w:pPr>
    </w:p>
    <w:p>
      <w:pPr>
        <w:ind w:left="1060" w:hanging="485"/>
        <w:spacing w:after="0" w:line="277" w:lineRule="auto"/>
        <w:tabs>
          <w:tab w:leader="none" w:pos="10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unique functionality and ease of use of our software solutions and the extent to which our software solutions meet the business needs of our customers;</w:t>
      </w:r>
    </w:p>
    <w:p>
      <w:pPr>
        <w:spacing w:after="0" w:line="102"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benefits and security of our cloud-based business management software solutions relative to on-premise software applications or other competitive products;</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pricing of our software solutions relative to competitive products;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availability of financial resources to new and existing customers to allow them to acquire or expand the use of our software solutions;</w:t>
      </w:r>
    </w:p>
    <w:p>
      <w:pPr>
        <w:spacing w:after="0" w:line="194" w:lineRule="exact"/>
        <w:rPr>
          <w:rFonts w:ascii="Arial" w:cs="Arial" w:eastAsia="Arial" w:hAnsi="Arial"/>
          <w:sz w:val="16"/>
          <w:szCs w:val="16"/>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perceptions about the security, privacy and availability of our software solutions relative to competitive products;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time-to-market of the updates and enhancements to our core functionality, Value+ services and new products; and</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perceptions about the quality and responsiveness of our customer service organization.</w:t>
      </w:r>
    </w:p>
    <w:p>
      <w:pPr>
        <w:spacing w:after="0" w:line="252" w:lineRule="exact"/>
        <w:rPr>
          <w:sz w:val="20"/>
          <w:szCs w:val="20"/>
          <w:color w:val="auto"/>
        </w:rPr>
      </w:pPr>
    </w:p>
    <w:p>
      <w:pPr>
        <w:jc w:val="both"/>
        <w:ind w:firstLine="453"/>
        <w:spacing w:after="0" w:line="257" w:lineRule="auto"/>
        <w:rPr>
          <w:sz w:val="20"/>
          <w:szCs w:val="20"/>
          <w:color w:val="auto"/>
        </w:rPr>
      </w:pPr>
      <w:r>
        <w:rPr>
          <w:rFonts w:ascii="Arial" w:cs="Arial" w:eastAsia="Arial" w:hAnsi="Arial"/>
          <w:sz w:val="18"/>
          <w:szCs w:val="18"/>
          <w:color w:val="auto"/>
        </w:rPr>
        <w:t>If we are unable to successfully enhance the functionality of our existing software solutions, including our core solutions and Value+ services, and timely develop or acquire new products that gain market acceptance in adjacent markets and additional verticals consistent with our strategic plan, our revenue may increase at a slower rate than we expect and may even decline, which could adversely affect our operating results. These efforts to enhance our existing software solutions and develop new products, as well as our overall research and product development efforts, may be negatively impacted by the COVID-19 pandemic.</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customer renewal rates, or failure to convince existing customers to adopt and utilize our Value+ services, could adversely impact our operating results.</w:t>
      </w:r>
    </w:p>
    <w:p>
      <w:pPr>
        <w:spacing w:after="0" w:line="211" w:lineRule="exact"/>
        <w:rPr>
          <w:sz w:val="20"/>
          <w:szCs w:val="20"/>
          <w:color w:val="auto"/>
        </w:rPr>
      </w:pPr>
    </w:p>
    <w:p>
      <w:pPr>
        <w:jc w:val="both"/>
        <w:ind w:firstLine="491"/>
        <w:spacing w:after="0" w:line="253" w:lineRule="auto"/>
        <w:rPr>
          <w:sz w:val="20"/>
          <w:szCs w:val="20"/>
          <w:color w:val="auto"/>
        </w:rPr>
      </w:pPr>
      <w:r>
        <w:rPr>
          <w:rFonts w:ascii="Arial" w:cs="Arial" w:eastAsia="Arial" w:hAnsi="Arial"/>
          <w:sz w:val="18"/>
          <w:szCs w:val="18"/>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Our customers have no obligation to renew their subscriptions with us upon expiration of their subscription periods, which typically range from one month to one year. We cannot assure you that our customers will renew their subscriptions with us. In addition, our law firm customers that start their accounts using a 10-day free trial have no obligation to begin a paid subscription. Furthermore, although a significant portion of our revenue growth has historically resulted from the adoption and utilization of our Value+ services by our existing customers, we cannot assure you that our existing customers will continue to broaden their adoption and utilization of our Value+ services, or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 We may experience lower rates 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subscription renewals, as well as lower rates of adoption and utilization of Value+ services, as a result of the COVID-19 pandemic as customers may seek to reduce or delay spending within their businesses.</w:t>
      </w:r>
    </w:p>
    <w:p>
      <w:pPr>
        <w:spacing w:after="0" w:line="19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Word-of-mouth referrals represent a significant source of new customers for us and provide us with an opportunity to cost-effectively market and sell our software solutions. The loss of our existing customers could have a significant impact on our reputation in our targeted verticals and our ability to acquire new customers cost-effectively. A reduction in the number of our existing customers, even if offset by an increase in new customers, could have the impact of reducing our revenue and operating margins.</w:t>
      </w:r>
    </w:p>
    <w:p>
      <w:pPr>
        <w:spacing w:after="0" w:line="214" w:lineRule="exact"/>
        <w:rPr>
          <w:sz w:val="20"/>
          <w:szCs w:val="20"/>
          <w:color w:val="auto"/>
        </w:rPr>
      </w:pPr>
    </w:p>
    <w:p>
      <w:pPr>
        <w:jc w:val="both"/>
        <w:ind w:firstLine="404"/>
        <w:spacing w:after="0" w:line="257" w:lineRule="auto"/>
        <w:rPr>
          <w:sz w:val="20"/>
          <w:szCs w:val="20"/>
          <w:color w:val="auto"/>
        </w:rPr>
      </w:pPr>
      <w:r>
        <w:rPr>
          <w:rFonts w:ascii="Arial" w:cs="Arial" w:eastAsia="Arial" w:hAnsi="Arial"/>
          <w:sz w:val="18"/>
          <w:szCs w:val="18"/>
          <w:color w:val="auto"/>
        </w:rPr>
        <w:t>In an effort to retain our customers and to expand our customers’ adoption and utilization of our Value+ services, we may choose to use increasingly costly sales and marketing efforts. In addition, we may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Pricing pressure may cause us to change our pricing model, which could hurt our renewal rates and our ability to attract new customers, as well as our ability to increase adoption and usage of our Value+ services, which could adversely affect our operating results.</w:t>
      </w:r>
    </w:p>
    <w:p>
      <w:pPr>
        <w:spacing w:after="0" w:line="173" w:lineRule="exact"/>
        <w:rPr>
          <w:sz w:val="20"/>
          <w:szCs w:val="20"/>
          <w:color w:val="auto"/>
        </w:rPr>
      </w:pPr>
    </w:p>
    <w:p>
      <w:pPr>
        <w:jc w:val="both"/>
        <w:ind w:firstLine="400"/>
        <w:spacing w:after="0" w:line="272"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If this were to occur, it is possible that we would have to change our pricing model, offer pricing incentives, or generally reduce our prices, which may adversely affect our revenue even if adoption and utilization remain constant. In addition, many of our customers are smaller companies or firms, which are typically more cost sensitive than larger enterprises. Changes to our pricing model could harm our customer retention rates and our ability to attract new customers, whether in connection with our core solutions or our Value+ services, which could adversely affect our operating results.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continue to derive a significant portion of our revenue from our real estate customers, and factors resulting in a loss of these customers could adversely affect our operating results.</w:t>
      </w:r>
    </w:p>
    <w:p>
      <w:pPr>
        <w:spacing w:after="0" w:line="197" w:lineRule="exact"/>
        <w:rPr>
          <w:sz w:val="20"/>
          <w:szCs w:val="20"/>
          <w:color w:val="auto"/>
        </w:rPr>
      </w:pPr>
    </w:p>
    <w:p>
      <w:pPr>
        <w:jc w:val="both"/>
        <w:ind w:firstLine="390"/>
        <w:spacing w:after="0" w:line="342" w:lineRule="auto"/>
        <w:rPr>
          <w:sz w:val="20"/>
          <w:szCs w:val="20"/>
          <w:color w:val="auto"/>
        </w:rPr>
      </w:pPr>
      <w:r>
        <w:rPr>
          <w:rFonts w:ascii="Arial" w:cs="Arial" w:eastAsia="Arial" w:hAnsi="Arial"/>
          <w:sz w:val="16"/>
          <w:szCs w:val="16"/>
          <w:color w:val="auto"/>
        </w:rPr>
        <w:t>Historically, more than 90% of our revenue has been derived from real estate customers, and we expect that our real estate customers will continue to account for a significant portion of our revenue for the foreseeable future. We could lose real estate customers as a result of numerous factors, including:</w:t>
      </w:r>
    </w:p>
    <w:p>
      <w:pPr>
        <w:spacing w:after="0" w:line="70" w:lineRule="exact"/>
        <w:rPr>
          <w:sz w:val="20"/>
          <w:szCs w:val="20"/>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expiration and non-renewal of subscriptions or termination of subscription agreements;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of competitive products or technologies;</w:t>
      </w:r>
    </w:p>
    <w:p>
      <w:pPr>
        <w:spacing w:after="0" w:line="171" w:lineRule="exact"/>
        <w:rPr>
          <w:rFonts w:ascii="Arial" w:cs="Arial" w:eastAsia="Arial" w:hAnsi="Arial"/>
          <w:sz w:val="18"/>
          <w:szCs w:val="18"/>
          <w:color w:val="auto"/>
        </w:rPr>
      </w:pPr>
    </w:p>
    <w:p>
      <w:pPr>
        <w:ind w:left="1060" w:right="20" w:hanging="485"/>
        <w:spacing w:after="0" w:line="277" w:lineRule="auto"/>
        <w:tabs>
          <w:tab w:leader="none" w:pos="10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provide updates and enhancements to our core functionality and/or Value+ services, and to introduce new Value+ services to our customers;</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pricing policies by us or our competitors;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or consolidations within the real estate vertical;</w:t>
      </w:r>
    </w:p>
    <w:p>
      <w:pPr>
        <w:spacing w:after="0" w:line="157" w:lineRule="exact"/>
        <w:rPr>
          <w:rFonts w:ascii="Arial" w:cs="Arial" w:eastAsia="Arial" w:hAnsi="Arial"/>
          <w:sz w:val="18"/>
          <w:szCs w:val="18"/>
          <w:color w:val="auto"/>
        </w:rPr>
      </w:pPr>
    </w:p>
    <w:p>
      <w:pPr>
        <w:ind w:left="1060" w:right="20" w:hanging="485"/>
        <w:spacing w:after="0" w:line="277" w:lineRule="auto"/>
        <w:tabs>
          <w:tab w:leader="none" w:pos="10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bankruptcies or other financial difficulties facing our real estate customers, especially in light of the impacts and disruptions caused by the COVID-19 pandemic;</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or enhanced legal or regulatory regimes that negatively impact the real estate vertical; and</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or trends that are specific to the real estate vertical such as the economic factors that impact the rental market.</w:t>
      </w:r>
    </w:p>
    <w:p>
      <w:pPr>
        <w:spacing w:after="0" w:line="252"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The loss of a significant number of our real estate customers, or the loss of even a small number of our larger real estate customers, could cause our revenue to increase at a slower rate than we expect or even decline. In addition, even if we are able to retain our real estate customers, we may be unable to grow revenue from these real estate customers by increasing their adoption and utilization of our Value+ services. Any of these outcomes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197"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6"/>
          <w:szCs w:val="16"/>
          <w:color w:val="auto"/>
        </w:rPr>
        <w:t>While we plan to continue to market and sell our software solutions to smaller companies or firms, our growth strategy is dependent, in part, upon increasing sales of our software solutions to larger customers within the real estate and legal markets.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than we have in selling our software solutions to smaller businesses. Although we generally have not configured our software solutions or negotiated our pricing for specific customers, which has historically resulted in reduced upfront selling costs, our ability to successfully sell our software solutions to larger customers may be dependent, in part, on our ability to develop functionality, or to implement pricing policies, that are unique to particular customers or are necessary for success in a market segment dominated by larger customers. It may also be dependent on our ability to attract and retain sales personnel with experience selling to larger organizations. Also, because security breaches or other performance problems with respect to larger customers may result in greater economic harm to these customers and more adverse publicity, there is increased financial and reputational risk associated with serving such customers. Further, our ability to sell our software solutions to larger customers may depend largely upon our successful acquisition and integration of synergistic businesses and, if we are unable to acquire and integrate such businesses successfully, our business and operating results may be negatively impacted. If we are unable to increase sales of our software solutions to larger customers, while mitigating the risks associated with serving such customers, our business and operating results may suffer.</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growth depends in part on the success of our strategic relationships with third parties, and if we are unsuccessful in establishing or maintaining these relationships, our ability to compete in our targeted markets or grow our revenue could be impaired.</w:t>
      </w:r>
    </w:p>
    <w:p>
      <w:pPr>
        <w:spacing w:after="0" w:line="173" w:lineRule="exact"/>
        <w:rPr>
          <w:sz w:val="20"/>
          <w:szCs w:val="20"/>
          <w:color w:val="auto"/>
        </w:rPr>
      </w:pPr>
    </w:p>
    <w:p>
      <w:pPr>
        <w:jc w:val="both"/>
        <w:ind w:firstLine="363"/>
        <w:spacing w:after="0" w:line="269" w:lineRule="auto"/>
        <w:rPr>
          <w:sz w:val="20"/>
          <w:szCs w:val="20"/>
          <w:color w:val="auto"/>
        </w:rPr>
      </w:pPr>
      <w:r>
        <w:rPr>
          <w:rFonts w:ascii="Arial" w:cs="Arial" w:eastAsia="Arial" w:hAnsi="Arial"/>
          <w:sz w:val="17"/>
          <w:szCs w:val="17"/>
          <w:color w:val="auto"/>
        </w:rPr>
        <w:t>In order to grow our business, we anticipate that we will continue to depend on our relationships with third parties, including our data center operators, cloud computing service providers,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 Even if we are successful, we cannot assure you that these relationships will result in increased customer adoption and usage of our software solutions or improved operating results. Furthermore, if our partners fail to perform as expected, we may be subjected to litigation, our reputation may be harmed, and our business and operating results could be adversely affected.</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data centers and computing infrastructure operated by third parties and any disruption in these operations could adversely affect our operating results.</w:t>
      </w:r>
    </w:p>
    <w:p>
      <w:pPr>
        <w:spacing w:after="0" w:line="197" w:lineRule="exact"/>
        <w:rPr>
          <w:sz w:val="20"/>
          <w:szCs w:val="20"/>
          <w:color w:val="auto"/>
        </w:rPr>
      </w:pPr>
    </w:p>
    <w:p>
      <w:pPr>
        <w:jc w:val="both"/>
        <w:ind w:firstLine="483"/>
        <w:spacing w:after="0" w:line="291" w:lineRule="auto"/>
        <w:rPr>
          <w:sz w:val="20"/>
          <w:szCs w:val="20"/>
          <w:color w:val="auto"/>
        </w:rPr>
      </w:pPr>
      <w:r>
        <w:rPr>
          <w:rFonts w:ascii="Arial" w:cs="Arial" w:eastAsia="Arial" w:hAnsi="Arial"/>
          <w:sz w:val="16"/>
          <w:szCs w:val="16"/>
          <w:color w:val="auto"/>
        </w:rPr>
        <w:t>We currently serve our customers through a combination of our own servers located in third party data center facilities, and computing resources operated by Amazon and other third party cloud computing service providers. While we control and have access to our own servers and the other components of our network that are located in our third party data centers, we do not control the operation of any of these third party data center facilities. The owners of our data center facilities have no obligation to renew their agreements with us on commercially reasonable terms, or at all. If we are unable to renew these agreements on commercially reasonable terms, or if one of our third party data center operators is acquired, we may be required to transfer our servers and other infrastructure to new data center facilities, and we may incur significant costs and possible service interruptions in connection with doing so. Further, our third party data center providers could experience significant outages outside of our control that could adversely affect our business.</w:t>
      </w:r>
    </w:p>
    <w:p>
      <w:pPr>
        <w:spacing w:after="0" w:line="193" w:lineRule="exact"/>
        <w:rPr>
          <w:sz w:val="20"/>
          <w:szCs w:val="20"/>
          <w:color w:val="auto"/>
        </w:rPr>
      </w:pPr>
    </w:p>
    <w:p>
      <w:pPr>
        <w:jc w:val="both"/>
        <w:ind w:firstLine="366"/>
        <w:spacing w:after="0" w:line="273" w:lineRule="auto"/>
        <w:rPr>
          <w:sz w:val="20"/>
          <w:szCs w:val="20"/>
          <w:color w:val="auto"/>
        </w:rPr>
      </w:pPr>
      <w:r>
        <w:rPr>
          <w:rFonts w:ascii="Arial" w:cs="Arial" w:eastAsia="Arial" w:hAnsi="Arial"/>
          <w:sz w:val="17"/>
          <w:szCs w:val="17"/>
          <w:color w:val="auto"/>
        </w:rPr>
        <w:t>Problems faced by our third party data center operators, or with any of the service providers with whom we or they contract, could adversely affect the experience of our customers. Our third party data center operators could decide to close their facilities without adequate notice. In addition, any financial difficulties or bankruptcies, faced by our third party data center operators, or any of the service providers with whom we or they contract, including as a result of the impacts and disruptions caused by the COVID-19 pandemic, may have a negative effect on our business. Additionally, if our data centers are unable to keep up with our growing needs for capacity or any spikes in customer demand, this could have an adverse effect on our business. Any changes in third party service levels at our data centers could result in loss of or damage to our customers’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stored information and service interruptions, which could harm our reputation. These issues could also cause us to lose customers, harm our ability to attract new customers, and subject us to potential liability, any of which could adversely affect our operating results.</w:t>
      </w:r>
    </w:p>
    <w:p>
      <w:pPr>
        <w:spacing w:after="0" w:line="197" w:lineRule="exact"/>
        <w:rPr>
          <w:sz w:val="20"/>
          <w:szCs w:val="20"/>
          <w:color w:val="auto"/>
        </w:rPr>
      </w:pPr>
    </w:p>
    <w:p>
      <w:pPr>
        <w:jc w:val="both"/>
        <w:ind w:firstLine="438"/>
        <w:spacing w:after="0" w:line="271" w:lineRule="auto"/>
        <w:rPr>
          <w:sz w:val="20"/>
          <w:szCs w:val="20"/>
          <w:color w:val="auto"/>
        </w:rPr>
      </w:pPr>
      <w:r>
        <w:rPr>
          <w:rFonts w:ascii="Arial" w:cs="Arial" w:eastAsia="Arial" w:hAnsi="Arial"/>
          <w:sz w:val="17"/>
          <w:szCs w:val="17"/>
          <w:color w:val="auto"/>
        </w:rPr>
        <w:t>The cloud computing service providers with which we contract may experience service interruptions across multiple regions that are outside of our control.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Although our infrastructure is redundant across multiple geographic regions, it might require significant effort to migrate all of our services to a different region if we are forced to recover from a data center’s severe impairment or total destruction, or from a regional, or multi-regional, outage by any of our cloud computing service providers. Any changes in service levels by our cloud computing service providers could result in loss of or damage to our customers’ stored information and service interruptions, which could harm our reputation, subject us to potential liability, and adversely affect our operating results.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211" w:lineRule="exact"/>
        <w:rPr>
          <w:sz w:val="20"/>
          <w:szCs w:val="20"/>
          <w:color w:val="auto"/>
        </w:rPr>
      </w:pPr>
    </w:p>
    <w:p>
      <w:pPr>
        <w:jc w:val="both"/>
        <w:ind w:firstLine="522"/>
        <w:spacing w:after="0" w:line="288" w:lineRule="auto"/>
        <w:rPr>
          <w:sz w:val="20"/>
          <w:szCs w:val="20"/>
          <w:color w:val="auto"/>
        </w:rPr>
      </w:pPr>
      <w:r>
        <w:rPr>
          <w:rFonts w:ascii="Arial" w:cs="Arial" w:eastAsia="Arial" w:hAnsi="Arial"/>
          <w:sz w:val="16"/>
          <w:szCs w:val="16"/>
          <w:color w:val="auto"/>
        </w:rPr>
        <w:t>We offer our software solutions across a variety of operating systems and through the Internet. We are dependent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197"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w:t>
      </w:r>
    </w:p>
    <w:p>
      <w:pPr>
        <w:spacing w:after="0" w:line="222"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17"/>
          <w:szCs w:val="17"/>
          <w:color w:val="auto"/>
        </w:rPr>
        <w:t>Additionally, our legal liability to landlord insurance policies are underwritten by us, and we are required by our insurance partner to maintain a reserve to cover potential claims under the policies. While our policies have a limit of $100,000 per occurrence, there is no limit on the dollar amount of claims that could be made against us in any particular period or in the aggregate. In the event that claims by the insureds increase unexpectedly, our reserve may not be sufficient to cover our resulting liability under the policies. To the extent we are required to pay out amounts to insureds that are significantly higher than our current reserves, this could have a material adverse impact on our operating results.</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197" w:lineRule="exact"/>
        <w:rPr>
          <w:sz w:val="20"/>
          <w:szCs w:val="20"/>
          <w:color w:val="auto"/>
        </w:rPr>
      </w:pPr>
    </w:p>
    <w:p>
      <w:pPr>
        <w:jc w:val="both"/>
        <w:ind w:firstLine="393"/>
        <w:spacing w:after="0" w:line="296"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This state governmental supervision could limit the growth of our insurance business by increasing the costs of regulatory compliance, limiting or restricting the products or services we provide or the methods by which we provide them, and subjecting us to the possibility of regulatory actions or proceedings. Our continued ability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 these insurance licenses in the jurisdictions in which we are licensed depends on our compliance with the rules and regulations promulgated from time to time by the regulatory authorities in each of these jurisdictions. Furthermore, state insurance departments conduct, and we are routinely subject to, periodic examinations, audits and investigations of the affairs of insurance companies and agencies, any of which could result in the expenditure of significant management time or financial resources.</w:t>
      </w:r>
    </w:p>
    <w:p>
      <w:pPr>
        <w:spacing w:after="0" w:line="214" w:lineRule="exact"/>
        <w:rPr>
          <w:sz w:val="20"/>
          <w:szCs w:val="20"/>
          <w:color w:val="auto"/>
        </w:rPr>
      </w:pPr>
    </w:p>
    <w:p>
      <w:pPr>
        <w:jc w:val="both"/>
        <w:ind w:firstLine="580"/>
        <w:spacing w:after="0" w:line="275" w:lineRule="auto"/>
        <w:rPr>
          <w:sz w:val="20"/>
          <w:szCs w:val="20"/>
          <w:color w:val="auto"/>
        </w:rPr>
      </w:pPr>
      <w:r>
        <w:rPr>
          <w:rFonts w:ascii="Arial" w:cs="Arial" w:eastAsia="Arial" w:hAnsi="Arial"/>
          <w:sz w:val="17"/>
          <w:szCs w:val="17"/>
          <w:color w:val="auto"/>
        </w:rPr>
        <w:t>In all jurisdictions, the applicable laws and regulations are subject to amendment and interpretation by regulatory authorities.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in a given jurisdiction. No assurances can be given that our insurance business can continue to be conducted in any given jurisdiction as it has been conducted in the past or that we will be able to expand our insurance business in the future.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enter new verticals, or if our software solution for any new vertical fails to achieve market acceptance, our operating results could be adversely affected and we may be required to reconsider our growth strategy.</w:t>
      </w:r>
    </w:p>
    <w:p>
      <w:pPr>
        <w:spacing w:after="0" w:line="197" w:lineRule="exact"/>
        <w:rPr>
          <w:sz w:val="20"/>
          <w:szCs w:val="20"/>
          <w:color w:val="auto"/>
        </w:rPr>
      </w:pPr>
    </w:p>
    <w:p>
      <w:pPr>
        <w:jc w:val="both"/>
        <w:ind w:firstLine="409"/>
        <w:spacing w:after="0" w:line="273" w:lineRule="auto"/>
        <w:rPr>
          <w:sz w:val="20"/>
          <w:szCs w:val="20"/>
          <w:color w:val="auto"/>
        </w:rPr>
      </w:pPr>
      <w:r>
        <w:rPr>
          <w:rFonts w:ascii="Arial" w:cs="Arial" w:eastAsia="Arial" w:hAnsi="Arial"/>
          <w:sz w:val="17"/>
          <w:szCs w:val="17"/>
          <w:color w:val="auto"/>
        </w:rPr>
        <w:t>Our growth strategy is dependent, in part, on our ability to expand into new verticals, beyond the real estate and legal markets. However, we may be unable to identify new verticals that meet our criteria for selecting industries that cloud-based solutions are ideally suited to address. In addition, our market validation process may not support entry into selected verticals due to our perception of the overall market opportunity or of the willingness of market participants within those verticals to adopt our software solutions. Further, instead of pursuing new verticals, we may prefer for various reasons to pursue alternative growth strategies, such as entry into markets that are adjacent to the markets in which we currently participate within our existing verticals, or the development of additional products or services for our existing markets.</w:t>
      </w:r>
    </w:p>
    <w:p>
      <w:pPr>
        <w:spacing w:after="0" w:line="205" w:lineRule="exact"/>
        <w:rPr>
          <w:sz w:val="20"/>
          <w:szCs w:val="20"/>
          <w:color w:val="auto"/>
        </w:rPr>
      </w:pPr>
    </w:p>
    <w:p>
      <w:pPr>
        <w:jc w:val="both"/>
        <w:ind w:firstLine="475"/>
        <w:spacing w:after="0" w:line="254"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develop a software solution for a new vertical or, in the event that we enter a new vertical by way of a strategic acquisition, we may be unable to leverage the acquired software solution in time to take advantage of the identified market opportunity, and any delay in our time-to-market could expose us to additional competition or other factors that could impede our success. In addition, any software solution we develop or acquire for a new vertical may not provide the functionality required by potential customers and, as a result, may not achieve widespread market acceptance within the new vertical. To the extent we choose to enter new verticals, whether organically or via strategic acquisition, we may invest significant resources to develop and expand the functionality of our software solutions to meet the needs of customers in those verticals, which investments will occur in advance of our realization of revenue from them.</w:t>
      </w:r>
    </w:p>
    <w:p>
      <w:pPr>
        <w:spacing w:after="0" w:line="219"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In addition, while we expedited our entry into the legal vertical through the acquisition of MyCase in 2012, our practice and case management solution is in an earlier stage of development than APM, our property management solution, and we are at an earlier stage in the process of expanding the core functionality and Value+ services associated with our legal software. We face significant competition in the legal market from both vertical software vendors and cloud-based solution providers that offer one or more point solutions. There can be no assurance that we will be able to achieve market acceptance for our legal software at or near the levels achieved by our property management software.</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All of our revenues are generated by sales to customers in our targeted verticals, and factors that adversely affect the applicable industry could also adversely affect us.</w:t>
      </w:r>
    </w:p>
    <w:p>
      <w:pPr>
        <w:spacing w:after="0" w:line="197" w:lineRule="exact"/>
        <w:rPr>
          <w:sz w:val="20"/>
          <w:szCs w:val="20"/>
          <w:color w:val="auto"/>
        </w:rPr>
      </w:pPr>
    </w:p>
    <w:p>
      <w:pPr>
        <w:jc w:val="both"/>
        <w:ind w:firstLine="433"/>
        <w:spacing w:after="0" w:line="269" w:lineRule="auto"/>
        <w:rPr>
          <w:sz w:val="20"/>
          <w:szCs w:val="20"/>
          <w:color w:val="auto"/>
        </w:rPr>
      </w:pPr>
      <w:r>
        <w:rPr>
          <w:rFonts w:ascii="Arial" w:cs="Arial" w:eastAsia="Arial" w:hAnsi="Arial"/>
          <w:sz w:val="17"/>
          <w:szCs w:val="17"/>
          <w:color w:val="auto"/>
        </w:rPr>
        <w:t>Currently, all of our sales are to customers in the real estate market and, to a lesser extent, the legal market. Demand for our software solutions and services could be affected by factors that are unique to and adversely affect our targeted verticals. In particular, the real estate and legal markets, as well as many of the software solutions and services we offer in those markets, are highly regulated across multiple federal, state and local jurisdictions, subject to intense competition and impacted by changes in general economic and market conditions. For example, changes in applicable laws and regulations could significantly impact the features and functionality demanded by our customers and require us to expend significant resources to ensure our software solutions continue to meet their evolving needs. In addition, other industry-specific factors, such as industry consolidation or the introduction of competing or disruptive technology, could lead to a significant reduction in the number of customers that use our software solutions or the Value+ services demanded by these customers. Further, if the real estate or legal markets decline, our customers may decide not to renew their subscriptions or they may cease using our Value+ services in order to reduce costs to remain competitive. It is possible that the significant increase in unemployment rates and financial uncertainty caused by the COVID-19 pandemic could have a disproportionate impact on businesses within the real estate and legal markets. As a result, our ability to generate revenue from our real estate and legal market customers could be adversely affected, which could have a material adverse impact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22"/>
        <w:spacing w:after="0" w:line="257" w:lineRule="auto"/>
        <w:rPr>
          <w:sz w:val="20"/>
          <w:szCs w:val="20"/>
          <w:color w:val="auto"/>
        </w:rPr>
      </w:pPr>
      <w:r>
        <w:rPr>
          <w:rFonts w:ascii="Arial" w:cs="Arial" w:eastAsia="Arial" w:hAnsi="Arial"/>
          <w:sz w:val="18"/>
          <w:szCs w:val="18"/>
          <w:color w:val="auto"/>
        </w:rPr>
        <w:t>In addition to the foregoing risks associated with our targeted verticals themselves, there is an overarching risk stemming from potential widespread adoption of quickly evolving financial or other disruptive technology products that could significantly impact our targeted verticals, even if that technology is not specifically designed to apply directly to our targeted verticals. The adoption of these new technologies could significantly reduce the volume or demand of customers in our targeted verticals, thereby reducing our revenue, which could materially impact our business, financial condition and operating results.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deliver effective customer service, it could harm our relationships with our existing customers and adversely affect our ability to attract new customers.</w:t>
      </w:r>
    </w:p>
    <w:p>
      <w:pPr>
        <w:spacing w:after="0" w:line="197"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business depends, in part, on our ability to satisfy our customers, both by providing software solutions that address their business needs, and by providing onboarding services and ongoing customer service, which contributes to retaining customers and increasing adoption and utilization of our Value+ services by our existing customers. Once our software solutions are deployed, our customers depend on our customer service organization to resolve technical issues relating to their use of our solutions. We may be unable to respond quickly to accommodate short-term increases in customer demand for support services or may otherwise encounter a customer issue that is difficult to resolve. If a customer is not satisfied with the quality or responsiveness of our customer service, we could incur additional costs to address the situation. As we do not separately charge our customers for support services, increased demand for our support services would increase costs without corresponding revenue, which could adversely affect our operating results. In addition, regardless of the quality or responsiveness of our customer service efforts, a customer that is not satisfied with an outcome may choose to terminate, or not to renew, their relationship with us.</w:t>
      </w:r>
    </w:p>
    <w:p>
      <w:pPr>
        <w:spacing w:after="0" w:line="208" w:lineRule="exact"/>
        <w:rPr>
          <w:sz w:val="20"/>
          <w:szCs w:val="20"/>
          <w:color w:val="auto"/>
        </w:rPr>
      </w:pPr>
    </w:p>
    <w:p>
      <w:pPr>
        <w:jc w:val="both"/>
        <w:ind w:firstLine="453"/>
        <w:spacing w:after="0" w:line="257" w:lineRule="auto"/>
        <w:rPr>
          <w:sz w:val="20"/>
          <w:szCs w:val="20"/>
          <w:color w:val="auto"/>
        </w:rPr>
      </w:pPr>
      <w:r>
        <w:rPr>
          <w:rFonts w:ascii="Arial" w:cs="Arial" w:eastAsia="Arial" w:hAnsi="Arial"/>
          <w:sz w:val="18"/>
          <w:szCs w:val="18"/>
          <w:color w:val="auto"/>
        </w:rPr>
        <w:t>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 Challenges associated with maintaining a responsive customer service organization may be exacerbated as a result of the COVID-19 pandemic, especially as we transition to a remote work environment.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solutions address functions within the heavily regulated real estate and legal markets, and our customers’ failure to comply with applicable laws and regulations could subject us to litigation.</w:t>
      </w:r>
    </w:p>
    <w:p>
      <w:pPr>
        <w:spacing w:after="0" w:line="197" w:lineRule="exact"/>
        <w:rPr>
          <w:sz w:val="20"/>
          <w:szCs w:val="20"/>
          <w:color w:val="auto"/>
        </w:rPr>
      </w:pPr>
    </w:p>
    <w:p>
      <w:pPr>
        <w:jc w:val="both"/>
        <w:ind w:firstLine="465"/>
        <w:spacing w:after="0" w:line="271" w:lineRule="auto"/>
        <w:rPr>
          <w:sz w:val="20"/>
          <w:szCs w:val="20"/>
          <w:color w:val="auto"/>
        </w:rPr>
      </w:pPr>
      <w:r>
        <w:rPr>
          <w:rFonts w:ascii="Arial" w:cs="Arial" w:eastAsia="Arial" w:hAnsi="Arial"/>
          <w:sz w:val="17"/>
          <w:szCs w:val="17"/>
          <w:color w:val="auto"/>
        </w:rPr>
        <w:t>We sell our software solutions to customers within the real estate market and, to a lesser extent, the legal market. Our customers use our software solutions for business activities that are subject to a number of laws and regulations, including without limitation federal, state and local real property laws and legal ethics rules. Any failure by our customers to comply with laws and regulations applicable to their businesses could result in fines, penalties or claims for substantial damages against our customers. To the extent our customers believe, or any other potentially aggrieved stakeholder believes, that our software solutions or our customer service and support organization caused or contributed to such failures, our customers and/or other third parties may make claims for damages against us, regardless of whether we are responsible for the failure. As a result, we may be subject to lawsuits or other proceedings that, even if unsuccessful, could divert our resources and our management’s attention and adversely affect our business, and our insurance coverage may not be sufficient to cover such claims against us.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promote our brands, or to do so in a cost-effective manner, our ability to maintain and expand our customer base will be impaired, and our operating results could be adversely affected.</w:t>
      </w:r>
    </w:p>
    <w:p>
      <w:pPr>
        <w:spacing w:after="0" w:line="170"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our targeted verticals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Our inability to meet in person with prospective or existing customers during the COVID-19 pandemic may have an adverse impact on our relationships with current or prospective customers, and reduce the demand for our software solutions. Additionally, the actions of third parties which are out of our control may affect our brands and reputation if customers do not have a positive experience using the services of our third party partners that support our software solutions.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197" w:lineRule="exact"/>
        <w:rPr>
          <w:sz w:val="20"/>
          <w:szCs w:val="20"/>
          <w:color w:val="auto"/>
        </w:rPr>
      </w:pPr>
    </w:p>
    <w:p>
      <w:pPr>
        <w:jc w:val="both"/>
        <w:ind w:firstLine="476"/>
        <w:spacing w:after="0" w:line="257" w:lineRule="auto"/>
        <w:rPr>
          <w:sz w:val="20"/>
          <w:szCs w:val="20"/>
          <w:color w:val="auto"/>
        </w:rPr>
      </w:pPr>
      <w:r>
        <w:rPr>
          <w:rFonts w:ascii="Arial" w:cs="Arial" w:eastAsia="Arial" w:hAnsi="Arial"/>
          <w:sz w:val="18"/>
          <w:szCs w:val="18"/>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w:t>
      </w:r>
    </w:p>
    <w:p>
      <w:pPr>
        <w:spacing w:after="0" w:line="215" w:lineRule="exact"/>
        <w:rPr>
          <w:sz w:val="20"/>
          <w:szCs w:val="20"/>
          <w:color w:val="auto"/>
        </w:rPr>
      </w:pPr>
    </w:p>
    <w:p>
      <w:pPr>
        <w:jc w:val="both"/>
        <w:ind w:firstLine="407"/>
        <w:spacing w:after="0" w:line="255" w:lineRule="auto"/>
        <w:rPr>
          <w:sz w:val="20"/>
          <w:szCs w:val="20"/>
          <w:color w:val="auto"/>
        </w:rPr>
      </w:pPr>
      <w:r>
        <w:rPr>
          <w:rFonts w:ascii="Arial" w:cs="Arial" w:eastAsia="Arial" w:hAnsi="Arial"/>
          <w:sz w:val="18"/>
          <w:szCs w:val="18"/>
          <w:color w:val="auto"/>
        </w:rPr>
        <w:t>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197" w:lineRule="exact"/>
        <w:rPr>
          <w:sz w:val="20"/>
          <w:szCs w:val="20"/>
          <w:color w:val="auto"/>
        </w:rPr>
      </w:pPr>
    </w:p>
    <w:p>
      <w:pPr>
        <w:jc w:val="both"/>
        <w:ind w:firstLine="514"/>
        <w:spacing w:after="0" w:line="269" w:lineRule="auto"/>
        <w:rPr>
          <w:sz w:val="20"/>
          <w:szCs w:val="20"/>
          <w:color w:val="auto"/>
        </w:rPr>
      </w:pPr>
      <w:r>
        <w:rPr>
          <w:rFonts w:ascii="Arial" w:cs="Arial" w:eastAsia="Arial" w:hAnsi="Arial"/>
          <w:sz w:val="17"/>
          <w:szCs w:val="17"/>
          <w:color w:val="auto"/>
        </w:rPr>
        <w:t>There is considerable patent, trademark, copyright, trade secret and other intellectual property development activity in our industry. 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 that which we acquire. From time to time, our competitors or other third parties may claim that we are infringing upon their intellectual property rights. However, we may be unaware of the intellectual property rights that others may claim cover some or all of our technology or software solutions.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expect to continue to incur significant costs as a result of operating as a public company, and our management is required to devote substantial time to compliance with legal requirements and corporate governance initiatives.</w:t>
      </w:r>
    </w:p>
    <w:p>
      <w:pPr>
        <w:spacing w:after="0" w:line="197" w:lineRule="exact"/>
        <w:rPr>
          <w:sz w:val="20"/>
          <w:szCs w:val="20"/>
          <w:color w:val="auto"/>
        </w:rPr>
      </w:pPr>
    </w:p>
    <w:p>
      <w:pPr>
        <w:jc w:val="both"/>
        <w:ind w:firstLine="357"/>
        <w:spacing w:after="0" w:line="301" w:lineRule="auto"/>
        <w:rPr>
          <w:sz w:val="20"/>
          <w:szCs w:val="20"/>
          <w:color w:val="auto"/>
        </w:rPr>
      </w:pPr>
      <w:r>
        <w:rPr>
          <w:rFonts w:ascii="Arial" w:cs="Arial" w:eastAsia="Arial" w:hAnsi="Arial"/>
          <w:sz w:val="16"/>
          <w:szCs w:val="16"/>
          <w:color w:val="auto"/>
        </w:rPr>
        <w:t>As a public company, we have incurred and expect to continue to incur significant legal, accounting, compliance and other expenses. We are subject to the reporting requirements of the Securities Exchange Act of 1934, as amended, the Sarbanes-Oxley Act of 2002, the listing requirements of the NASDAQ Global Market, and other applicable securities rules and regulations. Compliance with these rules and regulations will continue to increase our legal and financial compliance costs, make some activities more difficult, time-consuming or costly, and increase demand on our systems and resources.</w:t>
      </w:r>
    </w:p>
    <w:p>
      <w:pPr>
        <w:spacing w:after="0" w:line="184"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requirements are creating uncertainty for public companies, increasing legal and financial compliance costs, and making some activities more difficult and time consuming. These laws, regulations and standards are subject to varying interpretations and their application in practice may evolve over time as new guidance is provided by regulatory and governing bodies. This could result in continuing uncertainty regarding compliance matters and higher costs necessitated by ongoing revisions to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which could result in a material adverse impact on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software solutions over the term of each subscription agreement, downturns or upturns in new business may not be immediately reflected in our operating results.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81"/>
        <w:spacing w:after="0" w:line="272" w:lineRule="auto"/>
        <w:rPr>
          <w:sz w:val="20"/>
          <w:szCs w:val="20"/>
          <w:color w:val="auto"/>
        </w:rPr>
      </w:pPr>
      <w:r>
        <w:rPr>
          <w:rFonts w:ascii="Arial" w:cs="Arial" w:eastAsia="Arial" w:hAnsi="Arial"/>
          <w:sz w:val="17"/>
          <w:szCs w:val="17"/>
          <w:color w:val="auto"/>
        </w:rPr>
        <w:t>We recognize revenue from customers ratably over the term of each subscription agreement, which typically ranges from one month to one year. As a result, some of the revenue we report in each period is derived from the recognition of deferred revenue relating to subscription agreements entered into during previous periods. Consequently, a decline in new or renewed subscriptions in any one period may not be reflected in our revenue results for that period. However, any such decline will negatively affect our revenue in future quarters. Our subscription model also makes it difficult for us to rapidly increase our revenue through additional sales in any period, as revenue from new customers must be recognized over the applicable subscription period. Accordingly, the effect of downturns or upturns in our sales, the market acceptance of our software solutions, and potential changes in our customer retention rates, may not be apparent in our operating results until future periods.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197" w:lineRule="exact"/>
        <w:rPr>
          <w:sz w:val="20"/>
          <w:szCs w:val="20"/>
          <w:color w:val="auto"/>
        </w:rPr>
      </w:pPr>
    </w:p>
    <w:p>
      <w:pPr>
        <w:jc w:val="both"/>
        <w:ind w:firstLine="378"/>
        <w:spacing w:after="0" w:line="269"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These risks could be difficult to eliminate or manage, and could have a negative impact on our business and operating results.</w:t>
      </w:r>
    </w:p>
    <w:p>
      <w:pPr>
        <w:spacing w:after="0" w:line="209" w:lineRule="exact"/>
        <w:rPr>
          <w:sz w:val="20"/>
          <w:szCs w:val="20"/>
          <w:color w:val="auto"/>
        </w:rPr>
      </w:pPr>
    </w:p>
    <w:p>
      <w:pPr>
        <w:jc w:val="both"/>
        <w:ind w:firstLine="389"/>
        <w:spacing w:after="0" w:line="275" w:lineRule="auto"/>
        <w:rPr>
          <w:sz w:val="20"/>
          <w:szCs w:val="20"/>
          <w:color w:val="auto"/>
        </w:rPr>
      </w:pPr>
      <w:r>
        <w:rPr>
          <w:rFonts w:ascii="Arial" w:cs="Arial" w:eastAsia="Arial" w:hAnsi="Arial"/>
          <w:sz w:val="17"/>
          <w:szCs w:val="17"/>
          <w:color w:val="auto"/>
        </w:rPr>
        <w:t>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associated with our outstanding and future indebtedness that could adversely affect our financial condition.</w:t>
      </w:r>
    </w:p>
    <w:p>
      <w:pPr>
        <w:spacing w:after="0" w:line="252" w:lineRule="exact"/>
        <w:rPr>
          <w:sz w:val="20"/>
          <w:szCs w:val="20"/>
          <w:color w:val="auto"/>
        </w:rPr>
      </w:pPr>
    </w:p>
    <w:p>
      <w:pPr>
        <w:jc w:val="both"/>
        <w:ind w:firstLine="389"/>
        <w:spacing w:after="0" w:line="293" w:lineRule="auto"/>
        <w:rPr>
          <w:sz w:val="20"/>
          <w:szCs w:val="20"/>
          <w:color w:val="auto"/>
        </w:rPr>
      </w:pPr>
      <w:r>
        <w:rPr>
          <w:rFonts w:ascii="Arial" w:cs="Arial" w:eastAsia="Arial" w:hAnsi="Arial"/>
          <w:sz w:val="16"/>
          <w:szCs w:val="16"/>
          <w:color w:val="auto"/>
        </w:rPr>
        <w:t>As of June 30, 2020, we had $48.0 million of outstanding indebtedness under a term loan that will mature on December 24, 2023 (the "Term Loan"), pursuant to our Credit Agreement with Wells Fargo, and we may incur additional indebtedness in the future and/or enter into new financing arrangements. In addition, as of June 30, 2020, we had $49.0 million outstanding under our Revolving Facility with Wells Fargo. Our ability to meet expenses, to remain in compliance with the covenants under our debt instruments, and to pay fees, interest and principal on our substantial level of indebtedness depends on, among other things, our operating performance and market conditions, which are likely to be impacted by the significant disruptions caused by the COVID-19 pandemic. Accordingly, our cash flow may not be sufficient to allow us to pay principal and interest on our debt and meet our other obligations.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indebtedness could have important consequences, including the following:</w:t>
      </w:r>
    </w:p>
    <w:p>
      <w:pPr>
        <w:spacing w:after="0" w:line="171" w:lineRule="exact"/>
        <w:rPr>
          <w:sz w:val="20"/>
          <w:szCs w:val="20"/>
          <w:color w:val="auto"/>
        </w:rPr>
      </w:pPr>
    </w:p>
    <w:p>
      <w:pPr>
        <w:jc w:val="both"/>
        <w:ind w:left="1060" w:hanging="485"/>
        <w:spacing w:after="0" w:line="263" w:lineRule="auto"/>
        <w:tabs>
          <w:tab w:leader="none" w:pos="10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use a portion of our cash flow from operations to pay fees, interest and principal on the Term Loan and Revolving Facility which reduces funds available to us for other purposes such as working capital, capital expenditures, other general corporate purposes, and potential acquisitions;</w:t>
      </w:r>
    </w:p>
    <w:p>
      <w:pPr>
        <w:spacing w:after="0" w:line="116"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refinance our indebtedness or to obtain additional financing for working capital, capital expenditures, acquisitions, or general corporate purposes;</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exposed to fluctuations in interest rates because borrowings under our credit facilities bear interest at variable rates;</w:t>
      </w:r>
    </w:p>
    <w:p>
      <w:pPr>
        <w:spacing w:after="0" w:line="171"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leverage may be greater than that of some of our competitors, which may put us at a competitive disadvantage and reduce our flexibility in responding to current and changing industry and financial market conditions;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0" w:hanging="485"/>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more vulnerable to an economic downturn and adverse developments in our business; and</w:t>
      </w:r>
    </w:p>
    <w:p>
      <w:pPr>
        <w:spacing w:after="0" w:line="157" w:lineRule="exact"/>
        <w:rPr>
          <w:rFonts w:ascii="Arial" w:cs="Arial" w:eastAsia="Arial" w:hAnsi="Arial"/>
          <w:sz w:val="18"/>
          <w:szCs w:val="18"/>
          <w:color w:val="auto"/>
        </w:rPr>
      </w:pPr>
    </w:p>
    <w:p>
      <w:pPr>
        <w:jc w:val="both"/>
        <w:ind w:left="1060" w:hanging="485"/>
        <w:spacing w:after="0" w:line="263" w:lineRule="auto"/>
        <w:tabs>
          <w:tab w:leader="none" w:pos="10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comply with financial and other covenants in our debt agreements, which could result in an event of default that, if not cured or waived, may result in acceleration of certain of our debt, have an adverse effect on our business and prospects and force us into bankruptcy or liquidation.</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can be no assurance that we will be able to manage any of these risks successfully.</w:t>
      </w:r>
    </w:p>
    <w:p>
      <w:pPr>
        <w:spacing w:after="0" w:line="252" w:lineRule="exact"/>
        <w:rPr>
          <w:sz w:val="20"/>
          <w:szCs w:val="20"/>
          <w:color w:val="auto"/>
        </w:rPr>
      </w:pPr>
    </w:p>
    <w:p>
      <w:pPr>
        <w:jc w:val="both"/>
        <w:ind w:firstLine="381"/>
        <w:spacing w:after="0" w:line="255" w:lineRule="auto"/>
        <w:rPr>
          <w:sz w:val="20"/>
          <w:szCs w:val="20"/>
          <w:color w:val="auto"/>
        </w:rPr>
      </w:pPr>
      <w:r>
        <w:rPr>
          <w:rFonts w:ascii="Arial" w:cs="Arial" w:eastAsia="Arial" w:hAnsi="Arial"/>
          <w:sz w:val="18"/>
          <w:szCs w:val="18"/>
          <w:color w:val="auto"/>
        </w:rPr>
        <w:t>In addition, we conduct a portion of our operations through our subsidiaries. Accordingly, repayment of our indebtedness will be dependent in part on the generation of cash flow by our subsidiaries and their ability to make such cash available to us by dividend, distribution or otherwise. Our subsidiaries may not be able to, or may not be permitted to, make distributions to enable us to make payments in respect of our indebtedness. Each subsidiary is a distinct legal entity, and under certain circumstances, legal and contractual restrictions may limit our ability to obtain cash from our subsidiaries. In the event that we do not receive distributions from our subsidiaries, we may be unable to make the required fee, interest and principal payments on our indebtedness.</w:t>
      </w:r>
    </w:p>
    <w:p>
      <w:pPr>
        <w:spacing w:after="0" w:line="2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Financing agreements that we are party to or may become party to may contain operating and financial covenants that restrict our business and financing activities. Failure to comply with these covenants, or other restrictions, could result in default under these agreements.</w:t>
      </w:r>
    </w:p>
    <w:p>
      <w:pPr>
        <w:spacing w:after="0" w:line="151" w:lineRule="exact"/>
        <w:rPr>
          <w:sz w:val="20"/>
          <w:szCs w:val="20"/>
          <w:color w:val="auto"/>
        </w:rPr>
      </w:pPr>
    </w:p>
    <w:p>
      <w:pPr>
        <w:jc w:val="both"/>
        <w:ind w:firstLine="471"/>
        <w:spacing w:after="0" w:line="269" w:lineRule="auto"/>
        <w:rPr>
          <w:sz w:val="20"/>
          <w:szCs w:val="20"/>
          <w:color w:val="auto"/>
        </w:rPr>
      </w:pPr>
      <w:r>
        <w:rPr>
          <w:rFonts w:ascii="Arial" w:cs="Arial" w:eastAsia="Arial" w:hAnsi="Arial"/>
          <w:sz w:val="17"/>
          <w:szCs w:val="17"/>
          <w:color w:val="auto"/>
        </w:rPr>
        <w:t>Our existing Credit Agreement with Wells Fargo as administrative agent, and the lenders that are parties thereto, which we refer to as the Second Amendment of our Original Credit Agreement, contains certain operating and financial restrictions and covenants, including limitations on dividends, dispositions of all or substantially all of our assets, mergers or consolidations, incurrence of indebtedness and liens, and other corporate activities. These restrictions and covenants, as well as those contained in any future financing agreements that we may enter into, may restrict our ability to finance our operations, and to engage in, expand or otherwise pursue our business activities and strategic objectives. The substantial uncertainty and financial impacts caused by the COVID-19 pandemic may cause Wells Fargo to seek to amend the Second Amendment of our Original Credit Agreement, which could, among other things, result in greater operational or financial restrictions on our business. Our ability to comply with these restrictions and covenants may be affected by events beyond our control, including disruptions to our business relating to the COVID-19 pandemic, and breaches of these covenants could result in a default under the Second Amendment of our Original Credit Agreement and any future financing agreements that we may enter into. If not waived, defaults could cause any outstanding indebtedness under the Second Amendment of our Original Credit Agreement and any future financing agreements that we may enter into to become immediately due and payable, and allow the lenders to proceed against any collateral securing that indebtedness.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52" w:lineRule="exact"/>
        <w:rPr>
          <w:sz w:val="20"/>
          <w:szCs w:val="20"/>
          <w:color w:val="auto"/>
        </w:rPr>
      </w:pPr>
    </w:p>
    <w:p>
      <w:pPr>
        <w:jc w:val="both"/>
        <w:ind w:firstLine="399"/>
        <w:spacing w:after="0" w:line="285" w:lineRule="auto"/>
        <w:rPr>
          <w:sz w:val="20"/>
          <w:szCs w:val="20"/>
          <w:color w:val="auto"/>
        </w:rPr>
      </w:pPr>
      <w:r>
        <w:rPr>
          <w:rFonts w:ascii="Arial" w:cs="Arial" w:eastAsia="Arial" w:hAnsi="Arial"/>
          <w:sz w:val="16"/>
          <w:szCs w:val="16"/>
          <w:color w:val="auto"/>
        </w:rPr>
        <w:t>As of December 31, 2019, the date of our most recent audited financial statements, we had federal net operating loss carryforwards of $82.1 million, which will begin to expire in 2031. As of December 31, 2019, we had state net operating loss carryforwards of $65.9 million, which will begin to expire in 2028. As of December 31, 2019, we also had federal and state research and development credit carryforwards of $11.4 million and $10.8 million, respectively. The federal credit carryforwards will begin to expire in 2027, while the majority state credits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 In addition, under the Tax Cuts and Jobs Act, the amount of net operating loss carryforwards from taxable years beginning after December 31, 2017 that we are permitted to deduct in any taxable year is limited to 80% of our taxable income in such year, where taxable income is determined without regard to the net operating loss carryforward deduction itself. However, the Coronavirus Aid, Relief, and Economic Security Act (also known as the "CARES Act') suspended this limitation for taxable years beginning before January 1, 2021. Nonetheless, for aforementioned reasons, we may not be able to realize a tax benefit, or may realize less tax benefit, from the use of our net operating loss carryforwards. Any such limitations on our ability to use our net operating loss carryforwards and other tax assets could adversely impact our business, financial condition and operating results.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Tax laws or regulations could be enacted or changed and existing tax laws or regulations could be applied to us or to our customers in a manner that could increase the costs of our software solutions and adversely impact our operating results.</w:t>
      </w:r>
    </w:p>
    <w:p>
      <w:pPr>
        <w:spacing w:after="0" w:line="197" w:lineRule="exact"/>
        <w:rPr>
          <w:sz w:val="20"/>
          <w:szCs w:val="20"/>
          <w:color w:val="auto"/>
        </w:rPr>
      </w:pPr>
    </w:p>
    <w:p>
      <w:pPr>
        <w:jc w:val="both"/>
        <w:ind w:firstLine="450"/>
        <w:spacing w:after="0" w:line="279" w:lineRule="auto"/>
        <w:rPr>
          <w:sz w:val="20"/>
          <w:szCs w:val="20"/>
          <w:color w:val="auto"/>
        </w:rPr>
      </w:pPr>
      <w:r>
        <w:rPr>
          <w:rFonts w:ascii="Arial" w:cs="Arial" w:eastAsia="Arial" w:hAnsi="Arial"/>
          <w:sz w:val="17"/>
          <w:szCs w:val="17"/>
          <w:color w:val="auto"/>
        </w:rPr>
        <w:t>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the taxes would represent and could ultimately result in a negative impact on our operating results.</w:t>
      </w:r>
    </w:p>
    <w:p>
      <w:pPr>
        <w:spacing w:after="0" w:line="198"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8"/>
          <w:szCs w:val="18"/>
          <w:color w:val="auto"/>
        </w:rPr>
        <w:t>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expansion of our sales to customers outside the United States, our business will be susceptible to the risks associated with international operations.</w:t>
      </w:r>
    </w:p>
    <w:p>
      <w:pPr>
        <w:spacing w:after="0" w:line="197" w:lineRule="exact"/>
        <w:rPr>
          <w:sz w:val="20"/>
          <w:szCs w:val="20"/>
          <w:color w:val="auto"/>
        </w:rPr>
      </w:pPr>
    </w:p>
    <w:p>
      <w:pPr>
        <w:jc w:val="both"/>
        <w:ind w:firstLine="350"/>
        <w:spacing w:after="0" w:line="289" w:lineRule="auto"/>
        <w:rPr>
          <w:sz w:val="20"/>
          <w:szCs w:val="20"/>
          <w:color w:val="auto"/>
        </w:rPr>
      </w:pPr>
      <w:r>
        <w:rPr>
          <w:rFonts w:ascii="Arial" w:cs="Arial" w:eastAsia="Arial" w:hAnsi="Arial"/>
          <w:sz w:val="16"/>
          <w:szCs w:val="16"/>
          <w:color w:val="auto"/>
        </w:rPr>
        <w:t>A component of our growth strategy involves the expansion of our international operations and worldwide customer base. To date, we have realized an immaterial amount of revenue from customers outside the United States. Operating in international markets will require significant resources and management attention and will subject us to regulatory, economic, geographic and political risks, including but not limited to the risk of disruptions caused by regional natural disasters or health epidemics, that are different from those in the United States. Because of our limited experience with international operations and significant differences between the United States and international markets, our international expansion efforts may not be successful in creating demand for our software solutions outside of the United States or in effectively selling our software solutions in any international markets we may enter. The significant disruptions caused by the COVID-19 pandemic, especially in certain countries in the European Union and Asia, could have a prolonged negative impact on our ability to expand our sales to customers outside the United States. If we invest substantial time and resources to expand our international operations and are unable to do so successfully, our business and operating results could suffer.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170"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8"/>
          <w:szCs w:val="18"/>
          <w:color w:val="auto"/>
        </w:rPr>
        <w:t>The market price of our Class A common stock has been, and is likely to continue to be, highly volatile, and fluctuations in the price of our Class A common stock could cause you to lose all or part of your investment. For example, from June 30, 2019 to June 30, 2020, the share price of our Class A common stock on the NASDAQ Global Market fluctuated between $81.01 and $180.56.</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numerous factors that could cause fluctuations in the market price of our Class A common stock, including:</w:t>
      </w:r>
    </w:p>
    <w:p>
      <w:pPr>
        <w:spacing w:after="0" w:line="171" w:lineRule="exact"/>
        <w:rPr>
          <w:sz w:val="20"/>
          <w:szCs w:val="20"/>
          <w:color w:val="auto"/>
        </w:rPr>
      </w:pPr>
    </w:p>
    <w:p>
      <w:pPr>
        <w:ind w:left="1060" w:hanging="4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trading volume of our Class A common stock;</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market prices and trading volumes of securities issued by software companies;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software companies generally or those in our markets in particular;</w:t>
      </w:r>
    </w:p>
    <w:p>
      <w:pPr>
        <w:spacing w:after="0" w:line="182" w:lineRule="exact"/>
        <w:rPr>
          <w:rFonts w:ascii="Arial" w:cs="Arial" w:eastAsia="Arial" w:hAnsi="Arial"/>
          <w:sz w:val="17"/>
          <w:szCs w:val="17"/>
          <w:color w:val="auto"/>
        </w:rPr>
      </w:pPr>
    </w:p>
    <w:p>
      <w:pPr>
        <w:ind w:left="1060" w:hanging="4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or perceptions that such sales may occur;</w:t>
      </w:r>
    </w:p>
    <w:p>
      <w:pPr>
        <w:spacing w:after="0" w:line="157"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future announcements to repurchase our Class A common stock, and any actual share repurchases that we may undertake from time to time;</w:t>
      </w:r>
    </w:p>
    <w:p>
      <w:pPr>
        <w:spacing w:after="0" w:line="116"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us, or our failure to meet these estimates or the expectations of investors;</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guidance we may provide to the public, any changes in that guidance, and our performance relative to that guidance;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reaction to our press releases, filings with the SEC and other public announcements;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software companies;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impacts from widespread public health crises, including the COVID-19 global pandemic;</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legal proceedings, enforcement actions or regulatory inquiries relating to us or our competitors or to the markets in which we operate;</w:t>
      </w:r>
    </w:p>
    <w:p>
      <w:pPr>
        <w:spacing w:after="0" w:line="182" w:lineRule="exact"/>
        <w:rPr>
          <w:rFonts w:ascii="Arial" w:cs="Arial" w:eastAsia="Arial" w:hAnsi="Arial"/>
          <w:sz w:val="17"/>
          <w:szCs w:val="17"/>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or the markets in which we operate;</w:t>
      </w:r>
    </w:p>
    <w:p>
      <w:pPr>
        <w:spacing w:after="0" w:line="194" w:lineRule="exact"/>
        <w:rPr>
          <w:rFonts w:ascii="Arial" w:cs="Arial" w:eastAsia="Arial" w:hAnsi="Arial"/>
          <w:sz w:val="16"/>
          <w:szCs w:val="16"/>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management;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trends, including the impacts and disruptions caused by the COVID-19 pandemic.</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 potentially, the price of our Class A common stock.</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a limited number of stockholders, including our executive officers, directors and principal stockholders, which will limit your ability to influence corporate matters.</w:t>
      </w:r>
    </w:p>
    <w:p>
      <w:pPr>
        <w:spacing w:after="0" w:line="197"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of December 31, 2019, the holders of the outstanding shares of our Class B common stock, including our executive officers, directors, and principal stockholders, collectively hold approximately 91%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are able to exercise significant influence and control over the establishment and implementation of our future business plans and strategic objectives, as well as to control all matters submitted to our stockholders for approval. These persons may manage our business in ways with which you disagree and which may be adverse to your interests. This concentrated control may also have the effect of delaying, deterring or preventing a change-in-control transaction, depriving our stockholders of an opportunity to receive a premium for their capital stock or negatively affecting the market price of our Class A common stock.</w:t>
      </w:r>
    </w:p>
    <w:p>
      <w:pPr>
        <w:spacing w:after="0" w:line="20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252" w:lineRule="exact"/>
        <w:rPr>
          <w:sz w:val="20"/>
          <w:szCs w:val="20"/>
          <w:color w:val="auto"/>
        </w:rPr>
      </w:pPr>
    </w:p>
    <w:p>
      <w:pPr>
        <w:jc w:val="both"/>
        <w:ind w:firstLine="450"/>
        <w:spacing w:after="0" w:line="259" w:lineRule="auto"/>
        <w:rPr>
          <w:sz w:val="20"/>
          <w:szCs w:val="20"/>
          <w:color w:val="auto"/>
        </w:rPr>
      </w:pPr>
      <w:r>
        <w:rPr>
          <w:rFonts w:ascii="Arial" w:cs="Arial" w:eastAsia="Arial" w:hAnsi="Arial"/>
          <w:sz w:val="18"/>
          <w:szCs w:val="18"/>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As of June 30, 2020,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the outstanding shares of our Class B common stock, including our executive officers, directors, and principal stockholders, collectively hold approximately 91% of the combined voting power of our outstanding capital stock. Many investment funds are precluded from investing in companies that are not included in such indices, and these funds would be unable to purchase our Class A common stock. We cannot assure you that other stock indices will not take a similar approach in the future. Exclusion from indices could make our Class A common stock less attractive to investors and, as a result, the market price of our Class A common stock could be adversely affected.</w:t>
      </w:r>
    </w:p>
    <w:p>
      <w:pPr>
        <w:spacing w:after="0" w:line="215"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In addition, several shareholder advisory firms have announced their opposition to the use of multiple class structures. As a result, the dual class structure of our common stock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 repurchases could increase the volatility of the trading price of our common stock and diminish our cash reserves, and we cannot guarantee that our share repurchase program will enhance long-term stockholder value.</w:t>
      </w:r>
    </w:p>
    <w:p>
      <w:pPr>
        <w:spacing w:after="0" w:line="19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In October 2018, our Board of Directors adopted a $30.0 million Share Repurchase Program relating to our outstanding shares of our Class A common stock. In February 2019, our Board of Directors adopted a $100.0 million Share Repurchase Program relating to our outstanding shares of our Class A common stock, which is inclusive of, and not in addition to, the remaining availability under the October 2018 authorization. Although our Board of Directors has authorized the Repurchase Program, it does not obligate us to repurchase any specific dollar amount or number of shares, there is no expiration date for the Repurchase Program, and the Repurchase Program may be modified, suspended or terminated at any time and for any reason. The timing and actual number of shares repurchased under the Repurchase Program will depend on a variety of factors, including the acquisition price of the shares, our liquidity position, general market and economic conditions, legal and regulatory requirements and other considerations. Our ability to repurchase shares may also be limited by restrictive covenants in our existing Credit Agreement or in future borrowing arrangements we may enter into from time to time.</w:t>
      </w:r>
    </w:p>
    <w:p>
      <w:pPr>
        <w:spacing w:after="0" w:line="223"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Repurchases of our shares could increase the volatility of the trading price of our shares, which could have a negative impact on the trading price of our shares. Similarly, the future announcement of the termination or suspension of the Repurchase Program, or our decision not to utilize the full authorized repurchase amount under the Repurchase Program, could result in a decrease in the trading price of our shares. In addition, the Repurchase Program could have the impact of diminishing our cash reserves, which may impact our ability to finance our growth, complete acquisitions and execute our strategic plan. There can be no assurance that any share repurchases we do elect to make will enhance stockholder value because the market price of our common stock may decline below the levels at which we repurchased our shares. Although our share repurchase program is intended to enhance long-term stockholder value, we cannot guarantee that it will do so and short-term stock price fluctuations could reduce the effectiveness of the Repurchase Program.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97" w:lineRule="exact"/>
        <w:rPr>
          <w:sz w:val="20"/>
          <w:szCs w:val="20"/>
          <w:color w:val="auto"/>
        </w:rPr>
      </w:pPr>
    </w:p>
    <w:p>
      <w:pPr>
        <w:jc w:val="both"/>
        <w:ind w:firstLine="390"/>
        <w:spacing w:after="0" w:line="342"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w:t>
      </w:r>
    </w:p>
    <w:p>
      <w:pPr>
        <w:spacing w:after="0" w:line="70" w:lineRule="exact"/>
        <w:rPr>
          <w:sz w:val="20"/>
          <w:szCs w:val="20"/>
          <w:color w:val="auto"/>
        </w:rPr>
      </w:pPr>
    </w:p>
    <w:p>
      <w:pPr>
        <w:ind w:left="1060" w:right="20" w:hanging="485"/>
        <w:spacing w:after="0" w:line="277" w:lineRule="auto"/>
        <w:tabs>
          <w:tab w:leader="none" w:pos="10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our Board of Directors without prior stockholder approval;</w:t>
      </w:r>
    </w:p>
    <w:p>
      <w:pPr>
        <w:spacing w:after="0" w:line="102" w:lineRule="exact"/>
        <w:rPr>
          <w:rFonts w:ascii="Arial" w:cs="Arial" w:eastAsia="Arial" w:hAnsi="Arial"/>
          <w:sz w:val="18"/>
          <w:szCs w:val="18"/>
          <w:color w:val="auto"/>
        </w:rPr>
      </w:pPr>
    </w:p>
    <w:p>
      <w:pPr>
        <w:ind w:left="1060" w:hanging="485"/>
        <w:spacing w:after="0" w:line="277" w:lineRule="auto"/>
        <w:tabs>
          <w:tab w:leader="none" w:pos="10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our Board of Directors is divided into three classes, each of which has a different three-year term;</w:t>
      </w:r>
    </w:p>
    <w:p>
      <w:pPr>
        <w:spacing w:after="0" w:line="116" w:lineRule="exact"/>
        <w:rPr>
          <w:rFonts w:ascii="Arial" w:cs="Arial" w:eastAsia="Arial" w:hAnsi="Arial"/>
          <w:sz w:val="18"/>
          <w:szCs w:val="18"/>
          <w:color w:val="auto"/>
        </w:rPr>
      </w:pPr>
    </w:p>
    <w:p>
      <w:pPr>
        <w:ind w:left="1060" w:hanging="48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number of directors will be fixed by our Board of Directors;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our stockholders from filling vacancies on our Board of Directors;</w:t>
      </w:r>
    </w:p>
    <w:p>
      <w:pPr>
        <w:spacing w:after="0" w:line="171" w:lineRule="exact"/>
        <w:rPr>
          <w:rFonts w:ascii="Arial" w:cs="Arial" w:eastAsia="Arial" w:hAnsi="Arial"/>
          <w:sz w:val="18"/>
          <w:szCs w:val="18"/>
          <w:color w:val="auto"/>
        </w:rPr>
      </w:pPr>
    </w:p>
    <w:p>
      <w:pPr>
        <w:ind w:left="1060" w:right="20" w:hanging="485"/>
        <w:spacing w:after="0" w:line="277" w:lineRule="auto"/>
        <w:tabs>
          <w:tab w:leader="none" w:pos="10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the removal of a director only for cause and then only by the affirmative vote of the holders of a majority of the combined voting power of our outstanding capital stock;</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60" w:hanging="485"/>
        <w:spacing w:after="0" w:line="277" w:lineRule="auto"/>
        <w:tabs>
          <w:tab w:leader="none" w:pos="1083"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the vote of at least two-thirds of the combined voting power of our outstanding capital stock to approve amendments to our certificate of incorporation or bylaws;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171" w:lineRule="exact"/>
        <w:rPr>
          <w:rFonts w:ascii="Arial" w:cs="Arial" w:eastAsia="Arial" w:hAnsi="Arial"/>
          <w:sz w:val="18"/>
          <w:szCs w:val="18"/>
          <w:color w:val="auto"/>
        </w:rPr>
      </w:pPr>
    </w:p>
    <w:p>
      <w:pPr>
        <w:ind w:left="1060" w:hanging="48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a dual-class common stock structure, as discussed above; and</w:t>
      </w:r>
    </w:p>
    <w:p>
      <w:pPr>
        <w:spacing w:after="0" w:line="171" w:lineRule="exact"/>
        <w:rPr>
          <w:rFonts w:ascii="Arial" w:cs="Arial" w:eastAsia="Arial" w:hAnsi="Arial"/>
          <w:sz w:val="18"/>
          <w:szCs w:val="18"/>
          <w:color w:val="auto"/>
        </w:rPr>
      </w:pPr>
    </w:p>
    <w:p>
      <w:pPr>
        <w:ind w:left="1060" w:right="20" w:hanging="485"/>
        <w:spacing w:after="0" w:line="277" w:lineRule="auto"/>
        <w:tabs>
          <w:tab w:leader="none" w:pos="10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the approval of the holders of at least a majority of the outstanding shares of our Class B common stock, voting as a separate class, prior to consummating a change-in-control transaction.</w:t>
      </w:r>
    </w:p>
    <w:p>
      <w:pPr>
        <w:spacing w:after="0" w:line="197" w:lineRule="exact"/>
        <w:rPr>
          <w:sz w:val="20"/>
          <w:szCs w:val="20"/>
          <w:color w:val="auto"/>
        </w:rPr>
      </w:pPr>
    </w:p>
    <w:p>
      <w:pPr>
        <w:jc w:val="both"/>
        <w:ind w:firstLine="354"/>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w:t>
      </w:r>
    </w:p>
    <w:p>
      <w:pPr>
        <w:spacing w:after="0" w:line="211"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7"/>
          <w:szCs w:val="17"/>
          <w:color w:val="auto"/>
        </w:rPr>
        <w:t>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19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w:t>
      </w:r>
    </w:p>
    <w:p>
      <w:pPr>
        <w:spacing w:after="0" w:line="198" w:lineRule="exact"/>
        <w:rPr>
          <w:sz w:val="20"/>
          <w:szCs w:val="20"/>
          <w:color w:val="auto"/>
        </w:rPr>
      </w:pPr>
    </w:p>
    <w:p>
      <w:pPr>
        <w:jc w:val="both"/>
        <w:ind w:firstLine="353"/>
        <w:spacing w:after="0" w:line="273" w:lineRule="auto"/>
        <w:rPr>
          <w:sz w:val="20"/>
          <w:szCs w:val="20"/>
          <w:color w:val="auto"/>
        </w:rPr>
      </w:pPr>
      <w:r>
        <w:rPr>
          <w:rFonts w:ascii="Arial" w:cs="Arial" w:eastAsia="Arial" w:hAnsi="Arial"/>
          <w:sz w:val="17"/>
          <w:szCs w:val="17"/>
          <w:color w:val="auto"/>
        </w:rPr>
        <w:t>As of June 30, 2020, we had an aggregate of 1.2 million options outstanding that, if fully exercised, would result in the issuance of additional shares of Class A common stock or Class B common stock, as applicable. Our Class B common stock converts into Class A common stock on a one-for-one basis. In addition, as of June 30, 2020, we had 0.6 million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our market or our competitors, or if they adversely change their recommendations regarding our Class A common stock, the market price and trading volume of our Class A common stock could decline.</w:t>
      </w:r>
    </w:p>
    <w:p>
      <w:pPr>
        <w:spacing w:after="0" w:line="211" w:lineRule="exact"/>
        <w:rPr>
          <w:sz w:val="20"/>
          <w:szCs w:val="20"/>
          <w:color w:val="auto"/>
        </w:rPr>
      </w:pPr>
    </w:p>
    <w:p>
      <w:pPr>
        <w:jc w:val="both"/>
        <w:ind w:firstLine="424"/>
        <w:spacing w:after="0" w:line="275" w:lineRule="auto"/>
        <w:rPr>
          <w:sz w:val="20"/>
          <w:szCs w:val="20"/>
          <w:color w:val="auto"/>
        </w:rPr>
      </w:pPr>
      <w:r>
        <w:rPr>
          <w:rFonts w:ascii="Arial" w:cs="Arial" w:eastAsia="Arial" w:hAnsi="Arial"/>
          <w:sz w:val="17"/>
          <w:szCs w:val="17"/>
          <w:color w:val="auto"/>
        </w:rPr>
        <w:t>The trading market for our Class A common stock is influenced, to some extent, by the research and reports that securities or industry analysts may publish about us, our business, our market or our competitors. If any of the analysts who cover us adversely change their recommendations regarding our Class A common stock or provide more favorable recommendations about our competitors, the market price of our Class A common stock may decline. If any of the analysts who cover us were to cease coverage of us or fail to regularly publish reports, we could lose visibility in the financial markets, which in turn could cause the market price and trading volume of our Class A common stock to decline.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52" w:lineRule="exact"/>
        <w:rPr>
          <w:sz w:val="20"/>
          <w:szCs w:val="20"/>
          <w:color w:val="auto"/>
        </w:rPr>
      </w:pPr>
    </w:p>
    <w:p>
      <w:pPr>
        <w:jc w:val="both"/>
        <w:ind w:firstLine="444"/>
        <w:spacing w:after="0" w:line="263" w:lineRule="auto"/>
        <w:rPr>
          <w:sz w:val="20"/>
          <w:szCs w:val="20"/>
          <w:color w:val="auto"/>
        </w:rPr>
      </w:pPr>
      <w:r>
        <w:rPr>
          <w:rFonts w:ascii="Arial" w:cs="Arial" w:eastAsia="Arial" w:hAnsi="Arial"/>
          <w:sz w:val="18"/>
          <w:szCs w:val="18"/>
          <w:color w:val="auto"/>
        </w:rPr>
        <w:t>We have never declared or paid any cash dividends on our existing common stock. We do not anticipate declaring or paying any cash dividends to holders of our Class A common stock in the foreseeable future and intend to retain all future earnings for use in the growth of our business. In addition, the terms of our Credit Agreement restrict our ability to pay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Exhibit Index immediately following the signature page of this Quarterly Report,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39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AppFolio,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740" w:val="left"/>
          <w:tab w:leader="none" w:pos="4120" w:val="left"/>
          <w:tab w:leader="none" w:pos="4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31750</wp:posOffset>
            </wp:positionV>
            <wp:extent cx="25800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7620</wp:posOffset>
            </wp:positionV>
            <wp:extent cx="6951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31.1</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Amended and Restated Bylaws of AppFolio, Inc. (as updated through May 20, 2020)</w:t>
        </w:r>
      </w:hyperlink>
    </w:p>
    <w:p>
      <w:pPr>
        <w:spacing w:after="0" w:line="63" w:lineRule="exact"/>
        <w:rPr>
          <w:sz w:val="20"/>
          <w:szCs w:val="20"/>
          <w:color w:val="auto"/>
        </w:rPr>
      </w:pPr>
    </w:p>
    <w:p>
      <w:pPr>
        <w:spacing w:after="0" w:line="235" w:lineRule="auto"/>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Certification of Chief Executive Officer pursuant to Rule 13a-14(a) or Rule 15d-14(a) promulgated under the Securities Exchange Act</w:t>
        </w:r>
      </w:hyperlink>
      <w:r>
        <w:rPr>
          <w:rFonts w:ascii="Arial" w:cs="Arial" w:eastAsia="Arial" w:hAnsi="Arial"/>
          <w:sz w:val="18"/>
          <w:szCs w:val="18"/>
          <w:u w:val="single" w:color="auto"/>
          <w:color w:val="0000FF"/>
        </w:rPr>
        <w:t xml:space="preserve"> </w:t>
      </w:r>
      <w:hyperlink w:anchor="page96">
        <w:r>
          <w:rPr>
            <w:rFonts w:ascii="Arial" w:cs="Arial" w:eastAsia="Arial" w:hAnsi="Arial"/>
            <w:sz w:val="18"/>
            <w:szCs w:val="18"/>
            <w:u w:val="single" w:color="auto"/>
            <w:color w:val="0000FF"/>
          </w:rPr>
          <w:t>of 1934, as amended.</w:t>
        </w:r>
      </w:hyperlink>
    </w:p>
    <w:p>
      <w:pPr>
        <w:spacing w:after="0" w:line="234" w:lineRule="auto"/>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Certification of Chief Financial Officer pursuant to Rule 13a-14(a) or Rule 15d-14(a) promulgated under the Securities Exchange Act</w:t>
        </w:r>
      </w:hyperlink>
      <w:r>
        <w:rPr>
          <w:rFonts w:ascii="Arial" w:cs="Arial" w:eastAsia="Arial" w:hAnsi="Arial"/>
          <w:sz w:val="18"/>
          <w:szCs w:val="18"/>
          <w:u w:val="single" w:color="auto"/>
          <w:color w:val="0000FF"/>
        </w:rPr>
        <w:t xml:space="preserve"> </w:t>
      </w:r>
      <w:hyperlink w:anchor="page97">
        <w:r>
          <w:rPr>
            <w:rFonts w:ascii="Arial" w:cs="Arial" w:eastAsia="Arial" w:hAnsi="Arial"/>
            <w:sz w:val="18"/>
            <w:szCs w:val="18"/>
            <w:u w:val="single" w:color="auto"/>
            <w:color w:val="0000FF"/>
          </w:rPr>
          <w:t>of 1934, as amended.</w:t>
        </w:r>
      </w:hyperlink>
    </w:p>
    <w:p>
      <w:pPr>
        <w:spacing w:after="0" w:line="1" w:lineRule="exact"/>
        <w:rPr>
          <w:sz w:val="20"/>
          <w:szCs w:val="20"/>
          <w:color w:val="auto"/>
        </w:rPr>
      </w:pPr>
    </w:p>
    <w:p>
      <w:pPr>
        <w:sectPr>
          <w:pgSz w:w="11900" w:h="16838" w:orient="portrait"/>
          <w:cols w:equalWidth="0" w:num="2">
            <w:col w:w="720" w:space="720"/>
            <w:col w:w="9760"/>
          </w:cols>
          <w:pgMar w:left="320" w:top="179" w:right="379" w:bottom="1440" w:gutter="0" w:footer="0" w:header="0"/>
          <w:type w:val="continuous"/>
        </w:sectPr>
      </w:pPr>
    </w:p>
    <w:tbl>
      <w:tblPr>
        <w:tblLayout w:type="fixed"/>
        <w:tblInd w:w="300" w:type="dxa"/>
        <w:tblCellMar>
          <w:top w:w="0" w:type="dxa"/>
          <w:left w:w="0" w:type="dxa"/>
          <w:bottom w:w="0" w:type="dxa"/>
          <w:right w:w="0" w:type="dxa"/>
        </w:tblCellMar>
      </w:tblPr>
      <w:tr>
        <w:trPr>
          <w:trHeight w:val="190"/>
        </w:trPr>
        <w:tc>
          <w:tcPr>
            <w:tcW w:w="1140" w:type="dxa"/>
            <w:vAlign w:val="bottom"/>
          </w:tcPr>
          <w:p>
            <w:pPr>
              <w:spacing w:after="0" w:line="170" w:lineRule="exact"/>
              <w:rPr>
                <w:sz w:val="20"/>
                <w:szCs w:val="20"/>
                <w:color w:val="auto"/>
              </w:rPr>
            </w:pPr>
            <w:r>
              <w:rPr>
                <w:rFonts w:ascii="Arial" w:cs="Arial" w:eastAsia="Arial" w:hAnsi="Arial"/>
                <w:sz w:val="18"/>
                <w:szCs w:val="18"/>
                <w:color w:val="auto"/>
              </w:rPr>
              <w:t>32.1*</w:t>
            </w:r>
          </w:p>
        </w:tc>
        <w:tc>
          <w:tcPr>
            <w:tcW w:w="9780" w:type="dxa"/>
            <w:vAlign w:val="bottom"/>
            <w:gridSpan w:val="3"/>
          </w:tcPr>
          <w:p>
            <w:pPr>
              <w:spacing w:after="0" w:line="170" w:lineRule="exact"/>
              <w:rPr>
                <w:rFonts w:ascii="Arial" w:cs="Arial" w:eastAsia="Arial" w:hAnsi="Arial"/>
                <w:sz w:val="18"/>
                <w:szCs w:val="18"/>
                <w:color w:val="0000FF"/>
                <w:w w:val="96"/>
              </w:rPr>
            </w:pPr>
            <w:hyperlink w:anchor="page98">
              <w:r>
                <w:rPr>
                  <w:rFonts w:ascii="Arial" w:cs="Arial" w:eastAsia="Arial" w:hAnsi="Arial"/>
                  <w:sz w:val="18"/>
                  <w:szCs w:val="18"/>
                  <w:color w:val="0000FF"/>
                  <w:w w:val="96"/>
                </w:rPr>
                <w:t>Certifications of Chief Executive Officer and Chief Financial Officer, pursuant to 18 U.S.C. Section 1350, as adopted pursuant to</w:t>
              </w:r>
            </w:hyperlink>
          </w:p>
        </w:tc>
      </w:tr>
      <w:tr>
        <w:trPr>
          <w:trHeight w:val="155"/>
        </w:trPr>
        <w:tc>
          <w:tcPr>
            <w:tcW w:w="1140" w:type="dxa"/>
            <w:vAlign w:val="bottom"/>
          </w:tcPr>
          <w:p>
            <w:pPr>
              <w:spacing w:after="0"/>
              <w:rPr>
                <w:sz w:val="13"/>
                <w:szCs w:val="13"/>
                <w:color w:val="auto"/>
              </w:rPr>
            </w:pPr>
          </w:p>
        </w:tc>
        <w:tc>
          <w:tcPr>
            <w:tcW w:w="97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98">
              <w:r>
                <w:rPr>
                  <w:rFonts w:ascii="Arial" w:cs="Arial" w:eastAsia="Arial" w:hAnsi="Arial"/>
                  <w:sz w:val="18"/>
                  <w:szCs w:val="18"/>
                  <w:color w:val="0000FF"/>
                </w:rPr>
                <w:t>Section 906 of the Sarbanes-Oxley Act of 2002.</w:t>
              </w:r>
            </w:hyperlink>
          </w:p>
        </w:tc>
        <w:tc>
          <w:tcPr>
            <w:tcW w:w="20" w:type="dxa"/>
            <w:vAlign w:val="bottom"/>
          </w:tcPr>
          <w:p>
            <w:pPr>
              <w:spacing w:after="0"/>
              <w:rPr>
                <w:sz w:val="13"/>
                <w:szCs w:val="13"/>
                <w:color w:val="auto"/>
              </w:rPr>
            </w:pPr>
          </w:p>
        </w:tc>
      </w:tr>
      <w:tr>
        <w:trPr>
          <w:trHeight w:val="26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6320" w:type="dxa"/>
            <w:vAlign w:val="bottom"/>
            <w:gridSpan w:val="2"/>
          </w:tcPr>
          <w:p>
            <w:pPr>
              <w:spacing w:after="0"/>
              <w:rPr>
                <w:sz w:val="22"/>
                <w:szCs w:val="22"/>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7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440" w:hanging="1144"/>
        <w:spacing w:after="0" w:line="250" w:lineRule="auto"/>
        <w:tabs>
          <w:tab w:leader="none" w:pos="1440" w:val="left"/>
        </w:tabs>
        <w:numPr>
          <w:ilvl w:val="0"/>
          <w:numId w:val="26"/>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ectPr>
          <w:pgSz w:w="11900" w:h="16838" w:orient="portrait"/>
          <w:cols w:equalWidth="0" w:num="1">
            <w:col w:w="11200"/>
          </w:cols>
          <w:pgMar w:left="320" w:top="179" w:right="37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9"/>
          <w:szCs w:val="19"/>
          <w:b w:val="1"/>
          <w:bCs w:val="1"/>
          <w:color w:val="auto"/>
        </w:rPr>
        <w:t>AMENDED AND RESTATED</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APPFOLIO, INC.</w:t>
      </w:r>
    </w:p>
    <w:p>
      <w:pPr>
        <w:sectPr>
          <w:pgSz w:w="11900" w:h="16838" w:orient="portrait"/>
          <w:cols w:equalWidth="0" w:num="1">
            <w:col w:w="9019"/>
          </w:cols>
          <w:pgMar w:left="1440" w:top="1413"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56"/>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320" w:type="dxa"/>
            <w:vAlign w:val="bottom"/>
          </w:tcPr>
          <w:p>
            <w:pPr>
              <w:ind w:left="1240"/>
              <w:spacing w:after="0"/>
              <w:rPr>
                <w:sz w:val="20"/>
                <w:szCs w:val="20"/>
                <w:color w:val="auto"/>
              </w:rPr>
            </w:pPr>
            <w:r>
              <w:rPr>
                <w:rFonts w:ascii="Arial" w:cs="Arial" w:eastAsia="Arial" w:hAnsi="Arial"/>
                <w:sz w:val="20"/>
                <w:szCs w:val="20"/>
                <w:b w:val="1"/>
                <w:bCs w:val="1"/>
                <w:color w:val="auto"/>
              </w:rPr>
              <w:t>TABLE OF CONTENTS</w:t>
            </w:r>
          </w:p>
        </w:tc>
        <w:tc>
          <w:tcPr>
            <w:tcW w:w="2600" w:type="dxa"/>
            <w:vAlign w:val="bottom"/>
          </w:tcPr>
          <w:p>
            <w:pPr>
              <w:spacing w:after="0"/>
              <w:rPr>
                <w:sz w:val="22"/>
                <w:szCs w:val="22"/>
                <w:color w:val="auto"/>
              </w:rPr>
            </w:pPr>
          </w:p>
        </w:tc>
      </w:tr>
      <w:tr>
        <w:trPr>
          <w:trHeight w:val="445"/>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600" w:type="dxa"/>
            <w:vAlign w:val="bottom"/>
          </w:tcPr>
          <w:p>
            <w:pPr>
              <w:ind w:left="2200"/>
              <w:spacing w:after="0"/>
              <w:rPr>
                <w:sz w:val="20"/>
                <w:szCs w:val="20"/>
                <w:color w:val="auto"/>
              </w:rPr>
            </w:pPr>
            <w:r>
              <w:rPr>
                <w:rFonts w:ascii="Arial" w:cs="Arial" w:eastAsia="Arial" w:hAnsi="Arial"/>
                <w:sz w:val="20"/>
                <w:szCs w:val="20"/>
                <w:b w:val="1"/>
                <w:bCs w:val="1"/>
                <w:color w:val="auto"/>
                <w:w w:val="79"/>
              </w:rPr>
              <w:t>Page</w:t>
            </w:r>
          </w:p>
        </w:tc>
      </w:tr>
      <w:tr>
        <w:trPr>
          <w:trHeight w:val="500"/>
        </w:trPr>
        <w:tc>
          <w:tcPr>
            <w:tcW w:w="862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I - CORPORATE OFFICES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w:t>
              </w:r>
            </w:hyperlink>
          </w:p>
        </w:tc>
      </w:tr>
      <w:tr>
        <w:trPr>
          <w:trHeight w:val="239"/>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1.</w:t>
              </w:r>
              <w:r>
                <w:rPr>
                  <w:rFonts w:ascii="Arial" w:cs="Arial" w:eastAsia="Arial" w:hAnsi="Arial"/>
                  <w:sz w:val="20"/>
                  <w:szCs w:val="20"/>
                  <w:u w:val="single" w:color="auto"/>
                  <w:color w:val="auto"/>
                </w:rPr>
                <w:t>1</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Registered Office</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w:t>
              </w:r>
            </w:hyperlink>
          </w:p>
        </w:tc>
      </w:tr>
      <w:tr>
        <w:trPr>
          <w:trHeight w:val="263"/>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1.</w:t>
              </w:r>
              <w:r>
                <w:rPr>
                  <w:rFonts w:ascii="Arial" w:cs="Arial" w:eastAsia="Arial" w:hAnsi="Arial"/>
                  <w:sz w:val="20"/>
                  <w:szCs w:val="20"/>
                  <w:u w:val="single" w:color="auto"/>
                  <w:color w:val="auto"/>
                </w:rPr>
                <w:t>2</w:t>
              </w:r>
            </w:hyperlink>
          </w:p>
        </w:tc>
        <w:tc>
          <w:tcPr>
            <w:tcW w:w="8320" w:type="dxa"/>
            <w:vAlign w:val="bottom"/>
            <w:gridSpan w:val="14"/>
          </w:tcPr>
          <w:p>
            <w:pPr>
              <w:spacing w:after="0"/>
              <w:rPr>
                <w:rFonts w:ascii="Arial" w:cs="Arial" w:eastAsia="Arial" w:hAnsi="Arial"/>
                <w:sz w:val="20"/>
                <w:szCs w:val="20"/>
                <w:color w:val="auto"/>
              </w:rPr>
            </w:pPr>
            <w:hyperlink w:anchor="page72">
              <w:r>
                <w:rPr>
                  <w:rFonts w:ascii="Arial" w:cs="Arial" w:eastAsia="Arial" w:hAnsi="Arial"/>
                  <w:sz w:val="20"/>
                  <w:szCs w:val="20"/>
                  <w:color w:val="auto"/>
                </w:rPr>
                <w:t>Other Offices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w:t>
              </w:r>
            </w:hyperlink>
          </w:p>
        </w:tc>
      </w:tr>
      <w:tr>
        <w:trPr>
          <w:trHeight w:val="20"/>
        </w:trPr>
        <w:tc>
          <w:tcPr>
            <w:tcW w:w="4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08"/>
        </w:trPr>
        <w:tc>
          <w:tcPr>
            <w:tcW w:w="862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II - MEETINGS OF STOCKHOLDERS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w:t>
              </w:r>
            </w:hyperlink>
          </w:p>
        </w:tc>
      </w:tr>
      <w:tr>
        <w:trPr>
          <w:trHeight w:val="239"/>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1</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Place of Meetings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2</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Annual Meeting</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3</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Special Meeting</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4</w:t>
              </w:r>
            </w:hyperlink>
          </w:p>
        </w:tc>
        <w:tc>
          <w:tcPr>
            <w:tcW w:w="2220" w:type="dxa"/>
            <w:vAlign w:val="bottom"/>
            <w:tcBorders>
              <w:bottom w:val="single" w:sz="8" w:color="auto"/>
            </w:tcBorders>
            <w:gridSpan w:val="12"/>
          </w:tcPr>
          <w:p>
            <w:pPr>
              <w:spacing w:after="0"/>
              <w:rPr>
                <w:rFonts w:ascii="Arial" w:cs="Arial" w:eastAsia="Arial" w:hAnsi="Arial"/>
                <w:sz w:val="20"/>
                <w:szCs w:val="20"/>
                <w:color w:val="auto"/>
                <w:w w:val="88"/>
              </w:rPr>
            </w:pPr>
            <w:hyperlink w:anchor="page72">
              <w:r>
                <w:rPr>
                  <w:rFonts w:ascii="Arial" w:cs="Arial" w:eastAsia="Arial" w:hAnsi="Arial"/>
                  <w:sz w:val="20"/>
                  <w:szCs w:val="20"/>
                  <w:color w:val="auto"/>
                  <w:w w:val="88"/>
                </w:rPr>
                <w:t>Advance Notice Procedures</w:t>
              </w:r>
            </w:hyperlink>
          </w:p>
        </w:tc>
        <w:tc>
          <w:tcPr>
            <w:tcW w:w="6100" w:type="dxa"/>
            <w:vAlign w:val="bottom"/>
            <w:gridSpan w:val="2"/>
          </w:tcPr>
          <w:p>
            <w:pPr>
              <w:spacing w:after="0"/>
              <w:rPr>
                <w:sz w:val="22"/>
                <w:szCs w:val="22"/>
                <w:color w:val="auto"/>
              </w:rPr>
            </w:pPr>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5</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Notice of Stockholders’ Meetings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7</w:t>
              </w:r>
            </w:hyperlink>
          </w:p>
        </w:tc>
      </w:tr>
      <w:tr>
        <w:trPr>
          <w:trHeight w:val="263"/>
        </w:trPr>
        <w:tc>
          <w:tcPr>
            <w:tcW w:w="862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6 Quorum</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7</w:t>
              </w:r>
            </w:hyperlink>
          </w:p>
        </w:tc>
      </w:tr>
      <w:tr>
        <w:trPr>
          <w:trHeight w:val="264"/>
        </w:trPr>
        <w:tc>
          <w:tcPr>
            <w:tcW w:w="300" w:type="dxa"/>
            <w:vAlign w:val="bottom"/>
            <w:tcBorders>
              <w:top w:val="single" w:sz="8" w:color="auto"/>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7</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Adjourned Meeting; Notice</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7</w:t>
              </w:r>
            </w:hyperlink>
          </w:p>
        </w:tc>
      </w:tr>
      <w:tr>
        <w:trPr>
          <w:trHeight w:val="263"/>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8</w:t>
              </w:r>
            </w:hyperlink>
          </w:p>
        </w:tc>
        <w:tc>
          <w:tcPr>
            <w:tcW w:w="8320" w:type="dxa"/>
            <w:vAlign w:val="bottom"/>
            <w:gridSpan w:val="14"/>
          </w:tcPr>
          <w:p>
            <w:pPr>
              <w:spacing w:after="0"/>
              <w:rPr>
                <w:rFonts w:ascii="Arial" w:cs="Arial" w:eastAsia="Arial" w:hAnsi="Arial"/>
                <w:sz w:val="20"/>
                <w:szCs w:val="20"/>
                <w:color w:val="auto"/>
              </w:rPr>
            </w:pPr>
            <w:hyperlink w:anchor="page72">
              <w:r>
                <w:rPr>
                  <w:rFonts w:ascii="Arial" w:cs="Arial" w:eastAsia="Arial" w:hAnsi="Arial"/>
                  <w:sz w:val="20"/>
                  <w:szCs w:val="20"/>
                  <w:color w:val="auto"/>
                </w:rPr>
                <w:t>Conduct Of Business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8</w:t>
              </w:r>
            </w:hyperlink>
          </w:p>
        </w:tc>
      </w:tr>
      <w:tr>
        <w:trPr>
          <w:trHeight w:val="263"/>
        </w:trPr>
        <w:tc>
          <w:tcPr>
            <w:tcW w:w="300" w:type="dxa"/>
            <w:vAlign w:val="bottom"/>
            <w:tcBorders>
              <w:top w:val="single" w:sz="8" w:color="auto"/>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9</w:t>
              </w:r>
            </w:hyperlink>
          </w:p>
        </w:tc>
        <w:tc>
          <w:tcPr>
            <w:tcW w:w="1680" w:type="dxa"/>
            <w:vAlign w:val="bottom"/>
            <w:tcBorders>
              <w:top w:val="single" w:sz="8" w:color="auto"/>
            </w:tcBorders>
            <w:gridSpan w:val="9"/>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Voting</w:t>
              </w:r>
            </w:hyperlink>
          </w:p>
        </w:tc>
        <w:tc>
          <w:tcPr>
            <w:tcW w:w="6640" w:type="dxa"/>
            <w:vAlign w:val="bottom"/>
            <w:gridSpan w:val="5"/>
          </w:tcPr>
          <w:p>
            <w:pPr>
              <w:spacing w:after="0"/>
              <w:rPr>
                <w:sz w:val="22"/>
                <w:szCs w:val="22"/>
                <w:color w:val="auto"/>
              </w:rPr>
            </w:pPr>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8</w:t>
              </w:r>
            </w:hyperlink>
          </w:p>
        </w:tc>
      </w:tr>
      <w:tr>
        <w:trPr>
          <w:trHeight w:val="263"/>
        </w:trPr>
        <w:tc>
          <w:tcPr>
            <w:tcW w:w="862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10 Stockholder Action by Written Consent Without a Meeting</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8</w:t>
              </w:r>
            </w:hyperlink>
          </w:p>
        </w:tc>
      </w:tr>
      <w:tr>
        <w:trPr>
          <w:trHeight w:val="20"/>
        </w:trPr>
        <w:tc>
          <w:tcPr>
            <w:tcW w:w="4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63"/>
        </w:trPr>
        <w:tc>
          <w:tcPr>
            <w:tcW w:w="862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11</w:t>
              </w:r>
              <w:r>
                <w:rPr>
                  <w:rFonts w:ascii="Arial" w:cs="Arial" w:eastAsia="Arial" w:hAnsi="Arial"/>
                  <w:sz w:val="20"/>
                  <w:szCs w:val="20"/>
                  <w:color w:val="auto"/>
                </w:rPr>
                <w:t xml:space="preserve"> Record Dates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8</w:t>
              </w:r>
            </w:hyperlink>
          </w:p>
        </w:tc>
      </w:tr>
      <w:tr>
        <w:trPr>
          <w:trHeight w:val="264"/>
        </w:trPr>
        <w:tc>
          <w:tcPr>
            <w:tcW w:w="1000" w:type="dxa"/>
            <w:vAlign w:val="bottom"/>
            <w:tcBorders>
              <w:top w:val="single" w:sz="8" w:color="auto"/>
              <w:bottom w:val="single" w:sz="8" w:color="auto"/>
            </w:tcBorders>
            <w:gridSpan w:val="4"/>
          </w:tcPr>
          <w:p>
            <w:pPr>
              <w:spacing w:after="0"/>
              <w:rPr>
                <w:rFonts w:ascii="Arial" w:cs="Arial" w:eastAsia="Arial" w:hAnsi="Arial"/>
                <w:sz w:val="20"/>
                <w:szCs w:val="20"/>
                <w:color w:val="auto"/>
                <w:w w:val="88"/>
              </w:rPr>
            </w:pPr>
            <w:hyperlink w:anchor="page72">
              <w:r>
                <w:rPr>
                  <w:rFonts w:ascii="Arial" w:cs="Arial" w:eastAsia="Arial" w:hAnsi="Arial"/>
                  <w:sz w:val="20"/>
                  <w:szCs w:val="20"/>
                  <w:color w:val="auto"/>
                  <w:w w:val="88"/>
                </w:rPr>
                <w:t>2.</w:t>
              </w:r>
              <w:r>
                <w:rPr>
                  <w:rFonts w:ascii="Arial" w:cs="Arial" w:eastAsia="Arial" w:hAnsi="Arial"/>
                  <w:sz w:val="20"/>
                  <w:szCs w:val="20"/>
                  <w:u w:val="single" w:color="auto"/>
                  <w:color w:val="auto"/>
                  <w:w w:val="88"/>
                </w:rPr>
                <w:t>12</w:t>
              </w:r>
              <w:r>
                <w:rPr>
                  <w:rFonts w:ascii="Arial" w:cs="Arial" w:eastAsia="Arial" w:hAnsi="Arial"/>
                  <w:sz w:val="20"/>
                  <w:szCs w:val="20"/>
                  <w:color w:val="auto"/>
                  <w:w w:val="88"/>
                </w:rPr>
                <w:t xml:space="preserve"> Proxies</w:t>
              </w:r>
            </w:hyperlink>
          </w:p>
        </w:tc>
        <w:tc>
          <w:tcPr>
            <w:tcW w:w="460" w:type="dxa"/>
            <w:vAlign w:val="bottom"/>
            <w:tcBorders>
              <w:top w:val="single" w:sz="8" w:color="auto"/>
            </w:tcBorders>
            <w:gridSpan w:val="2"/>
          </w:tcPr>
          <w:p>
            <w:pPr>
              <w:spacing w:after="0"/>
              <w:rPr>
                <w:sz w:val="22"/>
                <w:szCs w:val="22"/>
                <w:color w:val="auto"/>
              </w:rPr>
            </w:pPr>
          </w:p>
        </w:tc>
        <w:tc>
          <w:tcPr>
            <w:tcW w:w="7160" w:type="dxa"/>
            <w:vAlign w:val="bottom"/>
            <w:gridSpan w:val="9"/>
          </w:tcPr>
          <w:p>
            <w:pPr>
              <w:spacing w:after="0"/>
              <w:rPr>
                <w:sz w:val="22"/>
                <w:szCs w:val="22"/>
                <w:color w:val="auto"/>
              </w:rPr>
            </w:pPr>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9</w:t>
              </w:r>
            </w:hyperlink>
          </w:p>
        </w:tc>
      </w:tr>
      <w:tr>
        <w:trPr>
          <w:trHeight w:val="263"/>
        </w:trPr>
        <w:tc>
          <w:tcPr>
            <w:tcW w:w="3300" w:type="dxa"/>
            <w:vAlign w:val="bottom"/>
            <w:tcBorders>
              <w:bottom w:val="single" w:sz="8" w:color="auto"/>
            </w:tcBorders>
            <w:gridSpan w:val="14"/>
          </w:tcPr>
          <w:p>
            <w:pPr>
              <w:spacing w:after="0"/>
              <w:rPr>
                <w:rFonts w:ascii="Arial" w:cs="Arial" w:eastAsia="Arial" w:hAnsi="Arial"/>
                <w:sz w:val="20"/>
                <w:szCs w:val="20"/>
                <w:color w:val="auto"/>
                <w:w w:val="91"/>
              </w:rPr>
            </w:pPr>
            <w:hyperlink w:anchor="page72">
              <w:r>
                <w:rPr>
                  <w:rFonts w:ascii="Arial" w:cs="Arial" w:eastAsia="Arial" w:hAnsi="Arial"/>
                  <w:sz w:val="20"/>
                  <w:szCs w:val="20"/>
                  <w:color w:val="auto"/>
                  <w:w w:val="91"/>
                </w:rPr>
                <w:t>2.</w:t>
              </w:r>
              <w:r>
                <w:rPr>
                  <w:rFonts w:ascii="Arial" w:cs="Arial" w:eastAsia="Arial" w:hAnsi="Arial"/>
                  <w:sz w:val="20"/>
                  <w:szCs w:val="20"/>
                  <w:u w:val="single" w:color="auto"/>
                  <w:color w:val="auto"/>
                  <w:w w:val="91"/>
                </w:rPr>
                <w:t>13</w:t>
              </w:r>
              <w:r>
                <w:rPr>
                  <w:rFonts w:ascii="Arial" w:cs="Arial" w:eastAsia="Arial" w:hAnsi="Arial"/>
                  <w:sz w:val="20"/>
                  <w:szCs w:val="20"/>
                  <w:color w:val="auto"/>
                  <w:w w:val="91"/>
                </w:rPr>
                <w:t xml:space="preserve"> List of Stockholders Entitled to Vote</w:t>
              </w:r>
            </w:hyperlink>
          </w:p>
        </w:tc>
        <w:tc>
          <w:tcPr>
            <w:tcW w:w="5320" w:type="dxa"/>
            <w:vAlign w:val="bottom"/>
          </w:tcPr>
          <w:p>
            <w:pPr>
              <w:spacing w:after="0"/>
              <w:rPr>
                <w:sz w:val="22"/>
                <w:szCs w:val="22"/>
                <w:color w:val="auto"/>
              </w:rPr>
            </w:pPr>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9</w:t>
              </w:r>
            </w:hyperlink>
          </w:p>
        </w:tc>
      </w:tr>
      <w:tr>
        <w:trPr>
          <w:trHeight w:val="264"/>
        </w:trPr>
        <w:tc>
          <w:tcPr>
            <w:tcW w:w="862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2.</w:t>
              </w:r>
              <w:r>
                <w:rPr>
                  <w:rFonts w:ascii="Arial" w:cs="Arial" w:eastAsia="Arial" w:hAnsi="Arial"/>
                  <w:sz w:val="20"/>
                  <w:szCs w:val="20"/>
                  <w:u w:val="single" w:color="auto"/>
                  <w:color w:val="auto"/>
                </w:rPr>
                <w:t>14 Inspectors of Election</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10</w:t>
              </w:r>
            </w:hyperlink>
          </w:p>
        </w:tc>
      </w:tr>
      <w:tr>
        <w:trPr>
          <w:trHeight w:val="20"/>
        </w:trPr>
        <w:tc>
          <w:tcPr>
            <w:tcW w:w="4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08"/>
        </w:trPr>
        <w:tc>
          <w:tcPr>
            <w:tcW w:w="862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III - DIRECTORS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10</w:t>
              </w:r>
            </w:hyperlink>
          </w:p>
        </w:tc>
      </w:tr>
      <w:tr>
        <w:trPr>
          <w:trHeight w:val="239"/>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1</w:t>
              </w:r>
            </w:hyperlink>
          </w:p>
        </w:tc>
        <w:tc>
          <w:tcPr>
            <w:tcW w:w="8320" w:type="dxa"/>
            <w:vAlign w:val="bottom"/>
            <w:gridSpan w:val="14"/>
          </w:tcPr>
          <w:p>
            <w:pPr>
              <w:spacing w:after="0"/>
              <w:rPr>
                <w:rFonts w:ascii="Arial" w:cs="Arial" w:eastAsia="Arial" w:hAnsi="Arial"/>
                <w:sz w:val="20"/>
                <w:szCs w:val="20"/>
                <w:color w:val="auto"/>
              </w:rPr>
            </w:pPr>
            <w:hyperlink w:anchor="page72">
              <w:r>
                <w:rPr>
                  <w:rFonts w:ascii="Arial" w:cs="Arial" w:eastAsia="Arial" w:hAnsi="Arial"/>
                  <w:sz w:val="20"/>
                  <w:szCs w:val="20"/>
                  <w:color w:val="auto"/>
                </w:rPr>
                <w:t>Powers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10</w:t>
              </w:r>
            </w:hyperlink>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2</w:t>
              </w:r>
            </w:hyperlink>
          </w:p>
        </w:tc>
        <w:tc>
          <w:tcPr>
            <w:tcW w:w="1660" w:type="dxa"/>
            <w:vAlign w:val="bottom"/>
            <w:tcBorders>
              <w:bottom w:val="single" w:sz="8" w:color="auto"/>
            </w:tcBorders>
            <w:gridSpan w:val="8"/>
          </w:tcPr>
          <w:p>
            <w:pPr>
              <w:spacing w:after="0"/>
              <w:rPr>
                <w:rFonts w:ascii="Arial" w:cs="Arial" w:eastAsia="Arial" w:hAnsi="Arial"/>
                <w:sz w:val="20"/>
                <w:szCs w:val="20"/>
                <w:color w:val="auto"/>
                <w:w w:val="91"/>
              </w:rPr>
            </w:pPr>
            <w:hyperlink w:anchor="page72">
              <w:r>
                <w:rPr>
                  <w:rFonts w:ascii="Arial" w:cs="Arial" w:eastAsia="Arial" w:hAnsi="Arial"/>
                  <w:sz w:val="20"/>
                  <w:szCs w:val="20"/>
                  <w:color w:val="auto"/>
                  <w:w w:val="91"/>
                </w:rPr>
                <w:t>Number of Directors</w:t>
              </w:r>
            </w:hyperlink>
          </w:p>
        </w:tc>
        <w:tc>
          <w:tcPr>
            <w:tcW w:w="6660" w:type="dxa"/>
            <w:vAlign w:val="bottom"/>
            <w:gridSpan w:val="6"/>
          </w:tcPr>
          <w:p>
            <w:pPr>
              <w:spacing w:after="0"/>
              <w:rPr>
                <w:sz w:val="22"/>
                <w:szCs w:val="22"/>
                <w:color w:val="auto"/>
              </w:rPr>
            </w:pPr>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10</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3</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Election, Qualification and Term of Office of Directors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11</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4</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Resignation and Vacancies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11</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5</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Place of Meetings; Meetings by Telephone</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11</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6</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Regular Meetings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12</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7</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Special Meetings; Notice</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12</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8</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Quorum; Voting</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12</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9</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Board Action by Written Consent Without a Meeting</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12</w:t>
              </w:r>
            </w:hyperlink>
          </w:p>
        </w:tc>
      </w:tr>
      <w:tr>
        <w:trPr>
          <w:trHeight w:val="264"/>
        </w:trPr>
        <w:tc>
          <w:tcPr>
            <w:tcW w:w="862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10 Fees and Compensation of Directors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13</w:t>
              </w:r>
            </w:hyperlink>
          </w:p>
        </w:tc>
      </w:tr>
      <w:tr>
        <w:trPr>
          <w:trHeight w:val="20"/>
        </w:trPr>
        <w:tc>
          <w:tcPr>
            <w:tcW w:w="4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63"/>
        </w:trPr>
        <w:tc>
          <w:tcPr>
            <w:tcW w:w="862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3.</w:t>
              </w:r>
              <w:r>
                <w:rPr>
                  <w:rFonts w:ascii="Arial" w:cs="Arial" w:eastAsia="Arial" w:hAnsi="Arial"/>
                  <w:sz w:val="20"/>
                  <w:szCs w:val="20"/>
                  <w:u w:val="single" w:color="auto"/>
                  <w:color w:val="auto"/>
                </w:rPr>
                <w:t>11</w:t>
              </w:r>
              <w:r>
                <w:rPr>
                  <w:rFonts w:ascii="Arial" w:cs="Arial" w:eastAsia="Arial" w:hAnsi="Arial"/>
                  <w:sz w:val="20"/>
                  <w:szCs w:val="20"/>
                  <w:color w:val="auto"/>
                </w:rPr>
                <w:t xml:space="preserve"> Removal of Directors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13</w:t>
              </w:r>
            </w:hyperlink>
          </w:p>
        </w:tc>
      </w:tr>
      <w:tr>
        <w:trPr>
          <w:trHeight w:val="20"/>
        </w:trPr>
        <w:tc>
          <w:tcPr>
            <w:tcW w:w="88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08"/>
        </w:trPr>
        <w:tc>
          <w:tcPr>
            <w:tcW w:w="862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IV - COMMITTEES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13</w:t>
              </w:r>
            </w:hyperlink>
          </w:p>
        </w:tc>
      </w:tr>
      <w:tr>
        <w:trPr>
          <w:trHeight w:val="239"/>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4.</w:t>
              </w:r>
              <w:r>
                <w:rPr>
                  <w:rFonts w:ascii="Arial" w:cs="Arial" w:eastAsia="Arial" w:hAnsi="Arial"/>
                  <w:sz w:val="20"/>
                  <w:szCs w:val="20"/>
                  <w:u w:val="single" w:color="auto"/>
                  <w:color w:val="auto"/>
                </w:rPr>
                <w:t>1</w:t>
              </w:r>
            </w:hyperlink>
          </w:p>
        </w:tc>
        <w:tc>
          <w:tcPr>
            <w:tcW w:w="1960" w:type="dxa"/>
            <w:vAlign w:val="bottom"/>
            <w:tcBorders>
              <w:bottom w:val="single" w:sz="8" w:color="auto"/>
            </w:tcBorders>
            <w:gridSpan w:val="11"/>
          </w:tcPr>
          <w:p>
            <w:pPr>
              <w:spacing w:after="0"/>
              <w:rPr>
                <w:rFonts w:ascii="Arial" w:cs="Arial" w:eastAsia="Arial" w:hAnsi="Arial"/>
                <w:sz w:val="20"/>
                <w:szCs w:val="20"/>
                <w:color w:val="auto"/>
                <w:w w:val="90"/>
              </w:rPr>
            </w:pPr>
            <w:hyperlink w:anchor="page72">
              <w:r>
                <w:rPr>
                  <w:rFonts w:ascii="Arial" w:cs="Arial" w:eastAsia="Arial" w:hAnsi="Arial"/>
                  <w:sz w:val="20"/>
                  <w:szCs w:val="20"/>
                  <w:color w:val="auto"/>
                  <w:w w:val="90"/>
                </w:rPr>
                <w:t>Committees of Directors</w:t>
              </w:r>
            </w:hyperlink>
          </w:p>
        </w:tc>
        <w:tc>
          <w:tcPr>
            <w:tcW w:w="6360" w:type="dxa"/>
            <w:vAlign w:val="bottom"/>
            <w:gridSpan w:val="3"/>
          </w:tcPr>
          <w:p>
            <w:pPr>
              <w:spacing w:after="0"/>
              <w:rPr>
                <w:sz w:val="20"/>
                <w:szCs w:val="20"/>
                <w:color w:val="auto"/>
              </w:rPr>
            </w:pPr>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13</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4.</w:t>
              </w:r>
              <w:r>
                <w:rPr>
                  <w:rFonts w:ascii="Arial" w:cs="Arial" w:eastAsia="Arial" w:hAnsi="Arial"/>
                  <w:sz w:val="20"/>
                  <w:szCs w:val="20"/>
                  <w:u w:val="single" w:color="auto"/>
                  <w:color w:val="auto"/>
                </w:rPr>
                <w:t>2</w:t>
              </w:r>
            </w:hyperlink>
          </w:p>
        </w:tc>
        <w:tc>
          <w:tcPr>
            <w:tcW w:w="1580" w:type="dxa"/>
            <w:vAlign w:val="bottom"/>
            <w:tcBorders>
              <w:bottom w:val="single" w:sz="8" w:color="auto"/>
            </w:tcBorders>
            <w:gridSpan w:val="7"/>
          </w:tcPr>
          <w:p>
            <w:pPr>
              <w:spacing w:after="0"/>
              <w:rPr>
                <w:rFonts w:ascii="Arial" w:cs="Arial" w:eastAsia="Arial" w:hAnsi="Arial"/>
                <w:sz w:val="20"/>
                <w:szCs w:val="20"/>
                <w:color w:val="auto"/>
                <w:w w:val="90"/>
              </w:rPr>
            </w:pPr>
            <w:hyperlink w:anchor="page72">
              <w:r>
                <w:rPr>
                  <w:rFonts w:ascii="Arial" w:cs="Arial" w:eastAsia="Arial" w:hAnsi="Arial"/>
                  <w:sz w:val="20"/>
                  <w:szCs w:val="20"/>
                  <w:color w:val="auto"/>
                  <w:w w:val="90"/>
                </w:rPr>
                <w:t>Committee Minutes</w:t>
              </w:r>
            </w:hyperlink>
          </w:p>
        </w:tc>
        <w:tc>
          <w:tcPr>
            <w:tcW w:w="6740" w:type="dxa"/>
            <w:vAlign w:val="bottom"/>
            <w:gridSpan w:val="7"/>
          </w:tcPr>
          <w:p>
            <w:pPr>
              <w:spacing w:after="0"/>
              <w:rPr>
                <w:sz w:val="22"/>
                <w:szCs w:val="22"/>
                <w:color w:val="auto"/>
              </w:rPr>
            </w:pPr>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13</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4.</w:t>
              </w:r>
              <w:r>
                <w:rPr>
                  <w:rFonts w:ascii="Arial" w:cs="Arial" w:eastAsia="Arial" w:hAnsi="Arial"/>
                  <w:sz w:val="20"/>
                  <w:szCs w:val="20"/>
                  <w:u w:val="single" w:color="auto"/>
                  <w:color w:val="auto"/>
                </w:rPr>
                <w:t>3</w:t>
              </w:r>
            </w:hyperlink>
          </w:p>
        </w:tc>
        <w:tc>
          <w:tcPr>
            <w:tcW w:w="8320" w:type="dxa"/>
            <w:vAlign w:val="bottom"/>
            <w:gridSpan w:val="14"/>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Meetings and Action of Committees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13</w:t>
              </w:r>
            </w:hyperlink>
          </w:p>
        </w:tc>
      </w:tr>
      <w:tr>
        <w:trPr>
          <w:trHeight w:val="263"/>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4.</w:t>
              </w:r>
              <w:r>
                <w:rPr>
                  <w:rFonts w:ascii="Arial" w:cs="Arial" w:eastAsia="Arial" w:hAnsi="Arial"/>
                  <w:sz w:val="20"/>
                  <w:szCs w:val="20"/>
                  <w:u w:val="single" w:color="auto"/>
                  <w:color w:val="auto"/>
                </w:rPr>
                <w:t>4</w:t>
              </w:r>
            </w:hyperlink>
          </w:p>
        </w:tc>
        <w:tc>
          <w:tcPr>
            <w:tcW w:w="8320" w:type="dxa"/>
            <w:vAlign w:val="bottom"/>
            <w:gridSpan w:val="14"/>
          </w:tcPr>
          <w:p>
            <w:pPr>
              <w:spacing w:after="0"/>
              <w:rPr>
                <w:rFonts w:ascii="Arial" w:cs="Arial" w:eastAsia="Arial" w:hAnsi="Arial"/>
                <w:sz w:val="20"/>
                <w:szCs w:val="20"/>
                <w:color w:val="auto"/>
              </w:rPr>
            </w:pPr>
            <w:hyperlink w:anchor="page72">
              <w:r>
                <w:rPr>
                  <w:rFonts w:ascii="Arial" w:cs="Arial" w:eastAsia="Arial" w:hAnsi="Arial"/>
                  <w:sz w:val="20"/>
                  <w:szCs w:val="20"/>
                  <w:color w:val="auto"/>
                </w:rPr>
                <w:t>Subcommittees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14</w:t>
              </w:r>
            </w:hyperlink>
          </w:p>
        </w:tc>
      </w:tr>
      <w:tr>
        <w:trPr>
          <w:trHeight w:val="20"/>
        </w:trPr>
        <w:tc>
          <w:tcPr>
            <w:tcW w:w="88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gridSpan w:val="4"/>
            <w:shd w:val="clear" w:color="auto" w:fill="000000"/>
          </w:tcPr>
          <w:p>
            <w:pPr>
              <w:spacing w:after="0" w:line="20" w:lineRule="exact"/>
              <w:rPr>
                <w:sz w:val="1"/>
                <w:szCs w:val="1"/>
                <w:color w:val="auto"/>
              </w:rPr>
            </w:pPr>
          </w:p>
        </w:tc>
        <w:tc>
          <w:tcPr>
            <w:tcW w:w="7100" w:type="dxa"/>
            <w:vAlign w:val="bottom"/>
            <w:gridSpan w:val="8"/>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08"/>
        </w:trPr>
        <w:tc>
          <w:tcPr>
            <w:tcW w:w="862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V - OFFICERS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14</w:t>
              </w:r>
            </w:hyperlink>
          </w:p>
        </w:tc>
      </w:tr>
      <w:tr>
        <w:trPr>
          <w:trHeight w:val="239"/>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5.</w:t>
              </w:r>
              <w:r>
                <w:rPr>
                  <w:rFonts w:ascii="Arial" w:cs="Arial" w:eastAsia="Arial" w:hAnsi="Arial"/>
                  <w:sz w:val="20"/>
                  <w:szCs w:val="20"/>
                  <w:u w:val="single" w:color="auto"/>
                  <w:color w:val="auto"/>
                </w:rPr>
                <w:t>1</w:t>
              </w:r>
            </w:hyperlink>
          </w:p>
        </w:tc>
        <w:tc>
          <w:tcPr>
            <w:tcW w:w="8320" w:type="dxa"/>
            <w:vAlign w:val="bottom"/>
            <w:gridSpan w:val="14"/>
          </w:tcPr>
          <w:p>
            <w:pPr>
              <w:spacing w:after="0"/>
              <w:rPr>
                <w:rFonts w:ascii="Arial" w:cs="Arial" w:eastAsia="Arial" w:hAnsi="Arial"/>
                <w:sz w:val="20"/>
                <w:szCs w:val="20"/>
                <w:color w:val="auto"/>
              </w:rPr>
            </w:pPr>
            <w:hyperlink w:anchor="page72">
              <w:r>
                <w:rPr>
                  <w:rFonts w:ascii="Arial" w:cs="Arial" w:eastAsia="Arial" w:hAnsi="Arial"/>
                  <w:sz w:val="20"/>
                  <w:szCs w:val="20"/>
                  <w:color w:val="auto"/>
                </w:rPr>
                <w:t>Officers</w:t>
              </w:r>
            </w:hyperlink>
          </w:p>
        </w:tc>
        <w:tc>
          <w:tcPr>
            <w:tcW w:w="2600" w:type="dxa"/>
            <w:vAlign w:val="bottom"/>
          </w:tcPr>
          <w:p>
            <w:pPr>
              <w:ind w:left="1980"/>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14</w:t>
              </w:r>
            </w:hyperlink>
          </w:p>
        </w:tc>
      </w:tr>
      <w:tr>
        <w:trPr>
          <w:trHeight w:val="20"/>
        </w:trPr>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40" w:top="1413" w:right="339" w:bottom="1440" w:gutter="0" w:footer="0" w:header="0"/>
          <w:type w:val="continuous"/>
        </w:sectPr>
      </w:pPr>
    </w:p>
    <w:bookmarkStart w:id="70" w:name="page71"/>
    <w:bookmarkEnd w:id="7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5.</w:t>
              </w:r>
              <w:r>
                <w:rPr>
                  <w:rFonts w:ascii="Arial" w:cs="Arial" w:eastAsia="Arial" w:hAnsi="Arial"/>
                  <w:sz w:val="20"/>
                  <w:szCs w:val="20"/>
                  <w:u w:val="single" w:color="auto"/>
                  <w:color w:val="auto"/>
                </w:rPr>
                <w:t>2</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Appointment of Officers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14</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5.</w:t>
              </w:r>
              <w:r>
                <w:rPr>
                  <w:rFonts w:ascii="Arial" w:cs="Arial" w:eastAsia="Arial" w:hAnsi="Arial"/>
                  <w:sz w:val="20"/>
                  <w:szCs w:val="20"/>
                  <w:u w:val="single" w:color="auto"/>
                  <w:color w:val="auto"/>
                </w:rPr>
                <w:t>3</w:t>
              </w:r>
            </w:hyperlink>
          </w:p>
        </w:tc>
        <w:tc>
          <w:tcPr>
            <w:tcW w:w="1660" w:type="dxa"/>
            <w:vAlign w:val="bottom"/>
            <w:tcBorders>
              <w:bottom w:val="single" w:sz="8" w:color="auto"/>
            </w:tcBorders>
            <w:gridSpan w:val="11"/>
          </w:tcPr>
          <w:p>
            <w:pPr>
              <w:spacing w:after="0"/>
              <w:rPr>
                <w:rFonts w:ascii="Arial" w:cs="Arial" w:eastAsia="Arial" w:hAnsi="Arial"/>
                <w:sz w:val="20"/>
                <w:szCs w:val="20"/>
                <w:color w:val="auto"/>
                <w:w w:val="89"/>
              </w:rPr>
            </w:pPr>
            <w:hyperlink w:anchor="page72">
              <w:r>
                <w:rPr>
                  <w:rFonts w:ascii="Arial" w:cs="Arial" w:eastAsia="Arial" w:hAnsi="Arial"/>
                  <w:sz w:val="20"/>
                  <w:szCs w:val="20"/>
                  <w:color w:val="auto"/>
                  <w:w w:val="89"/>
                </w:rPr>
                <w:t>Subordinate Officers</w:t>
              </w:r>
            </w:hyperlink>
          </w:p>
        </w:tc>
        <w:tc>
          <w:tcPr>
            <w:tcW w:w="7040" w:type="dxa"/>
            <w:vAlign w:val="bottom"/>
            <w:gridSpan w:val="4"/>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14</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5.</w:t>
              </w:r>
              <w:r>
                <w:rPr>
                  <w:rFonts w:ascii="Arial" w:cs="Arial" w:eastAsia="Arial" w:hAnsi="Arial"/>
                  <w:sz w:val="20"/>
                  <w:szCs w:val="20"/>
                  <w:u w:val="single" w:color="auto"/>
                  <w:color w:val="auto"/>
                </w:rPr>
                <w:t>4</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Removal and Resignation of Officers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15</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5.</w:t>
              </w:r>
              <w:r>
                <w:rPr>
                  <w:rFonts w:ascii="Arial" w:cs="Arial" w:eastAsia="Arial" w:hAnsi="Arial"/>
                  <w:sz w:val="20"/>
                  <w:szCs w:val="20"/>
                  <w:u w:val="single" w:color="auto"/>
                  <w:color w:val="auto"/>
                </w:rPr>
                <w:t>5</w:t>
              </w:r>
            </w:hyperlink>
          </w:p>
        </w:tc>
        <w:tc>
          <w:tcPr>
            <w:tcW w:w="1640" w:type="dxa"/>
            <w:vAlign w:val="bottom"/>
            <w:tcBorders>
              <w:bottom w:val="single" w:sz="8" w:color="auto"/>
            </w:tcBorders>
            <w:gridSpan w:val="10"/>
          </w:tcPr>
          <w:p>
            <w:pPr>
              <w:spacing w:after="0"/>
              <w:rPr>
                <w:rFonts w:ascii="Arial" w:cs="Arial" w:eastAsia="Arial" w:hAnsi="Arial"/>
                <w:sz w:val="20"/>
                <w:szCs w:val="20"/>
                <w:color w:val="auto"/>
                <w:w w:val="89"/>
              </w:rPr>
            </w:pPr>
            <w:hyperlink w:anchor="page72">
              <w:r>
                <w:rPr>
                  <w:rFonts w:ascii="Arial" w:cs="Arial" w:eastAsia="Arial" w:hAnsi="Arial"/>
                  <w:sz w:val="20"/>
                  <w:szCs w:val="20"/>
                  <w:color w:val="auto"/>
                  <w:w w:val="89"/>
                </w:rPr>
                <w:t>Vacancies in Offices</w:t>
              </w:r>
            </w:hyperlink>
          </w:p>
        </w:tc>
        <w:tc>
          <w:tcPr>
            <w:tcW w:w="7060" w:type="dxa"/>
            <w:vAlign w:val="bottom"/>
            <w:gridSpan w:val="5"/>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15</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5.</w:t>
              </w:r>
              <w:r>
                <w:rPr>
                  <w:rFonts w:ascii="Arial" w:cs="Arial" w:eastAsia="Arial" w:hAnsi="Arial"/>
                  <w:sz w:val="20"/>
                  <w:szCs w:val="20"/>
                  <w:u w:val="single" w:color="auto"/>
                  <w:color w:val="auto"/>
                </w:rPr>
                <w:t>6</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Representation of Shares of Other Corporations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15</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5.</w:t>
              </w:r>
              <w:r>
                <w:rPr>
                  <w:rFonts w:ascii="Arial" w:cs="Arial" w:eastAsia="Arial" w:hAnsi="Arial"/>
                  <w:sz w:val="20"/>
                  <w:szCs w:val="20"/>
                  <w:u w:val="single" w:color="auto"/>
                  <w:color w:val="auto"/>
                </w:rPr>
                <w:t>7</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Authority and Duties of Officers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15</w:t>
              </w:r>
            </w:hyperlink>
          </w:p>
        </w:tc>
      </w:tr>
      <w:tr>
        <w:trPr>
          <w:trHeight w:val="308"/>
        </w:trPr>
        <w:tc>
          <w:tcPr>
            <w:tcW w:w="9000" w:type="dxa"/>
            <w:vAlign w:val="bottom"/>
            <w:gridSpan w:val="16"/>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VI - STOCK</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15</w:t>
              </w:r>
            </w:hyperlink>
          </w:p>
        </w:tc>
      </w:tr>
      <w:tr>
        <w:trPr>
          <w:trHeight w:val="239"/>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6.</w:t>
              </w:r>
              <w:r>
                <w:rPr>
                  <w:rFonts w:ascii="Arial" w:cs="Arial" w:eastAsia="Arial" w:hAnsi="Arial"/>
                  <w:sz w:val="20"/>
                  <w:szCs w:val="20"/>
                  <w:u w:val="single" w:color="auto"/>
                  <w:color w:val="auto"/>
                </w:rPr>
                <w:t>1</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Stock Certificates; Partly Paid Shares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15</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6.</w:t>
              </w:r>
              <w:r>
                <w:rPr>
                  <w:rFonts w:ascii="Arial" w:cs="Arial" w:eastAsia="Arial" w:hAnsi="Arial"/>
                  <w:sz w:val="20"/>
                  <w:szCs w:val="20"/>
                  <w:u w:val="single" w:color="auto"/>
                  <w:color w:val="auto"/>
                </w:rPr>
                <w:t>2</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Special Designation on Certificates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16</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6.</w:t>
              </w:r>
              <w:r>
                <w:rPr>
                  <w:rFonts w:ascii="Arial" w:cs="Arial" w:eastAsia="Arial" w:hAnsi="Arial"/>
                  <w:sz w:val="20"/>
                  <w:szCs w:val="20"/>
                  <w:u w:val="single" w:color="auto"/>
                  <w:color w:val="auto"/>
                </w:rPr>
                <w:t>3</w:t>
              </w:r>
            </w:hyperlink>
          </w:p>
        </w:tc>
        <w:tc>
          <w:tcPr>
            <w:tcW w:w="1320" w:type="dxa"/>
            <w:vAlign w:val="bottom"/>
            <w:tcBorders>
              <w:bottom w:val="single" w:sz="8" w:color="auto"/>
            </w:tcBorders>
            <w:gridSpan w:val="6"/>
          </w:tcPr>
          <w:p>
            <w:pPr>
              <w:spacing w:after="0"/>
              <w:rPr>
                <w:rFonts w:ascii="Arial" w:cs="Arial" w:eastAsia="Arial" w:hAnsi="Arial"/>
                <w:sz w:val="20"/>
                <w:szCs w:val="20"/>
                <w:color w:val="auto"/>
                <w:w w:val="90"/>
              </w:rPr>
            </w:pPr>
            <w:hyperlink w:anchor="page72">
              <w:r>
                <w:rPr>
                  <w:rFonts w:ascii="Arial" w:cs="Arial" w:eastAsia="Arial" w:hAnsi="Arial"/>
                  <w:sz w:val="20"/>
                  <w:szCs w:val="20"/>
                  <w:color w:val="auto"/>
                  <w:w w:val="90"/>
                </w:rPr>
                <w:t>Lost Certificates</w:t>
              </w:r>
            </w:hyperlink>
          </w:p>
        </w:tc>
        <w:tc>
          <w:tcPr>
            <w:tcW w:w="7380" w:type="dxa"/>
            <w:vAlign w:val="bottom"/>
            <w:gridSpan w:val="9"/>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16</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6.</w:t>
              </w:r>
              <w:r>
                <w:rPr>
                  <w:rFonts w:ascii="Arial" w:cs="Arial" w:eastAsia="Arial" w:hAnsi="Arial"/>
                  <w:sz w:val="20"/>
                  <w:szCs w:val="20"/>
                  <w:u w:val="single" w:color="auto"/>
                  <w:color w:val="auto"/>
                </w:rPr>
                <w:t>4</w:t>
              </w:r>
            </w:hyperlink>
          </w:p>
        </w:tc>
        <w:tc>
          <w:tcPr>
            <w:tcW w:w="820" w:type="dxa"/>
            <w:vAlign w:val="bottom"/>
            <w:tcBorders>
              <w:bottom w:val="single" w:sz="8" w:color="auto"/>
            </w:tcBorders>
            <w:gridSpan w:val="4"/>
          </w:tcPr>
          <w:p>
            <w:pPr>
              <w:spacing w:after="0"/>
              <w:rPr>
                <w:rFonts w:ascii="Arial" w:cs="Arial" w:eastAsia="Arial" w:hAnsi="Arial"/>
                <w:sz w:val="20"/>
                <w:szCs w:val="20"/>
                <w:color w:val="auto"/>
                <w:w w:val="91"/>
              </w:rPr>
            </w:pPr>
            <w:hyperlink w:anchor="page72">
              <w:r>
                <w:rPr>
                  <w:rFonts w:ascii="Arial" w:cs="Arial" w:eastAsia="Arial" w:hAnsi="Arial"/>
                  <w:sz w:val="20"/>
                  <w:szCs w:val="20"/>
                  <w:color w:val="auto"/>
                  <w:w w:val="91"/>
                </w:rPr>
                <w:t>Dividends</w:t>
              </w:r>
            </w:hyperlink>
          </w:p>
        </w:tc>
        <w:tc>
          <w:tcPr>
            <w:tcW w:w="7880" w:type="dxa"/>
            <w:vAlign w:val="bottom"/>
            <w:gridSpan w:val="11"/>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16</w:t>
              </w:r>
            </w:hyperlink>
          </w:p>
        </w:tc>
      </w:tr>
      <w:tr>
        <w:trPr>
          <w:trHeight w:val="263"/>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6.</w:t>
              </w:r>
              <w:r>
                <w:rPr>
                  <w:rFonts w:ascii="Arial" w:cs="Arial" w:eastAsia="Arial" w:hAnsi="Arial"/>
                  <w:sz w:val="20"/>
                  <w:szCs w:val="20"/>
                  <w:u w:val="single" w:color="auto"/>
                  <w:color w:val="auto"/>
                </w:rPr>
                <w:t>5</w:t>
              </w:r>
            </w:hyperlink>
          </w:p>
        </w:tc>
        <w:tc>
          <w:tcPr>
            <w:tcW w:w="870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Transfer of Stock</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17</w:t>
              </w:r>
            </w:hyperlink>
          </w:p>
        </w:tc>
      </w:tr>
      <w:tr>
        <w:trPr>
          <w:trHeight w:val="20"/>
        </w:trPr>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6.</w:t>
              </w:r>
              <w:r>
                <w:rPr>
                  <w:rFonts w:ascii="Arial" w:cs="Arial" w:eastAsia="Arial" w:hAnsi="Arial"/>
                  <w:sz w:val="20"/>
                  <w:szCs w:val="20"/>
                  <w:u w:val="single" w:color="auto"/>
                  <w:color w:val="auto"/>
                </w:rPr>
                <w:t>6</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Stock Transfer Agreements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17</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6.</w:t>
              </w:r>
              <w:r>
                <w:rPr>
                  <w:rFonts w:ascii="Arial" w:cs="Arial" w:eastAsia="Arial" w:hAnsi="Arial"/>
                  <w:sz w:val="20"/>
                  <w:szCs w:val="20"/>
                  <w:u w:val="single" w:color="auto"/>
                  <w:color w:val="auto"/>
                </w:rPr>
                <w:t>7</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Registered Stockholders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17</w:t>
              </w:r>
            </w:hyperlink>
          </w:p>
        </w:tc>
      </w:tr>
      <w:tr>
        <w:trPr>
          <w:trHeight w:val="308"/>
        </w:trPr>
        <w:tc>
          <w:tcPr>
            <w:tcW w:w="9000" w:type="dxa"/>
            <w:vAlign w:val="bottom"/>
            <w:gridSpan w:val="16"/>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VII - MANNER OF GIVING NOTICE AND WAIVER</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17</w:t>
              </w:r>
            </w:hyperlink>
          </w:p>
        </w:tc>
      </w:tr>
      <w:tr>
        <w:trPr>
          <w:trHeight w:val="239"/>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7.</w:t>
              </w:r>
              <w:r>
                <w:rPr>
                  <w:rFonts w:ascii="Arial" w:cs="Arial" w:eastAsia="Arial" w:hAnsi="Arial"/>
                  <w:sz w:val="20"/>
                  <w:szCs w:val="20"/>
                  <w:u w:val="single" w:color="auto"/>
                  <w:color w:val="auto"/>
                </w:rPr>
                <w:t>1</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Notice of Stockholders’ Meetings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17</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7.</w:t>
              </w:r>
              <w:r>
                <w:rPr>
                  <w:rFonts w:ascii="Arial" w:cs="Arial" w:eastAsia="Arial" w:hAnsi="Arial"/>
                  <w:sz w:val="20"/>
                  <w:szCs w:val="20"/>
                  <w:u w:val="single" w:color="auto"/>
                  <w:color w:val="auto"/>
                </w:rPr>
                <w:t>2</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Notice by Electronic Transmission</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17</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7.</w:t>
              </w:r>
              <w:r>
                <w:rPr>
                  <w:rFonts w:ascii="Arial" w:cs="Arial" w:eastAsia="Arial" w:hAnsi="Arial"/>
                  <w:sz w:val="20"/>
                  <w:szCs w:val="20"/>
                  <w:u w:val="single" w:color="auto"/>
                  <w:color w:val="auto"/>
                </w:rPr>
                <w:t>3</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Notice to Stockholders Sharing an Address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18</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7.</w:t>
              </w:r>
              <w:r>
                <w:rPr>
                  <w:rFonts w:ascii="Arial" w:cs="Arial" w:eastAsia="Arial" w:hAnsi="Arial"/>
                  <w:sz w:val="20"/>
                  <w:szCs w:val="20"/>
                  <w:u w:val="single" w:color="auto"/>
                  <w:color w:val="auto"/>
                </w:rPr>
                <w:t>4</w:t>
              </w:r>
            </w:hyperlink>
          </w:p>
        </w:tc>
        <w:tc>
          <w:tcPr>
            <w:tcW w:w="4620" w:type="dxa"/>
            <w:vAlign w:val="bottom"/>
            <w:tcBorders>
              <w:bottom w:val="single" w:sz="8" w:color="auto"/>
            </w:tcBorders>
            <w:gridSpan w:val="14"/>
          </w:tcPr>
          <w:p>
            <w:pPr>
              <w:spacing w:after="0"/>
              <w:rPr>
                <w:rFonts w:ascii="Arial" w:cs="Arial" w:eastAsia="Arial" w:hAnsi="Arial"/>
                <w:sz w:val="20"/>
                <w:szCs w:val="20"/>
                <w:color w:val="auto"/>
                <w:w w:val="92"/>
              </w:rPr>
            </w:pPr>
            <w:hyperlink w:anchor="page72">
              <w:r>
                <w:rPr>
                  <w:rFonts w:ascii="Arial" w:cs="Arial" w:eastAsia="Arial" w:hAnsi="Arial"/>
                  <w:sz w:val="20"/>
                  <w:szCs w:val="20"/>
                  <w:color w:val="auto"/>
                  <w:w w:val="92"/>
                </w:rPr>
                <w:t>Notice to Person with Whom Communication is Unlawful</w:t>
              </w:r>
            </w:hyperlink>
          </w:p>
        </w:tc>
        <w:tc>
          <w:tcPr>
            <w:tcW w:w="4080" w:type="dxa"/>
            <w:vAlign w:val="bottom"/>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18</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7.</w:t>
              </w:r>
              <w:r>
                <w:rPr>
                  <w:rFonts w:ascii="Arial" w:cs="Arial" w:eastAsia="Arial" w:hAnsi="Arial"/>
                  <w:sz w:val="20"/>
                  <w:szCs w:val="20"/>
                  <w:u w:val="single" w:color="auto"/>
                  <w:color w:val="auto"/>
                </w:rPr>
                <w:t>5</w:t>
              </w:r>
            </w:hyperlink>
          </w:p>
        </w:tc>
        <w:tc>
          <w:tcPr>
            <w:tcW w:w="1380" w:type="dxa"/>
            <w:vAlign w:val="bottom"/>
            <w:tcBorders>
              <w:bottom w:val="single" w:sz="8" w:color="auto"/>
            </w:tcBorders>
            <w:gridSpan w:val="7"/>
          </w:tcPr>
          <w:p>
            <w:pPr>
              <w:spacing w:after="0"/>
              <w:rPr>
                <w:rFonts w:ascii="Arial" w:cs="Arial" w:eastAsia="Arial" w:hAnsi="Arial"/>
                <w:sz w:val="20"/>
                <w:szCs w:val="20"/>
                <w:color w:val="auto"/>
                <w:w w:val="91"/>
              </w:rPr>
            </w:pPr>
            <w:hyperlink w:anchor="page72">
              <w:r>
                <w:rPr>
                  <w:rFonts w:ascii="Arial" w:cs="Arial" w:eastAsia="Arial" w:hAnsi="Arial"/>
                  <w:sz w:val="20"/>
                  <w:szCs w:val="20"/>
                  <w:color w:val="auto"/>
                  <w:w w:val="91"/>
                </w:rPr>
                <w:t>Waiver of Notice</w:t>
              </w:r>
            </w:hyperlink>
          </w:p>
        </w:tc>
        <w:tc>
          <w:tcPr>
            <w:tcW w:w="7320" w:type="dxa"/>
            <w:vAlign w:val="bottom"/>
            <w:gridSpan w:val="8"/>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19</w:t>
              </w:r>
            </w:hyperlink>
          </w:p>
        </w:tc>
      </w:tr>
      <w:tr>
        <w:trPr>
          <w:trHeight w:val="308"/>
        </w:trPr>
        <w:tc>
          <w:tcPr>
            <w:tcW w:w="9000" w:type="dxa"/>
            <w:vAlign w:val="bottom"/>
            <w:gridSpan w:val="16"/>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VIII - INDEMNIFICATION</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19</w:t>
              </w:r>
            </w:hyperlink>
          </w:p>
        </w:tc>
      </w:tr>
      <w:tr>
        <w:trPr>
          <w:trHeight w:val="239"/>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1</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Indemnification of Directors and Officers in Third Party Proceedings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19</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2</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Indemnification of Directors and Officers in Actions by or in the Right of the Corporation</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19</w:t>
              </w:r>
            </w:hyperlink>
          </w:p>
        </w:tc>
      </w:tr>
      <w:tr>
        <w:trPr>
          <w:trHeight w:val="264"/>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3</w:t>
              </w:r>
            </w:hyperlink>
          </w:p>
        </w:tc>
        <w:tc>
          <w:tcPr>
            <w:tcW w:w="870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Successful Defense</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20</w:t>
              </w:r>
            </w:hyperlink>
          </w:p>
        </w:tc>
      </w:tr>
      <w:tr>
        <w:trPr>
          <w:trHeight w:val="20"/>
        </w:trPr>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4</w:t>
              </w:r>
            </w:hyperlink>
          </w:p>
        </w:tc>
        <w:tc>
          <w:tcPr>
            <w:tcW w:w="2060" w:type="dxa"/>
            <w:vAlign w:val="bottom"/>
            <w:tcBorders>
              <w:bottom w:val="single" w:sz="8" w:color="auto"/>
            </w:tcBorders>
            <w:gridSpan w:val="12"/>
          </w:tcPr>
          <w:p>
            <w:pPr>
              <w:spacing w:after="0"/>
              <w:rPr>
                <w:rFonts w:ascii="Arial" w:cs="Arial" w:eastAsia="Arial" w:hAnsi="Arial"/>
                <w:sz w:val="20"/>
                <w:szCs w:val="20"/>
                <w:color w:val="auto"/>
                <w:w w:val="91"/>
              </w:rPr>
            </w:pPr>
            <w:hyperlink w:anchor="page72">
              <w:r>
                <w:rPr>
                  <w:rFonts w:ascii="Arial" w:cs="Arial" w:eastAsia="Arial" w:hAnsi="Arial"/>
                  <w:sz w:val="20"/>
                  <w:szCs w:val="20"/>
                  <w:color w:val="auto"/>
                  <w:w w:val="91"/>
                </w:rPr>
                <w:t>Indemnification of Others</w:t>
              </w:r>
            </w:hyperlink>
          </w:p>
        </w:tc>
        <w:tc>
          <w:tcPr>
            <w:tcW w:w="6640" w:type="dxa"/>
            <w:vAlign w:val="bottom"/>
            <w:gridSpan w:val="3"/>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20</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5</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Advance Payment of Expenses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20</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6</w:t>
              </w:r>
            </w:hyperlink>
          </w:p>
        </w:tc>
        <w:tc>
          <w:tcPr>
            <w:tcW w:w="2400" w:type="dxa"/>
            <w:vAlign w:val="bottom"/>
            <w:tcBorders>
              <w:bottom w:val="single" w:sz="8" w:color="auto"/>
            </w:tcBorders>
            <w:gridSpan w:val="13"/>
          </w:tcPr>
          <w:p>
            <w:pPr>
              <w:spacing w:after="0"/>
              <w:rPr>
                <w:rFonts w:ascii="Arial" w:cs="Arial" w:eastAsia="Arial" w:hAnsi="Arial"/>
                <w:sz w:val="20"/>
                <w:szCs w:val="20"/>
                <w:color w:val="auto"/>
                <w:w w:val="93"/>
              </w:rPr>
            </w:pPr>
            <w:hyperlink w:anchor="page72">
              <w:r>
                <w:rPr>
                  <w:rFonts w:ascii="Arial" w:cs="Arial" w:eastAsia="Arial" w:hAnsi="Arial"/>
                  <w:sz w:val="20"/>
                  <w:szCs w:val="20"/>
                  <w:color w:val="auto"/>
                  <w:w w:val="93"/>
                </w:rPr>
                <w:t>Limitation on Indemnification</w:t>
              </w:r>
            </w:hyperlink>
          </w:p>
        </w:tc>
        <w:tc>
          <w:tcPr>
            <w:tcW w:w="6300" w:type="dxa"/>
            <w:vAlign w:val="bottom"/>
            <w:gridSpan w:val="2"/>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20</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7</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Determination; Claim</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21</w:t>
              </w:r>
            </w:hyperlink>
          </w:p>
        </w:tc>
      </w:tr>
      <w:tr>
        <w:trPr>
          <w:trHeight w:val="263"/>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8</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Non-Exclusivity of Rights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21</w:t>
              </w:r>
            </w:hyperlink>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9</w:t>
              </w:r>
            </w:hyperlink>
          </w:p>
        </w:tc>
        <w:tc>
          <w:tcPr>
            <w:tcW w:w="780" w:type="dxa"/>
            <w:vAlign w:val="bottom"/>
            <w:tcBorders>
              <w:bottom w:val="single" w:sz="8" w:color="auto"/>
            </w:tcBorders>
            <w:gridSpan w:val="3"/>
          </w:tcPr>
          <w:p>
            <w:pPr>
              <w:spacing w:after="0"/>
              <w:rPr>
                <w:rFonts w:ascii="Arial" w:cs="Arial" w:eastAsia="Arial" w:hAnsi="Arial"/>
                <w:sz w:val="20"/>
                <w:szCs w:val="20"/>
                <w:color w:val="auto"/>
                <w:w w:val="86"/>
              </w:rPr>
            </w:pPr>
            <w:hyperlink w:anchor="page72">
              <w:r>
                <w:rPr>
                  <w:rFonts w:ascii="Arial" w:cs="Arial" w:eastAsia="Arial" w:hAnsi="Arial"/>
                  <w:sz w:val="20"/>
                  <w:szCs w:val="20"/>
                  <w:color w:val="auto"/>
                  <w:w w:val="86"/>
                </w:rPr>
                <w:t>Insurance</w:t>
              </w:r>
            </w:hyperlink>
          </w:p>
        </w:tc>
        <w:tc>
          <w:tcPr>
            <w:tcW w:w="7920" w:type="dxa"/>
            <w:vAlign w:val="bottom"/>
            <w:gridSpan w:val="12"/>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21</w:t>
              </w:r>
            </w:hyperlink>
          </w:p>
        </w:tc>
      </w:tr>
      <w:tr>
        <w:trPr>
          <w:trHeight w:val="263"/>
        </w:trPr>
        <w:tc>
          <w:tcPr>
            <w:tcW w:w="1080" w:type="dxa"/>
            <w:vAlign w:val="bottom"/>
            <w:tcBorders>
              <w:bottom w:val="single" w:sz="8" w:color="auto"/>
            </w:tcBorders>
            <w:gridSpan w:val="4"/>
          </w:tcPr>
          <w:p>
            <w:pPr>
              <w:spacing w:after="0"/>
              <w:rPr>
                <w:rFonts w:ascii="Arial" w:cs="Arial" w:eastAsia="Arial" w:hAnsi="Arial"/>
                <w:sz w:val="20"/>
                <w:szCs w:val="20"/>
                <w:color w:val="auto"/>
                <w:w w:val="91"/>
              </w:rPr>
            </w:pPr>
            <w:hyperlink w:anchor="page72">
              <w:r>
                <w:rPr>
                  <w:rFonts w:ascii="Arial" w:cs="Arial" w:eastAsia="Arial" w:hAnsi="Arial"/>
                  <w:sz w:val="20"/>
                  <w:szCs w:val="20"/>
                  <w:color w:val="auto"/>
                  <w:w w:val="91"/>
                </w:rPr>
                <w:t>8.</w:t>
              </w:r>
              <w:r>
                <w:rPr>
                  <w:rFonts w:ascii="Arial" w:cs="Arial" w:eastAsia="Arial" w:hAnsi="Arial"/>
                  <w:sz w:val="20"/>
                  <w:szCs w:val="20"/>
                  <w:u w:val="single" w:color="auto"/>
                  <w:color w:val="auto"/>
                  <w:w w:val="91"/>
                </w:rPr>
                <w:t>10</w:t>
              </w:r>
              <w:r>
                <w:rPr>
                  <w:rFonts w:ascii="Arial" w:cs="Arial" w:eastAsia="Arial" w:hAnsi="Arial"/>
                  <w:sz w:val="20"/>
                  <w:szCs w:val="20"/>
                  <w:color w:val="auto"/>
                  <w:w w:val="91"/>
                </w:rPr>
                <w:t xml:space="preserve"> Survival</w:t>
              </w:r>
            </w:hyperlink>
          </w:p>
        </w:tc>
        <w:tc>
          <w:tcPr>
            <w:tcW w:w="7920" w:type="dxa"/>
            <w:vAlign w:val="bottom"/>
            <w:gridSpan w:val="12"/>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21</w:t>
              </w:r>
            </w:hyperlink>
          </w:p>
        </w:tc>
      </w:tr>
      <w:tr>
        <w:trPr>
          <w:trHeight w:val="263"/>
        </w:trPr>
        <w:tc>
          <w:tcPr>
            <w:tcW w:w="9000" w:type="dxa"/>
            <w:vAlign w:val="bottom"/>
            <w:gridSpan w:val="16"/>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11 Effect of Repeal or Modification</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22</w:t>
              </w:r>
            </w:hyperlink>
          </w:p>
        </w:tc>
      </w:tr>
      <w:tr>
        <w:trPr>
          <w:trHeight w:val="20"/>
        </w:trPr>
        <w:tc>
          <w:tcPr>
            <w:tcW w:w="4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4"/>
        </w:trPr>
        <w:tc>
          <w:tcPr>
            <w:tcW w:w="9000" w:type="dxa"/>
            <w:vAlign w:val="bottom"/>
            <w:gridSpan w:val="16"/>
          </w:tcPr>
          <w:p>
            <w:pPr>
              <w:spacing w:after="0"/>
              <w:rPr>
                <w:rFonts w:ascii="Arial" w:cs="Arial" w:eastAsia="Arial" w:hAnsi="Arial"/>
                <w:sz w:val="20"/>
                <w:szCs w:val="20"/>
                <w:color w:val="auto"/>
              </w:rPr>
            </w:pPr>
            <w:hyperlink w:anchor="page72">
              <w:r>
                <w:rPr>
                  <w:rFonts w:ascii="Arial" w:cs="Arial" w:eastAsia="Arial" w:hAnsi="Arial"/>
                  <w:sz w:val="20"/>
                  <w:szCs w:val="20"/>
                  <w:color w:val="auto"/>
                </w:rPr>
                <w:t>8.</w:t>
              </w:r>
              <w:r>
                <w:rPr>
                  <w:rFonts w:ascii="Arial" w:cs="Arial" w:eastAsia="Arial" w:hAnsi="Arial"/>
                  <w:sz w:val="20"/>
                  <w:szCs w:val="20"/>
                  <w:u w:val="single" w:color="auto"/>
                  <w:color w:val="auto"/>
                </w:rPr>
                <w:t>12</w:t>
              </w:r>
              <w:r>
                <w:rPr>
                  <w:rFonts w:ascii="Arial" w:cs="Arial" w:eastAsia="Arial" w:hAnsi="Arial"/>
                  <w:sz w:val="20"/>
                  <w:szCs w:val="20"/>
                  <w:color w:val="auto"/>
                </w:rPr>
                <w:t xml:space="preserve"> Certain Definitions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22</w:t>
              </w:r>
            </w:hyperlink>
          </w:p>
        </w:tc>
      </w:tr>
      <w:tr>
        <w:trPr>
          <w:trHeight w:val="20"/>
        </w:trPr>
        <w:tc>
          <w:tcPr>
            <w:tcW w:w="640" w:type="dxa"/>
            <w:vAlign w:val="bottom"/>
            <w:gridSpan w:val="3"/>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08"/>
        </w:trPr>
        <w:tc>
          <w:tcPr>
            <w:tcW w:w="9000" w:type="dxa"/>
            <w:vAlign w:val="bottom"/>
            <w:gridSpan w:val="16"/>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IX - GENERAL MATTERS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22</w:t>
              </w:r>
            </w:hyperlink>
          </w:p>
        </w:tc>
      </w:tr>
      <w:tr>
        <w:trPr>
          <w:trHeight w:val="239"/>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9.</w:t>
              </w:r>
              <w:r>
                <w:rPr>
                  <w:rFonts w:ascii="Arial" w:cs="Arial" w:eastAsia="Arial" w:hAnsi="Arial"/>
                  <w:sz w:val="20"/>
                  <w:szCs w:val="20"/>
                  <w:u w:val="single" w:color="auto"/>
                  <w:color w:val="auto"/>
                </w:rPr>
                <w:t>1</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Execution of Corporate Contracts and Instruments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22</w:t>
              </w:r>
            </w:hyperlink>
          </w:p>
        </w:tc>
      </w:tr>
      <w:tr>
        <w:trPr>
          <w:trHeight w:val="263"/>
        </w:trPr>
        <w:tc>
          <w:tcPr>
            <w:tcW w:w="300" w:type="dxa"/>
            <w:vAlign w:val="bottom"/>
          </w:tcPr>
          <w:p>
            <w:pPr>
              <w:spacing w:after="0"/>
              <w:rPr>
                <w:rFonts w:ascii="Arial" w:cs="Arial" w:eastAsia="Arial" w:hAnsi="Arial"/>
                <w:sz w:val="20"/>
                <w:szCs w:val="20"/>
                <w:color w:val="auto"/>
              </w:rPr>
            </w:pPr>
            <w:hyperlink w:anchor="page72">
              <w:r>
                <w:rPr>
                  <w:rFonts w:ascii="Arial" w:cs="Arial" w:eastAsia="Arial" w:hAnsi="Arial"/>
                  <w:sz w:val="20"/>
                  <w:szCs w:val="20"/>
                  <w:color w:val="auto"/>
                </w:rPr>
                <w:t>9.</w:t>
              </w:r>
              <w:r>
                <w:rPr>
                  <w:rFonts w:ascii="Arial" w:cs="Arial" w:eastAsia="Arial" w:hAnsi="Arial"/>
                  <w:sz w:val="20"/>
                  <w:szCs w:val="20"/>
                  <w:u w:val="single" w:color="auto"/>
                  <w:color w:val="auto"/>
                </w:rPr>
                <w:t>2</w:t>
              </w:r>
            </w:hyperlink>
          </w:p>
        </w:tc>
        <w:tc>
          <w:tcPr>
            <w:tcW w:w="8700" w:type="dxa"/>
            <w:vAlign w:val="bottom"/>
            <w:gridSpan w:val="1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Fiscal Year</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22</w:t>
              </w:r>
            </w:hyperlink>
          </w:p>
        </w:tc>
      </w:tr>
      <w:tr>
        <w:trPr>
          <w:trHeight w:val="263"/>
        </w:trPr>
        <w:tc>
          <w:tcPr>
            <w:tcW w:w="300" w:type="dxa"/>
            <w:vAlign w:val="bottom"/>
            <w:tcBorders>
              <w:top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9.</w:t>
              </w:r>
              <w:r>
                <w:rPr>
                  <w:rFonts w:ascii="Arial" w:cs="Arial" w:eastAsia="Arial" w:hAnsi="Arial"/>
                  <w:sz w:val="20"/>
                  <w:szCs w:val="20"/>
                  <w:u w:val="single" w:color="auto"/>
                  <w:color w:val="auto"/>
                </w:rPr>
                <w:t>3</w:t>
              </w:r>
            </w:hyperlink>
          </w:p>
        </w:tc>
        <w:tc>
          <w:tcPr>
            <w:tcW w:w="880" w:type="dxa"/>
            <w:vAlign w:val="bottom"/>
            <w:tcBorders>
              <w:top w:val="single" w:sz="8" w:color="auto"/>
            </w:tcBorders>
            <w:gridSpan w:val="5"/>
          </w:tcPr>
          <w:p>
            <w:pPr>
              <w:spacing w:after="0"/>
              <w:rPr>
                <w:rFonts w:ascii="Arial" w:cs="Arial" w:eastAsia="Arial" w:hAnsi="Arial"/>
                <w:sz w:val="20"/>
                <w:szCs w:val="20"/>
                <w:color w:val="auto"/>
              </w:rPr>
            </w:pPr>
            <w:hyperlink w:anchor="page72">
              <w:r>
                <w:rPr>
                  <w:rFonts w:ascii="Arial" w:cs="Arial" w:eastAsia="Arial" w:hAnsi="Arial"/>
                  <w:sz w:val="20"/>
                  <w:szCs w:val="20"/>
                  <w:color w:val="auto"/>
                </w:rPr>
                <w:t>Seal</w:t>
              </w:r>
            </w:hyperlink>
          </w:p>
        </w:tc>
        <w:tc>
          <w:tcPr>
            <w:tcW w:w="7820" w:type="dxa"/>
            <w:vAlign w:val="bottom"/>
            <w:gridSpan w:val="10"/>
          </w:tcPr>
          <w:p>
            <w:pPr>
              <w:spacing w:after="0"/>
              <w:rPr>
                <w:sz w:val="22"/>
                <w:szCs w:val="22"/>
                <w:color w:val="auto"/>
              </w:rPr>
            </w:pPr>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22</w:t>
              </w:r>
            </w:hyperlink>
          </w:p>
        </w:tc>
      </w:tr>
      <w:tr>
        <w:trPr>
          <w:trHeight w:val="20"/>
        </w:trPr>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4"/>
        </w:trPr>
        <w:tc>
          <w:tcPr>
            <w:tcW w:w="300" w:type="dxa"/>
            <w:vAlign w:val="bottom"/>
            <w:tcBorders>
              <w:bottom w:val="single" w:sz="8" w:color="auto"/>
            </w:tcBorders>
          </w:tcPr>
          <w:p>
            <w:pPr>
              <w:spacing w:after="0"/>
              <w:rPr>
                <w:rFonts w:ascii="Arial" w:cs="Arial" w:eastAsia="Arial" w:hAnsi="Arial"/>
                <w:sz w:val="20"/>
                <w:szCs w:val="20"/>
                <w:color w:val="auto"/>
              </w:rPr>
            </w:pPr>
            <w:hyperlink w:anchor="page72">
              <w:r>
                <w:rPr>
                  <w:rFonts w:ascii="Arial" w:cs="Arial" w:eastAsia="Arial" w:hAnsi="Arial"/>
                  <w:sz w:val="20"/>
                  <w:szCs w:val="20"/>
                  <w:color w:val="auto"/>
                </w:rPr>
                <w:t>9.</w:t>
              </w:r>
              <w:r>
                <w:rPr>
                  <w:rFonts w:ascii="Arial" w:cs="Arial" w:eastAsia="Arial" w:hAnsi="Arial"/>
                  <w:sz w:val="20"/>
                  <w:szCs w:val="20"/>
                  <w:u w:val="single" w:color="auto"/>
                  <w:color w:val="auto"/>
                </w:rPr>
                <w:t>4</w:t>
              </w:r>
            </w:hyperlink>
          </w:p>
        </w:tc>
        <w:tc>
          <w:tcPr>
            <w:tcW w:w="8700" w:type="dxa"/>
            <w:vAlign w:val="bottom"/>
            <w:gridSpan w:val="15"/>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Construction; Definitions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23</w:t>
              </w:r>
            </w:hyperlink>
          </w:p>
        </w:tc>
      </w:tr>
      <w:tr>
        <w:trPr>
          <w:trHeight w:val="308"/>
        </w:trPr>
        <w:tc>
          <w:tcPr>
            <w:tcW w:w="9000" w:type="dxa"/>
            <w:vAlign w:val="bottom"/>
            <w:gridSpan w:val="16"/>
          </w:tcPr>
          <w:p>
            <w:pPr>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ARTICLE X - AMENDMENTS</w:t>
              </w:r>
            </w:hyperlink>
          </w:p>
        </w:tc>
        <w:tc>
          <w:tcPr>
            <w:tcW w:w="1780" w:type="dxa"/>
            <w:vAlign w:val="bottom"/>
          </w:tcPr>
          <w:p>
            <w:pPr>
              <w:jc w:val="right"/>
              <w:spacing w:after="0"/>
              <w:rPr>
                <w:rFonts w:ascii="Arial" w:cs="Arial" w:eastAsia="Arial" w:hAnsi="Arial"/>
                <w:sz w:val="20"/>
                <w:szCs w:val="20"/>
                <w:u w:val="single" w:color="auto"/>
                <w:color w:val="auto"/>
              </w:rPr>
            </w:pPr>
            <w:hyperlink w:anchor="page72">
              <w:r>
                <w:rPr>
                  <w:rFonts w:ascii="Arial" w:cs="Arial" w:eastAsia="Arial" w:hAnsi="Arial"/>
                  <w:sz w:val="20"/>
                  <w:szCs w:val="20"/>
                  <w:u w:val="single" w:color="auto"/>
                  <w:color w:val="auto"/>
                </w:rPr>
                <w:t>23</w:t>
              </w:r>
            </w:hyperlink>
          </w:p>
        </w:tc>
      </w:tr>
    </w:tbl>
    <w:p>
      <w:pPr>
        <w:spacing w:after="0" w:line="200" w:lineRule="exact"/>
        <w:rPr>
          <w:sz w:val="20"/>
          <w:szCs w:val="20"/>
          <w:color w:val="auto"/>
        </w:rPr>
      </w:pPr>
    </w:p>
    <w:p>
      <w:pPr>
        <w:sectPr>
          <w:pgSz w:w="11900" w:h="16838" w:orient="portrait"/>
          <w:cols w:equalWidth="0" w:num="1">
            <w:col w:w="10780"/>
          </w:cols>
          <w:pgMar w:left="34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80"/>
          </w:cols>
          <w:pgMar w:left="340" w:top="1440" w:right="779" w:bottom="144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019"/>
          </w:cols>
          <w:pgMar w:left="1440" w:top="1440"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APPFOLIO, INC.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  CORPORATE OFFICES</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of AppFolio, Inc. shall be fixed in the corporation’s certificate of incorporation, as</w:t>
      </w:r>
      <w:r>
        <w:rPr>
          <w:rFonts w:ascii="Arial" w:cs="Arial" w:eastAsia="Arial" w:hAnsi="Arial"/>
          <w:sz w:val="20"/>
          <w:szCs w:val="20"/>
          <w:b w:val="1"/>
          <w:bCs w:val="1"/>
          <w:color w:val="auto"/>
        </w:rPr>
        <w:t xml:space="preserve"> </w:t>
      </w:r>
      <w:r>
        <w:rPr>
          <w:rFonts w:ascii="Arial" w:cs="Arial" w:eastAsia="Arial" w:hAnsi="Arial"/>
          <w:sz w:val="20"/>
          <w:szCs w:val="20"/>
          <w:color w:val="auto"/>
        </w:rPr>
        <w:t>the same may be amended from time to time.</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u w:val="single" w:color="auto"/>
          <w:color w:val="auto"/>
        </w:rPr>
        <w:t>Other Offices</w:t>
      </w:r>
      <w:r>
        <w:rPr>
          <w:rFonts w:ascii="Arial" w:cs="Arial" w:eastAsia="Arial" w:hAnsi="Arial"/>
          <w:sz w:val="20"/>
          <w:szCs w:val="20"/>
          <w:color w:val="auto"/>
        </w:rPr>
        <w:t>. The corporation’s board of directors may at any time establish other offices at any place or places where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is qualified to do business.</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u w:val="single" w:color="auto"/>
          <w:color w:val="auto"/>
        </w:rPr>
        <w:t>Books and Records</w:t>
      </w:r>
      <w:r>
        <w:rPr>
          <w:rFonts w:ascii="Arial" w:cs="Arial" w:eastAsia="Arial" w:hAnsi="Arial"/>
          <w:sz w:val="20"/>
          <w:szCs w:val="20"/>
          <w:color w:val="auto"/>
        </w:rPr>
        <w:t>. Any records maintained by the Corporation in the regular course of its business, including its stock</w:t>
      </w:r>
      <w:r>
        <w:rPr>
          <w:rFonts w:ascii="Arial" w:cs="Arial" w:eastAsia="Arial" w:hAnsi="Arial"/>
          <w:sz w:val="20"/>
          <w:szCs w:val="20"/>
          <w:b w:val="1"/>
          <w:bCs w:val="1"/>
          <w:color w:val="auto"/>
        </w:rPr>
        <w:t xml:space="preserve"> </w:t>
      </w:r>
      <w:r>
        <w:rPr>
          <w:rFonts w:ascii="Arial" w:cs="Arial" w:eastAsia="Arial" w:hAnsi="Arial"/>
          <w:sz w:val="20"/>
          <w:szCs w:val="20"/>
          <w:color w:val="auto"/>
        </w:rPr>
        <w:t>ledger, books of account and minute books, may be maintained on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 MEETINGS OF STOCKHOLDERS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u w:val="single" w:color="auto"/>
          <w:color w:val="auto"/>
        </w:rPr>
        <w:t>Place of Meetings</w:t>
      </w:r>
      <w:r>
        <w:rPr>
          <w:rFonts w:ascii="Arial" w:cs="Arial" w:eastAsia="Arial" w:hAnsi="Arial"/>
          <w:sz w:val="20"/>
          <w:szCs w:val="20"/>
          <w:color w:val="auto"/>
        </w:rPr>
        <w:t>. Meetings of stockholders shall be held at any place, within or outside the State of Delaware, designated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20"/>
          <w:szCs w:val="20"/>
          <w:b w:val="1"/>
          <w:bCs w:val="1"/>
          <w:color w:val="auto"/>
        </w:rPr>
        <w:t>DGCL</w:t>
      </w:r>
      <w:r>
        <w:rPr>
          <w:rFonts w:ascii="Arial" w:cs="Arial" w:eastAsia="Arial" w:hAnsi="Arial"/>
          <w:sz w:val="20"/>
          <w:szCs w:val="20"/>
          <w:color w:val="auto"/>
        </w:rPr>
        <w:t>”). In the absence of any such designation or determination, stockholders’ meetings shall be held at the corporation’s principal executive office.</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stockholders shall be held on such date, at such time, and at such place (if any)</w:t>
      </w:r>
      <w:r>
        <w:rPr>
          <w:rFonts w:ascii="Arial" w:cs="Arial" w:eastAsia="Arial" w:hAnsi="Arial"/>
          <w:sz w:val="19"/>
          <w:szCs w:val="19"/>
          <w:b w:val="1"/>
          <w:bCs w:val="1"/>
          <w:color w:val="auto"/>
        </w:rPr>
        <w:t xml:space="preserve"> </w:t>
      </w:r>
      <w:r>
        <w:rPr>
          <w:rFonts w:ascii="Arial" w:cs="Arial" w:eastAsia="Arial" w:hAnsi="Arial"/>
          <w:sz w:val="19"/>
          <w:szCs w:val="19"/>
          <w:color w:val="auto"/>
        </w:rPr>
        <w:t>within or without the State of Delaware as shall be designated from time to time by the board of directors and stated in the corporation’s notice of the meeting. At the annual meeting, directors shall be elected and any other proper business, brought in accordance with Section 2.4 of these bylaws, may be transacted. The board of directors may cancel, postpone or reschedule any previously scheduled annual meeting at any time, before or after the notice for such meeting has been sent to the stockholders.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u w:val="single" w:color="auto"/>
          <w:color w:val="auto"/>
        </w:rPr>
        <w:t>Special Meeting</w:t>
      </w:r>
      <w:r>
        <w:rPr>
          <w:rFonts w:ascii="Arial" w:cs="Arial" w:eastAsia="Arial" w:hAnsi="Arial"/>
          <w:sz w:val="18"/>
          <w:szCs w:val="18"/>
          <w:color w:val="auto"/>
        </w:rPr>
        <w:t>.</w:t>
      </w:r>
    </w:p>
    <w:p>
      <w:pPr>
        <w:spacing w:after="0" w:line="222" w:lineRule="exact"/>
        <w:rPr>
          <w:sz w:val="20"/>
          <w:szCs w:val="20"/>
          <w:color w:val="auto"/>
        </w:rPr>
      </w:pPr>
    </w:p>
    <w:p>
      <w:pPr>
        <w:jc w:val="both"/>
        <w:ind w:firstLine="1304"/>
        <w:spacing w:after="0" w:line="260" w:lineRule="auto"/>
        <w:tabs>
          <w:tab w:leader="none" w:pos="19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special meeting of the stockholders, other than those required by statute, may be called at any time by (A) the board of directors pursuant to a resolution adopted by a majority of the board of directors, (B) the chairman of the board of directors, (C) the chief executive officer or (D) the president (in the absence of a chief executive officer), but a special meeting may not be called by any other person or persons. The board of directors may cancel, postpone or reschedule any previously scheduled special meeting at any time, before or after the notice for such meeting has been sent to the stockholders.</w:t>
      </w:r>
    </w:p>
    <w:p>
      <w:pPr>
        <w:spacing w:after="0" w:line="180" w:lineRule="exact"/>
        <w:rPr>
          <w:rFonts w:ascii="Arial" w:cs="Arial" w:eastAsia="Arial" w:hAnsi="Arial"/>
          <w:sz w:val="19"/>
          <w:szCs w:val="19"/>
          <w:color w:val="auto"/>
        </w:rPr>
      </w:pPr>
    </w:p>
    <w:p>
      <w:pPr>
        <w:jc w:val="both"/>
        <w:ind w:firstLine="1304"/>
        <w:spacing w:after="0" w:line="250" w:lineRule="auto"/>
        <w:tabs>
          <w:tab w:leader="none" w:pos="1941"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chairman of the board of</w:t>
      </w:r>
    </w:p>
    <w:p>
      <w:pPr>
        <w:sectPr>
          <w:pgSz w:w="11900" w:h="16838" w:orient="portrait"/>
          <w:cols w:equalWidth="0" w:num="1">
            <w:col w:w="11240"/>
          </w:cols>
          <w:pgMar w:left="320" w:top="1413" w:right="339" w:bottom="1440" w:gutter="0" w:footer="0" w:header="0"/>
        </w:sectPr>
      </w:pPr>
    </w:p>
    <w:bookmarkStart w:id="73" w:name="page74"/>
    <w:bookmarkEnd w:id="73"/>
    <w:p>
      <w:pPr>
        <w:spacing w:after="0" w:line="316" w:lineRule="auto"/>
        <w:rPr>
          <w:sz w:val="20"/>
          <w:szCs w:val="20"/>
          <w:color w:val="auto"/>
        </w:rPr>
      </w:pPr>
      <w:r>
        <w:rPr>
          <w:rFonts w:ascii="Arial" w:cs="Arial" w:eastAsia="Arial" w:hAnsi="Arial"/>
          <w:sz w:val="18"/>
          <w:szCs w:val="18"/>
          <w:color w:val="auto"/>
        </w:rPr>
        <w:t>directors, chief executive officer or president (in the absence of a chief executive officer). Nothing contained in this Section 2.3(ii) shall be construed as limiting, fixing or affecting the time when a meeting of stockholders called by action of the board of directors may be held.</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72" w:lineRule="auto"/>
        <w:tabs>
          <w:tab w:leader="none" w:pos="194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of Stockholder Business. </w:t>
      </w:r>
      <w:r>
        <w:rPr>
          <w:rFonts w:ascii="Arial" w:cs="Arial" w:eastAsia="Arial" w:hAnsi="Arial"/>
          <w:sz w:val="18"/>
          <w:szCs w:val="18"/>
          <w:color w:val="auto"/>
        </w:rPr>
        <w:t>At an annual meeting of the stockholders, only such business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as shall have been properly brought before the meeting. To be properly brought before an annual meeting, business must be brought: (A) pursuant to the corporation’s proxy materials with respect to such meeting, (B) by or at the direction of the board of directors, or</w:t>
      </w:r>
    </w:p>
    <w:p>
      <w:pPr>
        <w:jc w:val="both"/>
        <w:ind w:firstLine="8"/>
        <w:spacing w:after="0" w:line="271" w:lineRule="auto"/>
        <w:tabs>
          <w:tab w:leader="none" w:pos="3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except for proposals properly made in accordance with Rule 14a-8 under the Securities and Exchange Act of 1934, as amended, or any successor thereto (the “</w:t>
      </w:r>
      <w:r>
        <w:rPr>
          <w:rFonts w:ascii="Arial" w:cs="Arial" w:eastAsia="Arial" w:hAnsi="Arial"/>
          <w:sz w:val="18"/>
          <w:szCs w:val="18"/>
          <w:b w:val="1"/>
          <w:bCs w:val="1"/>
          <w:color w:val="auto"/>
        </w:rPr>
        <w:t>1934 Act</w:t>
      </w:r>
      <w:r>
        <w:rPr>
          <w:rFonts w:ascii="Arial" w:cs="Arial" w:eastAsia="Arial" w:hAnsi="Arial"/>
          <w:sz w:val="18"/>
          <w:szCs w:val="18"/>
          <w:color w:val="auto"/>
        </w:rPr>
        <w:t>”), and the regulations thereunder (or any successor rule and in any case as so amended), clause (C) above shall be the exclusive means for a stockholder to bring business before an annual meeting of stockholders.</w:t>
      </w:r>
    </w:p>
    <w:p>
      <w:pPr>
        <w:spacing w:after="0" w:line="170" w:lineRule="exact"/>
        <w:rPr>
          <w:rFonts w:ascii="Arial" w:cs="Arial" w:eastAsia="Arial" w:hAnsi="Arial"/>
          <w:sz w:val="18"/>
          <w:szCs w:val="18"/>
          <w:color w:val="auto"/>
        </w:rPr>
      </w:pPr>
    </w:p>
    <w:p>
      <w:pPr>
        <w:jc w:val="both"/>
        <w:ind w:firstLine="1952"/>
        <w:spacing w:after="0" w:line="308" w:lineRule="auto"/>
        <w:tabs>
          <w:tab w:leader="none" w:pos="2582"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Section 2.4(i)</w:t>
      </w:r>
    </w:p>
    <w:p>
      <w:pPr>
        <w:spacing w:after="0" w:line="179" w:lineRule="exact"/>
        <w:rPr>
          <w:rFonts w:ascii="Arial" w:cs="Arial" w:eastAsia="Arial" w:hAnsi="Arial"/>
          <w:sz w:val="16"/>
          <w:szCs w:val="16"/>
          <w:color w:val="auto"/>
        </w:rPr>
      </w:pPr>
    </w:p>
    <w:p>
      <w:pPr>
        <w:jc w:val="both"/>
        <w:spacing w:after="0" w:line="241" w:lineRule="auto"/>
        <w:rPr>
          <w:rFonts w:ascii="Arial" w:cs="Arial" w:eastAsia="Arial" w:hAnsi="Arial"/>
          <w:sz w:val="16"/>
          <w:szCs w:val="16"/>
          <w:color w:val="auto"/>
        </w:rPr>
      </w:pPr>
      <w:r>
        <w:rPr>
          <w:rFonts w:ascii="Arial" w:cs="Arial" w:eastAsia="Arial" w:hAnsi="Arial"/>
          <w:sz w:val="20"/>
          <w:szCs w:val="20"/>
          <w:color w:val="auto"/>
        </w:rPr>
        <w:t>(a). “</w:t>
      </w:r>
      <w:r>
        <w:rPr>
          <w:rFonts w:ascii="Arial" w:cs="Arial" w:eastAsia="Arial" w:hAnsi="Arial"/>
          <w:sz w:val="20"/>
          <w:szCs w:val="20"/>
          <w:b w:val="1"/>
          <w:bCs w:val="1"/>
          <w:color w:val="auto"/>
        </w:rPr>
        <w:t>Public Announcement</w:t>
      </w:r>
      <w:r>
        <w:rPr>
          <w:rFonts w:ascii="Arial" w:cs="Arial" w:eastAsia="Arial" w:hAnsi="Arial"/>
          <w:sz w:val="20"/>
          <w:szCs w:val="20"/>
          <w:color w:val="auto"/>
        </w:rPr>
        <w:t>” shall mean disclosure in a press release reported by the Dow Jones News Service, Associated Press or a comparable national news service, in a document publicly filed by the corporation with the Securities and Exchange Commission pursuant to Section 13, 14 or 15(d) of the 1934 Act.</w:t>
      </w:r>
    </w:p>
    <w:p>
      <w:pPr>
        <w:spacing w:after="0" w:line="195" w:lineRule="exact"/>
        <w:rPr>
          <w:rFonts w:ascii="Arial" w:cs="Arial" w:eastAsia="Arial" w:hAnsi="Arial"/>
          <w:sz w:val="16"/>
          <w:szCs w:val="16"/>
          <w:color w:val="auto"/>
        </w:rPr>
      </w:pPr>
    </w:p>
    <w:p>
      <w:pPr>
        <w:jc w:val="both"/>
        <w:ind w:firstLine="1952"/>
        <w:spacing w:after="0" w:line="274" w:lineRule="auto"/>
        <w:tabs>
          <w:tab w:leader="none" w:pos="25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18"/>
          <w:szCs w:val="18"/>
          <w:color w:val="auto"/>
        </w:rPr>
        <w:t>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voting power of the corporation’s voting shares required under applicable law to carry the proposal (such information provided and statements made as required by clauses (1) through (6), a “</w:t>
      </w:r>
      <w:r>
        <w:rPr>
          <w:rFonts w:ascii="Arial" w:cs="Arial" w:eastAsia="Arial" w:hAnsi="Arial"/>
          <w:sz w:val="18"/>
          <w:szCs w:val="18"/>
          <w:b w:val="1"/>
          <w:bCs w:val="1"/>
          <w:color w:val="auto"/>
        </w:rPr>
        <w:t>Business Solicitation Statement</w:t>
      </w:r>
      <w:r>
        <w:rPr>
          <w:rFonts w:ascii="Arial" w:cs="Arial" w:eastAsia="Arial" w:hAnsi="Arial"/>
          <w:sz w:val="18"/>
          <w:szCs w:val="18"/>
          <w:color w:val="auto"/>
        </w:rPr>
        <w:t>”). In addition, to be in proper written form, a stockholder’s notice to the secretary must be supplemented not later than ten days following the record date for the determination of stockholders entitled to notice of the meeting to disclose the information contained in clauses (3) and (4) above as of the record date. For purposes of this Section 2.4, a “</w:t>
      </w:r>
      <w:r>
        <w:rPr>
          <w:rFonts w:ascii="Arial" w:cs="Arial" w:eastAsia="Arial" w:hAnsi="Arial"/>
          <w:sz w:val="18"/>
          <w:szCs w:val="18"/>
          <w:b w:val="1"/>
          <w:bCs w:val="1"/>
          <w:color w:val="auto"/>
        </w:rPr>
        <w:t>Stockholder Associated Person</w:t>
      </w:r>
      <w:r>
        <w:rPr>
          <w:rFonts w:ascii="Arial" w:cs="Arial" w:eastAsia="Arial" w:hAnsi="Arial"/>
          <w:sz w:val="18"/>
          <w:szCs w:val="18"/>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81" w:lineRule="exact"/>
        <w:rPr>
          <w:sz w:val="20"/>
          <w:szCs w:val="20"/>
          <w:color w:val="auto"/>
        </w:rPr>
      </w:pPr>
    </w:p>
    <w:p>
      <w:pPr>
        <w:jc w:val="both"/>
        <w:ind w:firstLine="1952"/>
        <w:spacing w:after="0" w:line="256" w:lineRule="auto"/>
        <w:tabs>
          <w:tab w:leader="none" w:pos="2582" w:val="left"/>
        </w:tabs>
        <w:numPr>
          <w:ilvl w:val="1"/>
          <w:numId w:val="30"/>
        </w:numPr>
        <w:rPr>
          <w:rFonts w:ascii="Arial" w:cs="Arial" w:eastAsia="Arial" w:hAnsi="Arial"/>
          <w:sz w:val="19"/>
          <w:szCs w:val="19"/>
          <w:color w:val="auto"/>
        </w:rPr>
      </w:pPr>
      <w:r>
        <w:rPr>
          <w:rFonts w:ascii="Arial" w:cs="Arial" w:eastAsia="Arial" w:hAnsi="Arial"/>
          <w:sz w:val="19"/>
          <w:szCs w:val="19"/>
          <w:color w:val="auto"/>
        </w:rPr>
        <w:t>A stockholder providing written notice required by this Section 2.4(i) shall update and supplement such notice in writing, if necessary, so that the information provided or required to be provided in such notice is true and correct in all material respects as of (i) the record date for the meeting and (ii) the date that is five business days prior to the meeting and, in the event of any adjournment or postponement thereof, five business days prior to such adjourned or postponed meeting. In the case of an update and supplement pursuant to clause (i) of this Section 2.4(i)(c), such update and supplement shall be received by the secretary at the principal executive offices of the corporation not later than five business days after the record date for the meeting. In the case of an update and supplement pursuant to clause (ii) of this Section 2.4(i)(c),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84" w:lineRule="exact"/>
        <w:rPr>
          <w:rFonts w:ascii="Arial" w:cs="Arial" w:eastAsia="Arial" w:hAnsi="Arial"/>
          <w:sz w:val="19"/>
          <w:szCs w:val="19"/>
          <w:color w:val="auto"/>
        </w:rPr>
      </w:pPr>
    </w:p>
    <w:p>
      <w:pPr>
        <w:jc w:val="both"/>
        <w:ind w:firstLine="1952"/>
        <w:spacing w:after="0" w:line="256" w:lineRule="auto"/>
        <w:tabs>
          <w:tab w:leader="none" w:pos="25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184" w:lineRule="exact"/>
        <w:rPr>
          <w:rFonts w:ascii="Arial" w:cs="Arial" w:eastAsia="Arial" w:hAnsi="Arial"/>
          <w:sz w:val="19"/>
          <w:szCs w:val="19"/>
          <w:color w:val="auto"/>
        </w:rPr>
      </w:pPr>
    </w:p>
    <w:p>
      <w:pPr>
        <w:jc w:val="both"/>
        <w:ind w:firstLine="1304"/>
        <w:spacing w:after="0" w:line="291" w:lineRule="auto"/>
        <w:tabs>
          <w:tab w:leader="none" w:pos="194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of Director Nominations at Annual Meetings. </w:t>
      </w:r>
      <w:r>
        <w:rPr>
          <w:rFonts w:ascii="Arial" w:cs="Arial" w:eastAsia="Arial" w:hAnsi="Arial"/>
          <w:sz w:val="18"/>
          <w:szCs w:val="18"/>
          <w:color w:val="auto"/>
        </w:rPr>
        <w:t>Notwithstanding anything in these bylaws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only persons who are nominated in accordance with the procedures set forth in this Section 2.4(ii) shall be eligible for election or re-election as directors at an annual meeting of stockholders. Nominations of persons for election to the board of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19"/>
          <w:szCs w:val="19"/>
          <w:color w:val="auto"/>
        </w:rPr>
        <w:t>corporation shall be made at an annual meeting of stockholders only (A) by or at the direction of the board of directors or (B) by a stockholder of the corporation who (1) was a stockholder of record at the time of the giving of the notice required by this Section 2.4(ii)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80" w:lineRule="exact"/>
        <w:rPr>
          <w:sz w:val="20"/>
          <w:szCs w:val="20"/>
          <w:color w:val="auto"/>
        </w:rPr>
      </w:pPr>
    </w:p>
    <w:p>
      <w:pPr>
        <w:jc w:val="both"/>
        <w:ind w:firstLine="1952"/>
        <w:spacing w:after="0" w:line="272" w:lineRule="auto"/>
        <w:tabs>
          <w:tab w:leader="none" w:pos="2582"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provided additionally, however, that in the event that the number of directors to be elected to the board of directors is increased and there is no Public Announcement naming all of the nominees for director or specifying the size of the increased board made by the corporation at least ten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of the corporation at the principal executive offices of the corporation not later than the close of business on the tenth day following the day on which such Public Announcement is first made by the corporation.</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To be in proper written form, such stockholder’s notice to the secretary must set forth:</w:t>
      </w:r>
    </w:p>
    <w:p>
      <w:pPr>
        <w:spacing w:after="0" w:line="209" w:lineRule="exact"/>
        <w:rPr>
          <w:rFonts w:ascii="Arial" w:cs="Arial" w:eastAsia="Arial" w:hAnsi="Arial"/>
          <w:sz w:val="20"/>
          <w:szCs w:val="20"/>
          <w:color w:val="auto"/>
        </w:rPr>
      </w:pPr>
    </w:p>
    <w:p>
      <w:pPr>
        <w:ind w:left="3240" w:hanging="640"/>
        <w:spacing w:after="0"/>
        <w:tabs>
          <w:tab w:leader="none" w:pos="32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as to each person (a “</w:t>
      </w:r>
      <w:r>
        <w:rPr>
          <w:rFonts w:ascii="Arial" w:cs="Arial" w:eastAsia="Arial" w:hAnsi="Arial"/>
          <w:sz w:val="18"/>
          <w:szCs w:val="18"/>
          <w:b w:val="1"/>
          <w:bCs w:val="1"/>
          <w:color w:val="auto"/>
        </w:rPr>
        <w:t>nominee</w:t>
      </w:r>
      <w:r>
        <w:rPr>
          <w:rFonts w:ascii="Arial" w:cs="Arial" w:eastAsia="Arial" w:hAnsi="Arial"/>
          <w:sz w:val="18"/>
          <w:szCs w:val="18"/>
          <w:color w:val="auto"/>
        </w:rPr>
        <w:t>”) whom the stockholder proposes to nominate for election or re-</w:t>
      </w:r>
    </w:p>
    <w:p>
      <w:pPr>
        <w:spacing w:after="0" w:line="44"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9"/>
          <w:szCs w:val="19"/>
          <w:color w:val="auto"/>
        </w:rPr>
        <w:t>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any of the stockholder, each nominee and/or any other person or persons (naming such person or persons) pursuant to which the nominations are to be made by the stockholder or relating to the nominee’s potential service on the board of directors,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188" w:lineRule="exact"/>
        <w:rPr>
          <w:rFonts w:ascii="Arial" w:cs="Arial" w:eastAsia="Arial" w:hAnsi="Arial"/>
          <w:sz w:val="18"/>
          <w:szCs w:val="18"/>
          <w:color w:val="auto"/>
        </w:rPr>
      </w:pPr>
    </w:p>
    <w:p>
      <w:pPr>
        <w:ind w:left="3240" w:hanging="640"/>
        <w:spacing w:after="0"/>
        <w:tabs>
          <w:tab w:leader="none" w:pos="32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as to such stockholder giving notice, (A) the information required to be provided pursuant to clauses</w:t>
      </w:r>
    </w:p>
    <w:p>
      <w:pPr>
        <w:spacing w:after="0" w:line="38" w:lineRule="exact"/>
        <w:rPr>
          <w:rFonts w:ascii="Arial" w:cs="Arial" w:eastAsia="Arial" w:hAnsi="Arial"/>
          <w:sz w:val="18"/>
          <w:szCs w:val="18"/>
          <w:color w:val="auto"/>
        </w:rPr>
      </w:pPr>
    </w:p>
    <w:p>
      <w:pPr>
        <w:ind w:right="20" w:firstLine="8"/>
        <w:spacing w:after="0" w:line="297" w:lineRule="auto"/>
        <w:tabs>
          <w:tab w:leader="none" w:pos="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(5) of Section 2.4(i)(b) above, and the supplement referenced in the second sentence of Section 2.4(i)(b) above (except that the references to “business” in such clauses shall instead refer to nominations of directors for purposes of this paragraph), and (B)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76" w:name="page77"/>
    <w:bookmarkEnd w:id="76"/>
    <w:p>
      <w:pPr>
        <w:jc w:val="both"/>
        <w:spacing w:after="0" w:line="246" w:lineRule="auto"/>
        <w:rPr>
          <w:sz w:val="20"/>
          <w:szCs w:val="20"/>
          <w:color w:val="auto"/>
        </w:rPr>
      </w:pPr>
      <w:r>
        <w:rPr>
          <w:rFonts w:ascii="Arial" w:cs="Arial" w:eastAsia="Arial" w:hAnsi="Arial"/>
          <w:sz w:val="20"/>
          <w:szCs w:val="20"/>
          <w:color w:val="auto"/>
        </w:rPr>
        <w:t>statement whether either such stockholder or Stockholder Associated Person will deliver a proxy statement and form of proxy to holders at least the percentage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20"/>
          <w:szCs w:val="20"/>
          <w:b w:val="1"/>
          <w:bCs w:val="1"/>
          <w:color w:val="auto"/>
        </w:rPr>
        <w:t>Nominee</w:t>
      </w:r>
      <w:r>
        <w:rPr>
          <w:rFonts w:ascii="Arial" w:cs="Arial" w:eastAsia="Arial" w:hAnsi="Arial"/>
          <w:sz w:val="20"/>
          <w:szCs w:val="20"/>
          <w:color w:val="auto"/>
        </w:rPr>
        <w:t xml:space="preserve"> </w:t>
      </w:r>
      <w:r>
        <w:rPr>
          <w:rFonts w:ascii="Arial" w:cs="Arial" w:eastAsia="Arial" w:hAnsi="Arial"/>
          <w:sz w:val="20"/>
          <w:szCs w:val="20"/>
          <w:b w:val="1"/>
          <w:bCs w:val="1"/>
          <w:color w:val="auto"/>
        </w:rPr>
        <w:t>Solicitation Statement</w:t>
      </w:r>
      <w:r>
        <w:rPr>
          <w:rFonts w:ascii="Arial" w:cs="Arial" w:eastAsia="Arial" w:hAnsi="Arial"/>
          <w:sz w:val="20"/>
          <w:szCs w:val="20"/>
          <w:color w:val="auto"/>
        </w:rPr>
        <w:t>”).</w:t>
      </w:r>
    </w:p>
    <w:p>
      <w:pPr>
        <w:spacing w:after="0" w:line="191" w:lineRule="exact"/>
        <w:rPr>
          <w:sz w:val="20"/>
          <w:szCs w:val="20"/>
          <w:color w:val="auto"/>
        </w:rPr>
      </w:pPr>
    </w:p>
    <w:p>
      <w:pPr>
        <w:jc w:val="both"/>
        <w:ind w:firstLine="1952"/>
        <w:spacing w:after="0" w:line="243" w:lineRule="auto"/>
        <w:tabs>
          <w:tab w:leader="none" w:pos="2582" w:val="left"/>
        </w:tabs>
        <w:numPr>
          <w:ilvl w:val="0"/>
          <w:numId w:val="34"/>
        </w:numPr>
        <w:rPr>
          <w:rFonts w:ascii="Arial" w:cs="Arial" w:eastAsia="Arial" w:hAnsi="Arial"/>
          <w:sz w:val="20"/>
          <w:szCs w:val="20"/>
          <w:color w:val="auto"/>
        </w:rPr>
      </w:pPr>
      <w:r>
        <w:rPr>
          <w:rFonts w:ascii="Arial" w:cs="Arial" w:eastAsia="Arial" w:hAnsi="Arial"/>
          <w:sz w:val="20"/>
          <w:szCs w:val="20"/>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192" w:lineRule="exact"/>
        <w:rPr>
          <w:rFonts w:ascii="Arial" w:cs="Arial" w:eastAsia="Arial" w:hAnsi="Arial"/>
          <w:sz w:val="20"/>
          <w:szCs w:val="20"/>
          <w:color w:val="auto"/>
        </w:rPr>
      </w:pPr>
    </w:p>
    <w:p>
      <w:pPr>
        <w:jc w:val="both"/>
        <w:ind w:firstLine="1952"/>
        <w:spacing w:after="0" w:line="256" w:lineRule="auto"/>
        <w:tabs>
          <w:tab w:leader="none" w:pos="25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stockholder providing written notice required by this Section 2.4(ii) shall update and supplement such notice in writing, if necessary, so that the information provided or required to be provided in such notice is true and correct in all material respects as of (i) the record date for the meeting and (ii) the date that is five business days prior to the meeting and, in the event of any adjournment or postponement thereof, five business days prior to such adjourned or postponed meeting. In the case of an update and supplement pursuant to clause (i) of this Section 2.4(ii)(d), such update and supplement shall be received by the secretary at the principal executive offices of the corporation not later than five business days after the record date for the meeting. In the case of an update and supplement pursuant to clause (ii) of this Section 2.4(ii)(d),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84" w:lineRule="exact"/>
        <w:rPr>
          <w:rFonts w:ascii="Arial" w:cs="Arial" w:eastAsia="Arial" w:hAnsi="Arial"/>
          <w:sz w:val="19"/>
          <w:szCs w:val="19"/>
          <w:color w:val="auto"/>
        </w:rPr>
      </w:pPr>
    </w:p>
    <w:p>
      <w:pPr>
        <w:jc w:val="both"/>
        <w:ind w:firstLine="1952"/>
        <w:spacing w:after="0" w:line="273" w:lineRule="auto"/>
        <w:tabs>
          <w:tab w:leader="none" w:pos="25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68" w:lineRule="exact"/>
        <w:rPr>
          <w:rFonts w:ascii="Arial" w:cs="Arial" w:eastAsia="Arial" w:hAnsi="Arial"/>
          <w:sz w:val="18"/>
          <w:szCs w:val="18"/>
          <w:color w:val="auto"/>
        </w:rPr>
      </w:pPr>
    </w:p>
    <w:p>
      <w:pPr>
        <w:jc w:val="both"/>
        <w:ind w:firstLine="1952"/>
        <w:spacing w:after="0" w:line="276" w:lineRule="auto"/>
        <w:tabs>
          <w:tab w:leader="none" w:pos="25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eligible to be a nominee for election as a director of the corporation, the proposed nominee must deliver (in accordance with the time periods prescribed for delivery of notice under this Section 2.4(iii) to the secretary at the principal executive offices of the corporation a written questionnaire with respect to the background and qualification of such proposed nominee (which questionnaire shall be provided by the secretary upon written request) and a written representation and agreement (in form provided by the secretary upon written request) that such proposed nominee (i) is not and will not become a party to (A) any agreement, arrangement or understanding with, and has not given any commitment or assurance to, any person or entity as to how such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77" w:name="page78"/>
    <w:bookmarkEnd w:id="77"/>
    <w:p>
      <w:pPr>
        <w:jc w:val="both"/>
        <w:spacing w:after="0" w:line="242" w:lineRule="auto"/>
        <w:rPr>
          <w:sz w:val="20"/>
          <w:szCs w:val="20"/>
          <w:color w:val="auto"/>
        </w:rPr>
      </w:pPr>
      <w:r>
        <w:rPr>
          <w:rFonts w:ascii="Arial" w:cs="Arial" w:eastAsia="Arial" w:hAnsi="Arial"/>
          <w:sz w:val="20"/>
          <w:szCs w:val="20"/>
          <w:color w:val="auto"/>
        </w:rPr>
        <w:t>nominee, if elected as a director of the corporation, will act or vote on any issue or question (a “</w:t>
      </w:r>
      <w:r>
        <w:rPr>
          <w:rFonts w:ascii="Arial" w:cs="Arial" w:eastAsia="Arial" w:hAnsi="Arial"/>
          <w:sz w:val="20"/>
          <w:szCs w:val="20"/>
          <w:b w:val="1"/>
          <w:bCs w:val="1"/>
          <w:color w:val="auto"/>
        </w:rPr>
        <w:t>Voting Commitment</w:t>
      </w:r>
      <w:r>
        <w:rPr>
          <w:rFonts w:ascii="Arial" w:cs="Arial" w:eastAsia="Arial" w:hAnsi="Arial"/>
          <w:sz w:val="20"/>
          <w:szCs w:val="20"/>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(iii) in such proposed nominee’s individual capacity and on behalf of the stockholder (or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200" w:lineRule="exact"/>
        <w:rPr>
          <w:sz w:val="20"/>
          <w:szCs w:val="20"/>
          <w:color w:val="auto"/>
        </w:rPr>
      </w:pPr>
    </w:p>
    <w:p>
      <w:pPr>
        <w:ind w:left="1960" w:hanging="656"/>
        <w:spacing w:after="0"/>
        <w:tabs>
          <w:tab w:leader="none" w:pos="1960" w:val="left"/>
        </w:tabs>
        <w:numPr>
          <w:ilvl w:val="0"/>
          <w:numId w:val="35"/>
        </w:numPr>
        <w:rPr>
          <w:rFonts w:ascii="Arial" w:cs="Arial" w:eastAsia="Arial" w:hAnsi="Arial"/>
          <w:sz w:val="20"/>
          <w:szCs w:val="20"/>
          <w:color w:val="auto"/>
        </w:rPr>
      </w:pPr>
      <w:r>
        <w:rPr>
          <w:rFonts w:ascii="Arial" w:cs="Arial" w:eastAsia="Arial" w:hAnsi="Arial"/>
          <w:sz w:val="20"/>
          <w:szCs w:val="20"/>
          <w:i w:val="1"/>
          <w:iCs w:val="1"/>
          <w:color w:val="auto"/>
        </w:rPr>
        <w:t>Advance Notice of Director Nominations for Special Meetings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269" w:lineRule="auto"/>
        <w:tabs>
          <w:tab w:leader="none" w:pos="2582"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for the giving of a stockholder’s notice.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78" w:lineRule="exact"/>
        <w:rPr>
          <w:rFonts w:ascii="Arial" w:cs="Arial" w:eastAsia="Arial" w:hAnsi="Arial"/>
          <w:sz w:val="18"/>
          <w:szCs w:val="18"/>
          <w:color w:val="auto"/>
        </w:rPr>
      </w:pPr>
    </w:p>
    <w:p>
      <w:pPr>
        <w:jc w:val="both"/>
        <w:ind w:firstLine="1952"/>
        <w:spacing w:after="0" w:line="269" w:lineRule="auto"/>
        <w:tabs>
          <w:tab w:leader="none" w:pos="25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69" w:lineRule="exact"/>
        <w:rPr>
          <w:rFonts w:ascii="Arial" w:cs="Arial" w:eastAsia="Arial" w:hAnsi="Arial"/>
          <w:sz w:val="19"/>
          <w:szCs w:val="19"/>
          <w:color w:val="auto"/>
        </w:rPr>
      </w:pPr>
    </w:p>
    <w:p>
      <w:pPr>
        <w:jc w:val="both"/>
        <w:ind w:firstLine="1304"/>
        <w:spacing w:after="0" w:line="244" w:lineRule="auto"/>
        <w:tabs>
          <w:tab w:leader="none" w:pos="1918" w:val="left"/>
        </w:tabs>
        <w:numPr>
          <w:ilvl w:val="0"/>
          <w:numId w:val="35"/>
        </w:numPr>
        <w:rPr>
          <w:rFonts w:ascii="Arial" w:cs="Arial" w:eastAsia="Arial" w:hAnsi="Arial"/>
          <w:sz w:val="20"/>
          <w:szCs w:val="20"/>
          <w:color w:val="auto"/>
        </w:rPr>
      </w:pPr>
      <w:r>
        <w:rPr>
          <w:rFonts w:ascii="Arial" w:cs="Arial" w:eastAsia="Arial" w:hAnsi="Arial"/>
          <w:sz w:val="20"/>
          <w:szCs w:val="20"/>
          <w:i w:val="1"/>
          <w:iCs w:val="1"/>
          <w:color w:val="auto"/>
        </w:rPr>
        <w:t>Other Requirements and Rights</w:t>
      </w:r>
      <w:r>
        <w:rPr>
          <w:rFonts w:ascii="Arial" w:cs="Arial" w:eastAsia="Arial" w:hAnsi="Arial"/>
          <w:sz w:val="20"/>
          <w:szCs w:val="20"/>
          <w:color w:val="auto"/>
        </w:rPr>
        <w:t>. In addition to the foregoing provisions of this Section 2.4, a stockholder must also</w:t>
      </w:r>
      <w:r>
        <w:rPr>
          <w:rFonts w:ascii="Arial" w:cs="Arial" w:eastAsia="Arial" w:hAnsi="Arial"/>
          <w:sz w:val="20"/>
          <w:szCs w:val="20"/>
          <w:i w:val="1"/>
          <w:iCs w:val="1"/>
          <w:color w:val="auto"/>
        </w:rPr>
        <w:t xml:space="preserve"> </w:t>
      </w:r>
      <w:r>
        <w:rPr>
          <w:rFonts w:ascii="Arial" w:cs="Arial" w:eastAsia="Arial" w:hAnsi="Arial"/>
          <w:sz w:val="20"/>
          <w:szCs w:val="20"/>
          <w:color w:val="auto"/>
        </w:rPr>
        <w:t>comply with all 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20"/>
          <w:szCs w:val="20"/>
          <w:color w:val="auto"/>
        </w:rPr>
        <w:t>shall be deemed to affect any right of the corporation to omit a proposal from the corporation’s proxy statement pursuant to Rule 14a-8 (or any successor provision) under the 1934 Act.</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2.5 </w:t>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 Whenever stockholders are required or permitted to take any action at a meeting, a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Quorum</w:t>
      </w:r>
      <w:r>
        <w:rPr>
          <w:rFonts w:ascii="Arial" w:cs="Arial" w:eastAsia="Arial" w:hAnsi="Arial"/>
          <w:sz w:val="16"/>
          <w:szCs w:val="16"/>
          <w:color w:val="auto"/>
        </w:rPr>
        <w:t>. The holders of a majority of the voting power of the stock issued and outstanding and entitled to vote, present in</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represented by proxy, shall constitute a quorum for the transaction of business at all meetings of the stockholders, unless otherwise required by law, the certificate of incorporation, these bylaws or the rules of any applicable stock exchange. Where a separate vote by a class or series or classes or series is required, a majority of the voting power of the issued and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A quorum, once established, shall not be broken by the subsequent withdrawal of enough votes to leave less than a quorum. At any such adjourned meeting at which there is a quorum, any business may be transacted that might have been transacted at the meeting originally called.</w:t>
      </w:r>
    </w:p>
    <w:p>
      <w:pPr>
        <w:spacing w:after="0" w:line="14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Whether or not a quorum is present at a meeting of stockholders, the chairperson of the meeting shall have power to adjourn the meeting from time to time, without notice other than announcement at the meeting. At such adjourned meeting at which a quorum is present or represented, any business may be transacted that might have been transacted at the original meeting.</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u w:val="single" w:color="auto"/>
          <w:color w:val="auto"/>
        </w:rPr>
        <w:t>Adjourned Meeting; Notice</w:t>
      </w:r>
      <w:r>
        <w:rPr>
          <w:rFonts w:ascii="Arial" w:cs="Arial" w:eastAsia="Arial" w:hAnsi="Arial"/>
          <w:sz w:val="18"/>
          <w:szCs w:val="18"/>
          <w:color w:val="auto"/>
        </w:rPr>
        <w:t>. When a meeting is adjourned to another time or place, unless these bylaws otherwise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The chairperson of any meeting of stockholders shall determine the order of business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at the meeting, including such regulation of the manner of voting and the conduct of business. The chairperson of any meeting of stockholders shall be designated by the board of directors; in the absence of such designation, the chairman of the board, if any, the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79" w:name="page80"/>
    <w:bookmarkEnd w:id="79"/>
    <w:p>
      <w:pPr>
        <w:jc w:val="both"/>
        <w:spacing w:after="0" w:line="316" w:lineRule="auto"/>
        <w:rPr>
          <w:sz w:val="20"/>
          <w:szCs w:val="20"/>
          <w:color w:val="auto"/>
        </w:rPr>
      </w:pPr>
      <w:r>
        <w:rPr>
          <w:rFonts w:ascii="Arial" w:cs="Arial" w:eastAsia="Arial" w:hAnsi="Arial"/>
          <w:sz w:val="18"/>
          <w:szCs w:val="18"/>
          <w:color w:val="auto"/>
        </w:rPr>
        <w:t>executive officer (in the absence of the chairman) or the president (in the absence of the chairman of the board and the chief executive officer), or in their absence any other executive officer of the corporation, shall serve as chairperson of the stockholder meeting.</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2.9 </w:t>
      </w:r>
      <w:r>
        <w:rPr>
          <w:rFonts w:ascii="Arial" w:cs="Arial" w:eastAsia="Arial" w:hAnsi="Arial"/>
          <w:sz w:val="20"/>
          <w:szCs w:val="20"/>
          <w:u w:val="single" w:color="auto"/>
          <w:color w:val="auto"/>
        </w:rPr>
        <w:t>Voting</w:t>
      </w:r>
      <w:r>
        <w:rPr>
          <w:rFonts w:ascii="Arial" w:cs="Arial" w:eastAsia="Arial" w:hAnsi="Arial"/>
          <w:sz w:val="20"/>
          <w:szCs w:val="20"/>
          <w:color w:val="auto"/>
        </w:rPr>
        <w:t>. The stockholders entitled to vote at any meeting of stockholders shall be determined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Section 2.11 of these bylaws, subject to Section 217 (relating to voting rights of fiduciaries, pledgors and joint owners of stock) and Section 218 (relating to voting trusts and other voting agreements) of the DGCL.</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Except as may be otherwise provided in the certificate of incorporation, each stockholder shall be entitled to one vote for each share of capital stock held by such stockholder.</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Except as otherwise required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these bylaws or the rules of any applicable stock exchange,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shares of such class or series or classes or series present in person or represented by proxy at the meeting shall be the act of such class or series or classes or series, except as otherwise provided by law, the certificate of incorporation, these bylaws or the rules of any applicable stock exchange. Voting at meetings of stockholders need not be by written ballot.</w:t>
      </w:r>
    </w:p>
    <w:p>
      <w:pPr>
        <w:spacing w:after="0" w:line="16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2.10 </w:t>
      </w:r>
      <w:r>
        <w:rPr>
          <w:rFonts w:ascii="Arial" w:cs="Arial" w:eastAsia="Arial" w:hAnsi="Arial"/>
          <w:sz w:val="19"/>
          <w:szCs w:val="19"/>
          <w:u w:val="single" w:color="auto"/>
          <w:color w:val="auto"/>
        </w:rPr>
        <w:t>Stockholder Action by Written Consent Without a Meeting</w:t>
      </w:r>
      <w:r>
        <w:rPr>
          <w:rFonts w:ascii="Arial" w:cs="Arial" w:eastAsia="Arial" w:hAnsi="Arial"/>
          <w:sz w:val="19"/>
          <w:szCs w:val="19"/>
          <w:color w:val="auto"/>
        </w:rPr>
        <w:t>. Subject to the rights of the holders of the shares of any series of</w:t>
      </w:r>
      <w:r>
        <w:rPr>
          <w:rFonts w:ascii="Arial" w:cs="Arial" w:eastAsia="Arial" w:hAnsi="Arial"/>
          <w:sz w:val="19"/>
          <w:szCs w:val="19"/>
          <w:b w:val="1"/>
          <w:bCs w:val="1"/>
          <w:color w:val="auto"/>
        </w:rPr>
        <w:t xml:space="preserve"> </w:t>
      </w:r>
      <w:r>
        <w:rPr>
          <w:rFonts w:ascii="Arial" w:cs="Arial" w:eastAsia="Arial" w:hAnsi="Arial"/>
          <w:sz w:val="19"/>
          <w:szCs w:val="19"/>
          <w:color w:val="auto"/>
        </w:rPr>
        <w:t>preferred stock or any other class of stock or series thereof that have been expressly granted the right to take action by written consent,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u w:val="single" w:color="auto"/>
          <w:color w:val="auto"/>
        </w:rPr>
        <w:t>Record Dates</w:t>
      </w:r>
      <w:r>
        <w:rPr>
          <w:rFonts w:ascii="Arial" w:cs="Arial" w:eastAsia="Arial" w:hAnsi="Arial"/>
          <w:sz w:val="19"/>
          <w:szCs w:val="19"/>
          <w:color w:val="auto"/>
        </w:rPr>
        <w:t>. In order that the corporation may determine the stockholders entitled to notice of any meeting of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80" w:name="page81"/>
    <w:bookmarkEnd w:id="80"/>
    <w:p>
      <w:pPr>
        <w:jc w:val="both"/>
        <w:ind w:right="20"/>
        <w:spacing w:after="0" w:line="260" w:lineRule="auto"/>
        <w:rPr>
          <w:sz w:val="20"/>
          <w:szCs w:val="20"/>
          <w:color w:val="auto"/>
        </w:rPr>
      </w:pPr>
      <w:r>
        <w:rPr>
          <w:rFonts w:ascii="Arial" w:cs="Arial" w:eastAsia="Arial" w:hAnsi="Arial"/>
          <w:sz w:val="20"/>
          <w:szCs w:val="20"/>
          <w:color w:val="auto"/>
        </w:rPr>
        <w:t>the same or an earlier date as that fixed for determination of stockholders entitled to vote in accordance with the provisions of Section 213 of the DGCL and this Section 2.11 at the adjourned meeting.</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2.12 </w:t>
      </w:r>
      <w:r>
        <w:rPr>
          <w:rFonts w:ascii="Arial" w:cs="Arial" w:eastAsia="Arial" w:hAnsi="Arial"/>
          <w:sz w:val="20"/>
          <w:szCs w:val="20"/>
          <w:u w:val="single" w:color="auto"/>
          <w:color w:val="auto"/>
        </w:rPr>
        <w:t>Proxies</w:t>
      </w:r>
      <w:r>
        <w:rPr>
          <w:rFonts w:ascii="Arial" w:cs="Arial" w:eastAsia="Arial" w:hAnsi="Arial"/>
          <w:sz w:val="20"/>
          <w:szCs w:val="20"/>
          <w:color w:val="auto"/>
        </w:rPr>
        <w:t>. Each stockholder entitled to vote at a meeting of stockholders may authorize another person or persons to act for</w:t>
      </w:r>
      <w:r>
        <w:rPr>
          <w:rFonts w:ascii="Arial" w:cs="Arial" w:eastAsia="Arial" w:hAnsi="Arial"/>
          <w:sz w:val="20"/>
          <w:szCs w:val="20"/>
          <w:b w:val="1"/>
          <w:bCs w:val="1"/>
          <w:color w:val="auto"/>
        </w:rPr>
        <w:t xml:space="preserve"> </w:t>
      </w:r>
      <w:r>
        <w:rPr>
          <w:rFonts w:ascii="Arial" w:cs="Arial" w:eastAsia="Arial" w:hAnsi="Arial"/>
          <w:sz w:val="20"/>
          <w:szCs w:val="20"/>
          <w:color w:val="auto"/>
        </w:rPr>
        <w:t>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2.13 </w:t>
      </w:r>
      <w:r>
        <w:rPr>
          <w:rFonts w:ascii="Arial" w:cs="Arial" w:eastAsia="Arial" w:hAnsi="Arial"/>
          <w:sz w:val="19"/>
          <w:szCs w:val="19"/>
          <w:u w:val="single" w:color="auto"/>
          <w:color w:val="auto"/>
        </w:rPr>
        <w:t>List of Stockholders Entitled to Vote</w:t>
      </w:r>
      <w:r>
        <w:rPr>
          <w:rFonts w:ascii="Arial" w:cs="Arial" w:eastAsia="Arial" w:hAnsi="Arial"/>
          <w:sz w:val="19"/>
          <w:szCs w:val="19"/>
          <w:color w:val="auto"/>
        </w:rPr>
        <w:t>. The officer who has charge of the stock ledger of the corporation shall prepare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make, at least 10 days before every meeting of stockholders, a complete list of the stockholders entitled to vote at the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if the record date for determining the stockholders entitled to vote is less than 10 days before the meeting date, the list shall reflect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information required to gain access to such list is provided with the notice of the meeting, or (ii) during ordinary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81" w:name="page82"/>
    <w:bookmarkEnd w:id="81"/>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 Before any meeting of stockholders, the board of directors shall appoint an inspector or inspectors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provided further that, in any case, if no inspector or alternate is able to act at a meeting of stockholders, the chairperson of the meeting shall appoint at least one (1) inspector to act at the meeting.</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inspector, before entering upon the discharge of his or her duties, shall take and sign an oath to execute faithfully the duties of inspector with strict impartiality and according to the best of his or her ability. Such inspectors shall:</w:t>
      </w:r>
    </w:p>
    <w:p>
      <w:pPr>
        <w:spacing w:after="0" w:line="177" w:lineRule="exact"/>
        <w:rPr>
          <w:sz w:val="20"/>
          <w:szCs w:val="20"/>
          <w:color w:val="auto"/>
        </w:rPr>
      </w:pPr>
    </w:p>
    <w:p>
      <w:pPr>
        <w:ind w:firstLine="1304"/>
        <w:spacing w:after="0" w:line="260" w:lineRule="auto"/>
        <w:tabs>
          <w:tab w:leader="none" w:pos="1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determine the number of shares outstanding and the voting power of each, the number of shares represented at the meeting, the existence of a quorum, and the authenticity, validity, and effect of proxies;</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receive votes, ballots or consents;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hear and determine all challenges and questions in any way arising in connection with the right to vote;</w:t>
      </w:r>
    </w:p>
    <w:p>
      <w:pPr>
        <w:spacing w:after="0" w:line="215" w:lineRule="exact"/>
        <w:rPr>
          <w:rFonts w:ascii="Arial" w:cs="Arial" w:eastAsia="Arial" w:hAnsi="Arial"/>
          <w:sz w:val="20"/>
          <w:szCs w:val="20"/>
          <w:color w:val="auto"/>
        </w:rPr>
      </w:pPr>
    </w:p>
    <w:p>
      <w:pPr>
        <w:ind w:left="1920" w:hanging="616"/>
        <w:spacing w:after="0"/>
        <w:tabs>
          <w:tab w:leader="none" w:pos="19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count and tabulate all votes or consents;</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determine when the polls shall close;</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determine the result; and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do any other acts that may be proper to conduct the election or vote with fairness to all stockholders.</w:t>
      </w:r>
    </w:p>
    <w:p>
      <w:pPr>
        <w:spacing w:after="0" w:line="21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 xml:space="preserve">The inspectors of election shall perform their duties impartially, in good faith, to the best of their ability and as expeditiously as is practical. If there are three (3)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4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III - DIRECTORS</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u w:val="single" w:color="auto"/>
          <w:color w:val="auto"/>
        </w:rPr>
        <w:t>Powers</w:t>
      </w:r>
      <w:r>
        <w:rPr>
          <w:rFonts w:ascii="Arial" w:cs="Arial" w:eastAsia="Arial" w:hAnsi="Arial"/>
          <w:sz w:val="20"/>
          <w:szCs w:val="20"/>
          <w:color w:val="auto"/>
        </w:rPr>
        <w:t>. The business and affairs of the corporation shall be managed by or under the direction of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may be otherwise provided in the DGCL or the certificate of incorporation.</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u w:val="single" w:color="auto"/>
          <w:color w:val="auto"/>
        </w:rPr>
        <w:t>Number of Directors</w:t>
      </w:r>
      <w:r>
        <w:rPr>
          <w:rFonts w:ascii="Arial" w:cs="Arial" w:eastAsia="Arial" w:hAnsi="Arial"/>
          <w:sz w:val="20"/>
          <w:szCs w:val="20"/>
          <w:color w:val="auto"/>
        </w:rPr>
        <w:t>. The board of directors shall consist of one or more members, each of whom shall be a natural person.</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the certificate of incorporation fixes the number of directors, the number of directors shall be determined from time to time by resolution of the board of directors. No reduction of the authorized number of directors shall have the effect of removing any director before that director’s term of office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3" w:right="339" w:bottom="1440" w:gutter="0" w:footer="0" w:header="0"/>
        </w:sectPr>
      </w:pPr>
    </w:p>
    <w:bookmarkStart w:id="82" w:name="page83"/>
    <w:bookmarkEnd w:id="82"/>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3.3 </w:t>
      </w:r>
      <w:r>
        <w:rPr>
          <w:rFonts w:ascii="Arial" w:cs="Arial" w:eastAsia="Arial" w:hAnsi="Arial"/>
          <w:sz w:val="20"/>
          <w:szCs w:val="20"/>
          <w:u w:val="single" w:color="auto"/>
          <w:color w:val="auto"/>
        </w:rPr>
        <w:t>Election, Qualification and Term of Office of Directors</w:t>
      </w:r>
      <w:r>
        <w:rPr>
          <w:rFonts w:ascii="Arial" w:cs="Arial" w:eastAsia="Arial" w:hAnsi="Arial"/>
          <w:sz w:val="20"/>
          <w:szCs w:val="20"/>
          <w:color w:val="auto"/>
        </w:rPr>
        <w:t>. Except as provided in Section 3.4 of these bylaws, each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accordance with the provisions of the certificate of incorporation, the directors of the corporation shall be divided into three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classes.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u w:val="single" w:color="auto"/>
          <w:color w:val="auto"/>
        </w:rPr>
        <w:t>Resignation and Vacancies</w:t>
      </w:r>
      <w:r>
        <w:rPr>
          <w:rFonts w:ascii="Arial" w:cs="Arial" w:eastAsia="Arial" w:hAnsi="Arial"/>
          <w:sz w:val="19"/>
          <w:szCs w:val="19"/>
          <w:color w:val="auto"/>
        </w:rPr>
        <w:t>. Any director may resign at any time upon notice given in writing or by electronic transmission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shall be filled only by a majority of the directors then in office, although less than a quorum, or by a sole remaining director.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Delaware Court of Chancery for a decree summarily ordering an election as provided in Section 211 of the DGCL.</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power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3.5 </w:t>
      </w:r>
      <w:r>
        <w:rPr>
          <w:rFonts w:ascii="Arial" w:cs="Arial" w:eastAsia="Arial" w:hAnsi="Arial"/>
          <w:sz w:val="20"/>
          <w:szCs w:val="20"/>
          <w:u w:val="single" w:color="auto"/>
          <w:color w:val="auto"/>
        </w:rPr>
        <w:t>Place of Meetings; Meetings by Telephone</w:t>
      </w:r>
      <w:r>
        <w:rPr>
          <w:rFonts w:ascii="Arial" w:cs="Arial" w:eastAsia="Arial" w:hAnsi="Arial"/>
          <w:sz w:val="20"/>
          <w:szCs w:val="20"/>
          <w:color w:val="auto"/>
        </w:rPr>
        <w:t>. The board of directors may hold meetings, both regular and special, either within</w:t>
      </w:r>
      <w:r>
        <w:rPr>
          <w:rFonts w:ascii="Arial" w:cs="Arial" w:eastAsia="Arial" w:hAnsi="Arial"/>
          <w:sz w:val="20"/>
          <w:szCs w:val="20"/>
          <w:b w:val="1"/>
          <w:bCs w:val="1"/>
          <w:color w:val="auto"/>
        </w:rPr>
        <w:t xml:space="preserve"> </w:t>
      </w:r>
      <w:r>
        <w:rPr>
          <w:rFonts w:ascii="Arial" w:cs="Arial" w:eastAsia="Arial" w:hAnsi="Arial"/>
          <w:sz w:val="20"/>
          <w:szCs w:val="20"/>
          <w:color w:val="auto"/>
        </w:rPr>
        <w:t>or outside the State of Delaware.</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3" w:right="339" w:bottom="1440" w:gutter="0" w:footer="0" w:header="0"/>
        </w:sectPr>
      </w:pPr>
    </w:p>
    <w:bookmarkStart w:id="83" w:name="page84"/>
    <w:bookmarkEnd w:id="83"/>
    <w:p>
      <w:pPr>
        <w:jc w:val="both"/>
        <w:ind w:right="20"/>
        <w:spacing w:after="0" w:line="260" w:lineRule="auto"/>
        <w:rPr>
          <w:sz w:val="20"/>
          <w:szCs w:val="20"/>
          <w:color w:val="auto"/>
        </w:rPr>
      </w:pPr>
      <w:r>
        <w:rPr>
          <w:rFonts w:ascii="Arial" w:cs="Arial" w:eastAsia="Arial" w:hAnsi="Arial"/>
          <w:sz w:val="20"/>
          <w:szCs w:val="20"/>
          <w:color w:val="auto"/>
        </w:rPr>
        <w:t>equipment by means of which all persons participating in the meeting can hear each other, and such participation in a meeting shall constitute presence in person at the meeting.</w:t>
      </w:r>
    </w:p>
    <w:p>
      <w:pPr>
        <w:spacing w:after="0" w:line="17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 xml:space="preserve">3.6 </w:t>
      </w:r>
      <w:r>
        <w:rPr>
          <w:rFonts w:ascii="Arial" w:cs="Arial" w:eastAsia="Arial" w:hAnsi="Arial"/>
          <w:sz w:val="20"/>
          <w:szCs w:val="20"/>
          <w:u w:val="single" w:color="auto"/>
          <w:color w:val="auto"/>
        </w:rPr>
        <w:t>Regular Meetings</w:t>
      </w:r>
      <w:r>
        <w:rPr>
          <w:rFonts w:ascii="Arial" w:cs="Arial" w:eastAsia="Arial" w:hAnsi="Arial"/>
          <w:sz w:val="20"/>
          <w:szCs w:val="20"/>
          <w:color w:val="auto"/>
        </w:rPr>
        <w:t>. Regular meetings of the board of directors may be held without notice at such time and at such place as</w:t>
      </w:r>
      <w:r>
        <w:rPr>
          <w:rFonts w:ascii="Arial" w:cs="Arial" w:eastAsia="Arial" w:hAnsi="Arial"/>
          <w:sz w:val="20"/>
          <w:szCs w:val="20"/>
          <w:b w:val="1"/>
          <w:bCs w:val="1"/>
          <w:color w:val="auto"/>
        </w:rPr>
        <w:t xml:space="preserve"> </w:t>
      </w:r>
      <w:r>
        <w:rPr>
          <w:rFonts w:ascii="Arial" w:cs="Arial" w:eastAsia="Arial" w:hAnsi="Arial"/>
          <w:sz w:val="20"/>
          <w:szCs w:val="20"/>
          <w:color w:val="auto"/>
        </w:rPr>
        <w:t>shall from time to time be determined by the board of directors.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3.7 </w:t>
      </w:r>
      <w:r>
        <w:rPr>
          <w:rFonts w:ascii="Arial" w:cs="Arial" w:eastAsia="Arial" w:hAnsi="Arial"/>
          <w:sz w:val="20"/>
          <w:szCs w:val="20"/>
          <w:u w:val="single" w:color="auto"/>
          <w:color w:val="auto"/>
        </w:rPr>
        <w:t>Special Meetings; Notice</w:t>
      </w:r>
      <w:r>
        <w:rPr>
          <w:rFonts w:ascii="Arial" w:cs="Arial" w:eastAsia="Arial" w:hAnsi="Arial"/>
          <w:sz w:val="20"/>
          <w:szCs w:val="20"/>
          <w:color w:val="auto"/>
        </w:rPr>
        <w:t>. Special meetings of the board of directors for any purpose or purposes may be called at any time</w:t>
      </w:r>
      <w:r>
        <w:rPr>
          <w:rFonts w:ascii="Arial" w:cs="Arial" w:eastAsia="Arial" w:hAnsi="Arial"/>
          <w:sz w:val="20"/>
          <w:szCs w:val="20"/>
          <w:b w:val="1"/>
          <w:bCs w:val="1"/>
          <w:color w:val="auto"/>
        </w:rPr>
        <w:t xml:space="preserve"> </w:t>
      </w:r>
      <w:r>
        <w:rPr>
          <w:rFonts w:ascii="Arial" w:cs="Arial" w:eastAsia="Arial" w:hAnsi="Arial"/>
          <w:sz w:val="20"/>
          <w:szCs w:val="20"/>
          <w:color w:val="auto"/>
        </w:rPr>
        <w:t>by the chairman of the board of directors, the chief executive officer, the president, the secretary or a majority of the authorized number of directors, at such times and places as he or she or they shall designate.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of the time and place of special meetings shall be:</w:t>
      </w:r>
    </w:p>
    <w:p>
      <w:pPr>
        <w:spacing w:after="0" w:line="216" w:lineRule="exact"/>
        <w:rPr>
          <w:sz w:val="20"/>
          <w:szCs w:val="20"/>
          <w:color w:val="auto"/>
        </w:rPr>
      </w:pPr>
    </w:p>
    <w:p>
      <w:pPr>
        <w:ind w:left="1940" w:hanging="636"/>
        <w:spacing w:after="0"/>
        <w:tabs>
          <w:tab w:leader="none" w:pos="19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sent by facsimile; or</w:t>
      </w:r>
    </w:p>
    <w:p>
      <w:pPr>
        <w:spacing w:after="0" w:line="215" w:lineRule="exact"/>
        <w:rPr>
          <w:rFonts w:ascii="Arial" w:cs="Arial" w:eastAsia="Arial" w:hAnsi="Arial"/>
          <w:sz w:val="20"/>
          <w:szCs w:val="20"/>
          <w:color w:val="auto"/>
        </w:rPr>
      </w:pPr>
    </w:p>
    <w:p>
      <w:pPr>
        <w:ind w:left="1920" w:hanging="616"/>
        <w:spacing w:after="0"/>
        <w:tabs>
          <w:tab w:leader="none" w:pos="19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sent by electronic mail,</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directed to each director at that director’s address, telephone number, facsimile number or electronic mail address, as the case may be, as shown on the corporation’s records.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3.8 </w:t>
      </w:r>
      <w:r>
        <w:rPr>
          <w:rFonts w:ascii="Arial" w:cs="Arial" w:eastAsia="Arial" w:hAnsi="Arial"/>
          <w:sz w:val="20"/>
          <w:szCs w:val="20"/>
          <w:u w:val="single" w:color="auto"/>
          <w:color w:val="auto"/>
        </w:rPr>
        <w:t>Quorum; Voting</w:t>
      </w:r>
      <w:r>
        <w:rPr>
          <w:rFonts w:ascii="Arial" w:cs="Arial" w:eastAsia="Arial" w:hAnsi="Arial"/>
          <w:sz w:val="20"/>
          <w:szCs w:val="20"/>
          <w:color w:val="auto"/>
        </w:rPr>
        <w:t>. At all meetings of the board of directors, a majority of the total authorized number of directors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3.9 </w:t>
      </w:r>
      <w:r>
        <w:rPr>
          <w:rFonts w:ascii="Arial" w:cs="Arial" w:eastAsia="Arial" w:hAnsi="Arial"/>
          <w:sz w:val="20"/>
          <w:szCs w:val="20"/>
          <w:u w:val="single" w:color="auto"/>
          <w:color w:val="auto"/>
        </w:rPr>
        <w:t>Board Action by Written Consent Without a Meeting</w:t>
      </w:r>
      <w:r>
        <w:rPr>
          <w:rFonts w:ascii="Arial" w:cs="Arial" w:eastAsia="Arial" w:hAnsi="Arial"/>
          <w:sz w:val="20"/>
          <w:szCs w:val="20"/>
          <w:color w:val="auto"/>
        </w:rPr>
        <w:t>. Unless otherwise restricted by the certificate of incorporation or these</w:t>
      </w:r>
      <w:r>
        <w:rPr>
          <w:rFonts w:ascii="Arial" w:cs="Arial" w:eastAsia="Arial" w:hAnsi="Arial"/>
          <w:sz w:val="20"/>
          <w:szCs w:val="20"/>
          <w:b w:val="1"/>
          <w:bCs w:val="1"/>
          <w:color w:val="auto"/>
        </w:rPr>
        <w:t xml:space="preserve"> </w:t>
      </w:r>
      <w:r>
        <w:rPr>
          <w:rFonts w:ascii="Arial" w:cs="Arial" w:eastAsia="Arial" w:hAnsi="Arial"/>
          <w:sz w:val="20"/>
          <w:szCs w:val="20"/>
          <w:color w:val="auto"/>
        </w:rPr>
        <w:t>bylaws, any action required or permitted to be taken at any meeting of the board of directors, or of any committee thereof, may be taken without a meeting if all members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84" w:name="page85"/>
    <w:bookmarkEnd w:id="84"/>
    <w:p>
      <w:pPr>
        <w:jc w:val="both"/>
        <w:spacing w:after="0" w:line="242" w:lineRule="auto"/>
        <w:rPr>
          <w:sz w:val="20"/>
          <w:szCs w:val="20"/>
          <w:color w:val="auto"/>
        </w:rPr>
      </w:pPr>
      <w:r>
        <w:rPr>
          <w:rFonts w:ascii="Arial" w:cs="Arial" w:eastAsia="Arial" w:hAnsi="Arial"/>
          <w:sz w:val="20"/>
          <w:szCs w:val="20"/>
          <w:color w:val="auto"/>
        </w:rPr>
        <w:t>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9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3.10 </w:t>
      </w:r>
      <w:r>
        <w:rPr>
          <w:rFonts w:ascii="Arial" w:cs="Arial" w:eastAsia="Arial" w:hAnsi="Arial"/>
          <w:sz w:val="20"/>
          <w:szCs w:val="20"/>
          <w:u w:val="single" w:color="auto"/>
          <w:color w:val="auto"/>
        </w:rPr>
        <w:t>Fees and Compensation of Directors</w:t>
      </w:r>
      <w:r>
        <w:rPr>
          <w:rFonts w:ascii="Arial" w:cs="Arial" w:eastAsia="Arial" w:hAnsi="Arial"/>
          <w:sz w:val="20"/>
          <w:szCs w:val="20"/>
          <w:color w:val="auto"/>
        </w:rPr>
        <w:t>. Unless otherwise restricted by the certificate of incorporation or these bylaws,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shall have the authority to fix the compensation of directors.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3.11 </w:t>
      </w:r>
      <w:r>
        <w:rPr>
          <w:rFonts w:ascii="Arial" w:cs="Arial" w:eastAsia="Arial" w:hAnsi="Arial"/>
          <w:sz w:val="20"/>
          <w:szCs w:val="20"/>
          <w:u w:val="single" w:color="auto"/>
          <w:color w:val="auto"/>
        </w:rPr>
        <w:t>Removal of Directors</w:t>
      </w:r>
      <w:r>
        <w:rPr>
          <w:rFonts w:ascii="Arial" w:cs="Arial" w:eastAsia="Arial" w:hAnsi="Arial"/>
          <w:sz w:val="20"/>
          <w:szCs w:val="20"/>
          <w:color w:val="auto"/>
        </w:rPr>
        <w:t>. Unless otherwise provided in the certificate of incorporation, any director may be removed from office</w:t>
      </w:r>
      <w:r>
        <w:rPr>
          <w:rFonts w:ascii="Arial" w:cs="Arial" w:eastAsia="Arial" w:hAnsi="Arial"/>
          <w:sz w:val="20"/>
          <w:szCs w:val="20"/>
          <w:b w:val="1"/>
          <w:bCs w:val="1"/>
          <w:color w:val="auto"/>
        </w:rPr>
        <w:t xml:space="preserve"> </w:t>
      </w:r>
      <w:r>
        <w:rPr>
          <w:rFonts w:ascii="Arial" w:cs="Arial" w:eastAsia="Arial" w:hAnsi="Arial"/>
          <w:sz w:val="20"/>
          <w:szCs w:val="20"/>
          <w:color w:val="auto"/>
        </w:rPr>
        <w:t>by the stockholders of the corporation only for cause by a majority of the voting power of all the then outstanding shares then entitled to vote at the election of directors.</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 reduction of the authorized number of directors shall have the effect of removing any director prior to the expiration of such director’s term of office.</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IV - COMMITTEES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u w:val="single" w:color="auto"/>
          <w:color w:val="auto"/>
        </w:rPr>
        <w:t>Committees of Directors</w:t>
      </w:r>
      <w:r>
        <w:rPr>
          <w:rFonts w:ascii="Arial" w:cs="Arial" w:eastAsia="Arial" w:hAnsi="Arial"/>
          <w:sz w:val="19"/>
          <w:szCs w:val="19"/>
          <w:color w:val="auto"/>
        </w:rPr>
        <w:t>. The board of directors may designate one or more committees, each committee to consist of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4.2 </w:t>
      </w:r>
      <w:r>
        <w:rPr>
          <w:rFonts w:ascii="Arial" w:cs="Arial" w:eastAsia="Arial" w:hAnsi="Arial"/>
          <w:sz w:val="20"/>
          <w:szCs w:val="20"/>
          <w:u w:val="single" w:color="auto"/>
          <w:color w:val="auto"/>
        </w:rPr>
        <w:t>Committee Minutes</w:t>
      </w:r>
      <w:r>
        <w:rPr>
          <w:rFonts w:ascii="Arial" w:cs="Arial" w:eastAsia="Arial" w:hAnsi="Arial"/>
          <w:sz w:val="20"/>
          <w:szCs w:val="20"/>
          <w:color w:val="auto"/>
        </w:rPr>
        <w:t>. Each committee shall keep regular minutes of its meetings and report the same to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when required.</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u w:val="single" w:color="auto"/>
          <w:color w:val="auto"/>
        </w:rPr>
        <w:t>Meetings and Action of Committees</w:t>
      </w:r>
      <w:r>
        <w:rPr>
          <w:rFonts w:ascii="Arial" w:cs="Arial" w:eastAsia="Arial" w:hAnsi="Arial"/>
          <w:sz w:val="20"/>
          <w:szCs w:val="20"/>
          <w:color w:val="auto"/>
        </w:rPr>
        <w:t>. Meetings and actions of committees shall be governed by, and held and taken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provisions of:</w:t>
      </w:r>
    </w:p>
    <w:p>
      <w:pPr>
        <w:spacing w:after="0" w:line="169" w:lineRule="exact"/>
        <w:rPr>
          <w:sz w:val="20"/>
          <w:szCs w:val="20"/>
          <w:color w:val="auto"/>
        </w:rPr>
      </w:pPr>
    </w:p>
    <w:p>
      <w:pPr>
        <w:ind w:left="1940" w:hanging="636"/>
        <w:spacing w:after="0"/>
        <w:tabs>
          <w:tab w:leader="none" w:pos="19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Section 3.5 (place of meetings and meetings by telephone);</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Section 3.6 (regular meetings);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Section 3.7 (special meetings and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85" w:name="page86"/>
    <w:bookmarkEnd w:id="85"/>
    <w:p>
      <w:pPr>
        <w:ind w:left="1920" w:hanging="616"/>
        <w:spacing w:after="0"/>
        <w:tabs>
          <w:tab w:leader="none" w:pos="19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Section 3.8 (quorum; voting);</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Section 7.5 (waiver of notice); and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Section 3.9 (action without a meeting)</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with such changes in the context of those bylaws as are necessary to substitute the committee and its members for the board of directors and its members. </w:t>
      </w:r>
      <w:r>
        <w:rPr>
          <w:rFonts w:ascii="Arial" w:cs="Arial" w:eastAsia="Arial" w:hAnsi="Arial"/>
          <w:sz w:val="20"/>
          <w:szCs w:val="20"/>
          <w:i w:val="1"/>
          <w:iCs w:val="1"/>
          <w:color w:val="auto"/>
        </w:rPr>
        <w:t>However</w:t>
      </w:r>
      <w:r>
        <w:rPr>
          <w:rFonts w:ascii="Arial" w:cs="Arial" w:eastAsia="Arial" w:hAnsi="Arial"/>
          <w:sz w:val="20"/>
          <w:szCs w:val="20"/>
          <w:color w:val="auto"/>
        </w:rPr>
        <w:t>:</w:t>
      </w:r>
    </w:p>
    <w:p>
      <w:pPr>
        <w:spacing w:after="0" w:line="177" w:lineRule="exact"/>
        <w:rPr>
          <w:sz w:val="20"/>
          <w:szCs w:val="20"/>
          <w:color w:val="auto"/>
        </w:rPr>
      </w:pPr>
    </w:p>
    <w:p>
      <w:pPr>
        <w:ind w:firstLine="1304"/>
        <w:spacing w:after="0" w:line="260" w:lineRule="auto"/>
        <w:tabs>
          <w:tab w:leader="none" w:pos="156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time of regular meetings of committees may be determined either by resolution of the board of directors or by resolution of the committee;</w:t>
      </w:r>
    </w:p>
    <w:p>
      <w:pPr>
        <w:spacing w:after="0" w:line="176" w:lineRule="exact"/>
        <w:rPr>
          <w:rFonts w:ascii="Arial" w:cs="Arial" w:eastAsia="Arial" w:hAnsi="Arial"/>
          <w:sz w:val="20"/>
          <w:szCs w:val="20"/>
          <w:color w:val="auto"/>
        </w:rPr>
      </w:pPr>
    </w:p>
    <w:p>
      <w:pPr>
        <w:ind w:left="1600" w:hanging="296"/>
        <w:spacing w:after="0"/>
        <w:tabs>
          <w:tab w:leader="none" w:pos="16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special meetings of committees may also be called by resolution of the board of directors; and</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649"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notice of special meetings of committees shall also be given to all alternate members, who shall have the right to attend all meetings of the committee. The board of directors or a committee may adopt rules for the government of any committee not inconsistent with the provisions of these bylaws.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4.4 </w:t>
      </w:r>
      <w:r>
        <w:rPr>
          <w:rFonts w:ascii="Arial" w:cs="Arial" w:eastAsia="Arial" w:hAnsi="Arial"/>
          <w:sz w:val="19"/>
          <w:szCs w:val="19"/>
          <w:u w:val="single" w:color="auto"/>
          <w:color w:val="auto"/>
        </w:rPr>
        <w:t>Subcommittees</w:t>
      </w:r>
      <w:r>
        <w:rPr>
          <w:rFonts w:ascii="Arial" w:cs="Arial" w:eastAsia="Arial" w:hAnsi="Arial"/>
          <w:sz w:val="19"/>
          <w:szCs w:val="19"/>
          <w:color w:val="auto"/>
        </w:rPr>
        <w:t>. Unless otherwise provided in the certificate of incorporation, these bylaws or the resolutions of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V - OFFICERS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5.1 </w:t>
      </w:r>
      <w:r>
        <w:rPr>
          <w:rFonts w:ascii="Arial" w:cs="Arial" w:eastAsia="Arial" w:hAnsi="Arial"/>
          <w:sz w:val="20"/>
          <w:szCs w:val="20"/>
          <w:u w:val="single" w:color="auto"/>
          <w:color w:val="auto"/>
        </w:rPr>
        <w:t>Officers</w:t>
      </w:r>
      <w:r>
        <w:rPr>
          <w:rFonts w:ascii="Arial" w:cs="Arial" w:eastAsia="Arial" w:hAnsi="Arial"/>
          <w:sz w:val="20"/>
          <w:szCs w:val="20"/>
          <w:color w:val="auto"/>
        </w:rPr>
        <w:t>. The officers of the corporation shall be a president and a secretary. The corporation may also have, at the discretion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board of directors, a chairman of the board of directors, a vice chairman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u w:val="single" w:color="auto"/>
          <w:color w:val="auto"/>
        </w:rPr>
        <w:t>Appointment of Officers</w:t>
      </w:r>
      <w:r>
        <w:rPr>
          <w:rFonts w:ascii="Arial" w:cs="Arial" w:eastAsia="Arial" w:hAnsi="Arial"/>
          <w:sz w:val="20"/>
          <w:szCs w:val="20"/>
          <w:color w:val="auto"/>
        </w:rPr>
        <w:t>. The board of directors shall appoint the officers of the corporation, except such officers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in accordance with the provisions of Sections 5.3 of these bylaws, subject to the rights, if any, of an officer under any contract of employment.</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u w:val="single" w:color="auto"/>
          <w:color w:val="auto"/>
        </w:rPr>
        <w:t>Subordinate Officers</w:t>
      </w:r>
      <w:r>
        <w:rPr>
          <w:rFonts w:ascii="Arial" w:cs="Arial" w:eastAsia="Arial" w:hAnsi="Arial"/>
          <w:sz w:val="20"/>
          <w:szCs w:val="20"/>
          <w:color w:val="auto"/>
        </w:rPr>
        <w:t>. The board of directors may appoint, or empower the chief executive officer or, in the absence of a chief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86" w:name="page87"/>
    <w:bookmarkEnd w:id="86"/>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u w:val="single" w:color="auto"/>
          <w:color w:val="auto"/>
        </w:rPr>
        <w:t>Removal and Resignation of Officers</w:t>
      </w:r>
      <w:r>
        <w:rPr>
          <w:rFonts w:ascii="Arial" w:cs="Arial" w:eastAsia="Arial" w:hAnsi="Arial"/>
          <w:sz w:val="20"/>
          <w:szCs w:val="20"/>
          <w:color w:val="auto"/>
        </w:rPr>
        <w:t>. Subject to the rights, if any, of an officer under any contract of employment, any</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5.5 </w:t>
      </w:r>
      <w:r>
        <w:rPr>
          <w:rFonts w:ascii="Arial" w:cs="Arial" w:eastAsia="Arial" w:hAnsi="Arial"/>
          <w:sz w:val="20"/>
          <w:szCs w:val="20"/>
          <w:u w:val="single" w:color="auto"/>
          <w:color w:val="auto"/>
        </w:rPr>
        <w:t>Vacancies in Offices</w:t>
      </w:r>
      <w:r>
        <w:rPr>
          <w:rFonts w:ascii="Arial" w:cs="Arial" w:eastAsia="Arial" w:hAnsi="Arial"/>
          <w:sz w:val="20"/>
          <w:szCs w:val="20"/>
          <w:color w:val="auto"/>
        </w:rPr>
        <w:t>. Any vacancy occurring in any office of the corporation shall be filled by the board of directors or as</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Section 5.3.</w:t>
      </w:r>
    </w:p>
    <w:p>
      <w:pPr>
        <w:spacing w:after="0" w:line="16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5.6 </w:t>
      </w:r>
      <w:r>
        <w:rPr>
          <w:rFonts w:ascii="Arial" w:cs="Arial" w:eastAsia="Arial" w:hAnsi="Arial"/>
          <w:sz w:val="20"/>
          <w:szCs w:val="20"/>
          <w:u w:val="single" w:color="auto"/>
          <w:color w:val="auto"/>
        </w:rPr>
        <w:t>Representation of Shares of Other Corporations</w:t>
      </w:r>
      <w:r>
        <w:rPr>
          <w:rFonts w:ascii="Arial" w:cs="Arial" w:eastAsia="Arial" w:hAnsi="Arial"/>
          <w:sz w:val="20"/>
          <w:szCs w:val="20"/>
          <w:color w:val="auto"/>
        </w:rPr>
        <w:t>. The chairman of the board of directors, the president, any vice president, the</w:t>
      </w:r>
      <w:r>
        <w:rPr>
          <w:rFonts w:ascii="Arial" w:cs="Arial" w:eastAsia="Arial" w:hAnsi="Arial"/>
          <w:sz w:val="20"/>
          <w:szCs w:val="20"/>
          <w:b w:val="1"/>
          <w:bCs w:val="1"/>
          <w:color w:val="auto"/>
        </w:rPr>
        <w:t xml:space="preserve"> </w:t>
      </w:r>
      <w:r>
        <w:rPr>
          <w:rFonts w:ascii="Arial" w:cs="Arial" w:eastAsia="Arial" w:hAnsi="Arial"/>
          <w:sz w:val="20"/>
          <w:szCs w:val="20"/>
          <w:color w:val="auto"/>
        </w:rPr>
        <w:t>treasurer, the secretary or assistant secretary of this corporation, or any other person authorized by the board of directors or the president or a vice president, is authorized to vote, represent, and exercise on behalf of this corporation all rights incident to any and all shares or other equity interests of any other corporation or corporations or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 All officers of the corporation shall respectively have such authority and perform such</w:t>
      </w:r>
      <w:r>
        <w:rPr>
          <w:rFonts w:ascii="Arial" w:cs="Arial" w:eastAsia="Arial" w:hAnsi="Arial"/>
          <w:sz w:val="18"/>
          <w:szCs w:val="18"/>
          <w:b w:val="1"/>
          <w:bCs w:val="1"/>
          <w:color w:val="auto"/>
        </w:rPr>
        <w:t xml:space="preserve"> </w:t>
      </w:r>
      <w:r>
        <w:rPr>
          <w:rFonts w:ascii="Arial" w:cs="Arial" w:eastAsia="Arial" w:hAnsi="Arial"/>
          <w:sz w:val="18"/>
          <w:szCs w:val="18"/>
          <w:color w:val="auto"/>
        </w:rPr>
        <w:t>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VI - STOCK</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u w:val="single" w:color="auto"/>
          <w:color w:val="auto"/>
        </w:rPr>
        <w:t>Stock Certificates; Partly Paid Shares</w:t>
      </w:r>
      <w:r>
        <w:rPr>
          <w:rFonts w:ascii="Arial" w:cs="Arial" w:eastAsia="Arial" w:hAnsi="Arial"/>
          <w:sz w:val="19"/>
          <w:szCs w:val="19"/>
          <w:color w:val="auto"/>
        </w:rPr>
        <w:t>. The shares of the corporation shall be represented by certificates, provided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may provide by resolution or resolutions that some or all of any or all classes or series of its stock shall be uncertificated shares that may be evidenced by a book-entry system maintained by the registrar of such stock.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of the board of directors or vice- chairman of the board of directors, or the president or a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0" w:lineRule="auto"/>
        <w:rPr>
          <w:sz w:val="20"/>
          <w:szCs w:val="20"/>
          <w:color w:val="auto"/>
        </w:rPr>
      </w:pPr>
      <w:r>
        <w:rPr>
          <w:rFonts w:ascii="Arial" w:cs="Arial" w:eastAsia="Arial" w:hAnsi="Arial"/>
          <w:sz w:val="20"/>
          <w:szCs w:val="20"/>
          <w:color w:val="auto"/>
        </w:rPr>
        <w:t>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Special Designation on Certificates</w:t>
      </w:r>
      <w:r>
        <w:rPr>
          <w:rFonts w:ascii="Arial" w:cs="Arial" w:eastAsia="Arial" w:hAnsi="Arial"/>
          <w:sz w:val="18"/>
          <w:szCs w:val="18"/>
          <w:color w:val="auto"/>
        </w:rPr>
        <w:t>. If the corporation is authorized to issue more than one class of stock or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Sections 151, 156, 202(a) or 218(a)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6.3 </w:t>
      </w:r>
      <w:r>
        <w:rPr>
          <w:rFonts w:ascii="Arial" w:cs="Arial" w:eastAsia="Arial" w:hAnsi="Arial"/>
          <w:sz w:val="19"/>
          <w:szCs w:val="19"/>
          <w:u w:val="single" w:color="auto"/>
          <w:color w:val="auto"/>
        </w:rPr>
        <w:t>Lost Certificates</w:t>
      </w:r>
      <w:r>
        <w:rPr>
          <w:rFonts w:ascii="Arial" w:cs="Arial" w:eastAsia="Arial" w:hAnsi="Arial"/>
          <w:sz w:val="19"/>
          <w:szCs w:val="19"/>
          <w:color w:val="auto"/>
        </w:rPr>
        <w:t>. Except as provided in this Section 6.3, no new certificates for shares shall be issued to replace a previously</w:t>
      </w:r>
      <w:r>
        <w:rPr>
          <w:rFonts w:ascii="Arial" w:cs="Arial" w:eastAsia="Arial" w:hAnsi="Arial"/>
          <w:sz w:val="19"/>
          <w:szCs w:val="19"/>
          <w:b w:val="1"/>
          <w:bCs w:val="1"/>
          <w:color w:val="auto"/>
        </w:rPr>
        <w:t xml:space="preserve"> </w:t>
      </w:r>
      <w:r>
        <w:rPr>
          <w:rFonts w:ascii="Arial" w:cs="Arial" w:eastAsia="Arial" w:hAnsi="Arial"/>
          <w:sz w:val="19"/>
          <w:szCs w:val="19"/>
          <w:color w:val="auto"/>
        </w:rPr>
        <w:t>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u w:val="single" w:color="auto"/>
          <w:color w:val="auto"/>
        </w:rPr>
        <w:t>Dividends</w:t>
      </w:r>
      <w:r>
        <w:rPr>
          <w:rFonts w:ascii="Arial" w:cs="Arial" w:eastAsia="Arial" w:hAnsi="Arial"/>
          <w:sz w:val="20"/>
          <w:szCs w:val="20"/>
          <w:color w:val="auto"/>
        </w:rPr>
        <w:t>. The board of directors, subject to any restrictions contained in the certificate of incorporation or applicable law,</w:t>
      </w:r>
      <w:r>
        <w:rPr>
          <w:rFonts w:ascii="Arial" w:cs="Arial" w:eastAsia="Arial" w:hAnsi="Arial"/>
          <w:sz w:val="20"/>
          <w:szCs w:val="20"/>
          <w:b w:val="1"/>
          <w:bCs w:val="1"/>
          <w:color w:val="auto"/>
        </w:rPr>
        <w:t xml:space="preserve"> </w:t>
      </w:r>
      <w:r>
        <w:rPr>
          <w:rFonts w:ascii="Arial" w:cs="Arial" w:eastAsia="Arial" w:hAnsi="Arial"/>
          <w:sz w:val="20"/>
          <w:szCs w:val="20"/>
          <w:color w:val="auto"/>
        </w:rPr>
        <w:t>may declare and pay dividends upon the shares of the corporation’s capital stock.</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6.5 </w:t>
      </w:r>
      <w:r>
        <w:rPr>
          <w:rFonts w:ascii="Arial" w:cs="Arial" w:eastAsia="Arial" w:hAnsi="Arial"/>
          <w:sz w:val="20"/>
          <w:szCs w:val="20"/>
          <w:u w:val="single" w:color="auto"/>
          <w:color w:val="auto"/>
        </w:rPr>
        <w:t>Transfer of Stock</w:t>
      </w:r>
      <w:r>
        <w:rPr>
          <w:rFonts w:ascii="Arial" w:cs="Arial" w:eastAsia="Arial" w:hAnsi="Arial"/>
          <w:sz w:val="20"/>
          <w:szCs w:val="20"/>
          <w:color w:val="auto"/>
        </w:rPr>
        <w:t>. Transfers of record of shares of stock of the corporation shall be made only upon its books by the holders</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in person or by an attorney duly authorized, and, subject to Section 6.3 of these bylaws, if such stock is certificated, upon the surrender of a certificate or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for a like number of shares, properly endorsed or accompanied by proper evidence of succession, assignation or authority to transfer.</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6.6 </w:t>
      </w:r>
      <w:r>
        <w:rPr>
          <w:rFonts w:ascii="Arial" w:cs="Arial" w:eastAsia="Arial" w:hAnsi="Arial"/>
          <w:sz w:val="20"/>
          <w:szCs w:val="20"/>
          <w:u w:val="single" w:color="auto"/>
          <w:color w:val="auto"/>
        </w:rPr>
        <w:t>Stock Transfer Agreements</w:t>
      </w:r>
      <w:r>
        <w:rPr>
          <w:rFonts w:ascii="Arial" w:cs="Arial" w:eastAsia="Arial" w:hAnsi="Arial"/>
          <w:sz w:val="20"/>
          <w:szCs w:val="20"/>
          <w:color w:val="auto"/>
        </w:rPr>
        <w:t>. The corporation shall have power to enter into and perform any agreement with any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of any one or more classes of stock of the corporation to restrict the transfer of shares of stock of the corporation of any one or more classes owned by such stockholders in any manner not prohibited by the DGCL.</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w:t>
      </w:r>
    </w:p>
    <w:p>
      <w:pPr>
        <w:spacing w:after="0" w:line="222" w:lineRule="exact"/>
        <w:rPr>
          <w:sz w:val="20"/>
          <w:szCs w:val="20"/>
          <w:color w:val="auto"/>
        </w:rPr>
      </w:pPr>
    </w:p>
    <w:p>
      <w:pPr>
        <w:ind w:firstLine="1304"/>
        <w:spacing w:after="0" w:line="260" w:lineRule="auto"/>
        <w:tabs>
          <w:tab w:leader="none" w:pos="19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to vote as such owner;</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shall be entitled to hold liable for calls and assessments the person registered on its books as the owner of shares; and</w:t>
      </w:r>
    </w:p>
    <w:p>
      <w:pPr>
        <w:spacing w:after="0" w:line="261" w:lineRule="exact"/>
        <w:rPr>
          <w:rFonts w:ascii="Arial" w:cs="Arial" w:eastAsia="Arial" w:hAnsi="Arial"/>
          <w:sz w:val="16"/>
          <w:szCs w:val="16"/>
          <w:color w:val="auto"/>
        </w:rPr>
      </w:pPr>
    </w:p>
    <w:p>
      <w:pPr>
        <w:ind w:firstLine="1304"/>
        <w:spacing w:after="0" w:line="287" w:lineRule="auto"/>
        <w:tabs>
          <w:tab w:leader="none" w:pos="1942" w:val="left"/>
        </w:tabs>
        <w:numPr>
          <w:ilvl w:val="0"/>
          <w:numId w:val="41"/>
        </w:numPr>
        <w:rPr>
          <w:rFonts w:ascii="Arial" w:cs="Arial" w:eastAsia="Arial" w:hAnsi="Arial"/>
          <w:sz w:val="19"/>
          <w:szCs w:val="19"/>
          <w:color w:val="auto"/>
        </w:rPr>
      </w:pPr>
      <w:r>
        <w:rPr>
          <w:rFonts w:ascii="Arial" w:cs="Arial" w:eastAsia="Arial" w:hAnsi="Arial"/>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46"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ARTICLE VII - MANNER OF GIVING NOTICE AND WAIVER</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 Notice of any meeting of stockholders, if mailed, is given when deposited in the United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facts stated therein.</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u w:val="single" w:color="auto"/>
          <w:color w:val="auto"/>
        </w:rPr>
        <w:t>Notice by Electronic Transmission</w:t>
      </w:r>
      <w:r>
        <w:rPr>
          <w:rFonts w:ascii="Arial" w:cs="Arial" w:eastAsia="Arial" w:hAnsi="Arial"/>
          <w:sz w:val="20"/>
          <w:szCs w:val="20"/>
          <w:color w:val="auto"/>
        </w:rPr>
        <w:t>. Without limiting the manner by which notice otherwise may be given effectively to</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91" w:lineRule="exact"/>
        <w:rPr>
          <w:sz w:val="20"/>
          <w:szCs w:val="20"/>
          <w:color w:val="auto"/>
        </w:rPr>
      </w:pPr>
    </w:p>
    <w:p>
      <w:pPr>
        <w:ind w:right="20" w:firstLine="1304"/>
        <w:spacing w:after="0" w:line="260" w:lineRule="auto"/>
        <w:tabs>
          <w:tab w:leader="none" w:pos="19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corporation is unable to deliver by electronic transmission two consecutive notices given by the corporation in accordance with such consent; and</w:t>
      </w:r>
    </w:p>
    <w:p>
      <w:pPr>
        <w:spacing w:after="0" w:line="176" w:lineRule="exact"/>
        <w:rPr>
          <w:rFonts w:ascii="Arial" w:cs="Arial" w:eastAsia="Arial" w:hAnsi="Arial"/>
          <w:sz w:val="20"/>
          <w:szCs w:val="20"/>
          <w:color w:val="auto"/>
        </w:rPr>
      </w:pPr>
    </w:p>
    <w:p>
      <w:pPr>
        <w:ind w:firstLine="1304"/>
        <w:spacing w:after="0" w:line="260" w:lineRule="auto"/>
        <w:tabs>
          <w:tab w:leader="none" w:pos="1941"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such inability becomes known to the secretary or an assistant secretary of the corporation or to the transfer agent, or other person responsible for the giving of notice.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However, the inadvertent failure to treat such inability as a revocation shall not invalidate any meeting or other action.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notice given pursuant to the preceding paragraph shall be deemed given:</w:t>
      </w:r>
    </w:p>
    <w:p>
      <w:pPr>
        <w:spacing w:after="0" w:line="216" w:lineRule="exact"/>
        <w:rPr>
          <w:sz w:val="20"/>
          <w:szCs w:val="20"/>
          <w:color w:val="auto"/>
        </w:rPr>
      </w:pPr>
    </w:p>
    <w:p>
      <w:pPr>
        <w:ind w:left="1540" w:hanging="236"/>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89" w:name="page90"/>
    <w:bookmarkEnd w:id="89"/>
    <w:p>
      <w:pPr>
        <w:ind w:left="1300"/>
        <w:spacing w:after="0"/>
        <w:rPr>
          <w:sz w:val="20"/>
          <w:szCs w:val="20"/>
          <w:color w:val="auto"/>
        </w:rPr>
      </w:pPr>
      <w:r>
        <w:rPr>
          <w:rFonts w:ascii="Arial" w:cs="Arial" w:eastAsia="Arial" w:hAnsi="Arial"/>
          <w:sz w:val="19"/>
          <w:szCs w:val="19"/>
          <w:color w:val="auto"/>
        </w:rPr>
        <w:t>(ii) if by electronic mail, when directed to an electronic mail address at which the stockholder has consented to receive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notice;</w:t>
      </w:r>
    </w:p>
    <w:p>
      <w:pPr>
        <w:spacing w:after="0" w:line="200" w:lineRule="exact"/>
        <w:rPr>
          <w:sz w:val="20"/>
          <w:szCs w:val="20"/>
          <w:color w:val="auto"/>
        </w:rPr>
      </w:pPr>
    </w:p>
    <w:p>
      <w:pPr>
        <w:ind w:right="20" w:firstLine="1304"/>
        <w:spacing w:after="0" w:line="260" w:lineRule="auto"/>
        <w:tabs>
          <w:tab w:leader="none" w:pos="1653"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such specific posting, upon the later of (A) such posting and (B) the giving of such separate notice; and</w:t>
      </w:r>
    </w:p>
    <w:p>
      <w:pPr>
        <w:spacing w:after="0" w:line="176" w:lineRule="exact"/>
        <w:rPr>
          <w:rFonts w:ascii="Arial" w:cs="Arial" w:eastAsia="Arial" w:hAnsi="Arial"/>
          <w:sz w:val="20"/>
          <w:szCs w:val="20"/>
          <w:color w:val="auto"/>
        </w:rPr>
      </w:pPr>
    </w:p>
    <w:p>
      <w:pPr>
        <w:ind w:left="1640" w:hanging="336"/>
        <w:spacing w:after="0"/>
        <w:tabs>
          <w:tab w:leader="none" w:pos="1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by any other form of electronic transmission, when directed to the stockholder.</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facts stated therein.</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color w:val="auto"/>
        </w:rPr>
        <w:t>electronic transmission</w:t>
      </w:r>
      <w:r>
        <w:rPr>
          <w:rFonts w:ascii="Arial" w:cs="Arial" w:eastAsia="Arial" w:hAnsi="Arial"/>
          <w:sz w:val="20"/>
          <w:szCs w:val="20"/>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Notice by a form of electronic transmission shall not apply with respect to Sections 164, 296, 311, 312 or 324 of the DGCL.</w:t>
      </w:r>
    </w:p>
    <w:p>
      <w:pPr>
        <w:spacing w:after="0" w:line="2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u w:val="single" w:color="auto"/>
          <w:color w:val="auto"/>
        </w:rPr>
        <w:t>Notice to Stockholders Sharing an Address</w:t>
      </w:r>
      <w:r>
        <w:rPr>
          <w:rFonts w:ascii="Arial" w:cs="Arial" w:eastAsia="Arial" w:hAnsi="Arial"/>
          <w:sz w:val="20"/>
          <w:szCs w:val="20"/>
          <w:color w:val="auto"/>
        </w:rPr>
        <w:t>. Except as otherwise prohibited under the DGCL, without limiting the manner by</w:t>
      </w:r>
      <w:r>
        <w:rPr>
          <w:rFonts w:ascii="Arial" w:cs="Arial" w:eastAsia="Arial" w:hAnsi="Arial"/>
          <w:sz w:val="20"/>
          <w:szCs w:val="20"/>
          <w:b w:val="1"/>
          <w:bCs w:val="1"/>
          <w:color w:val="auto"/>
        </w:rPr>
        <w:t xml:space="preserve"> </w:t>
      </w:r>
      <w:r>
        <w:rPr>
          <w:rFonts w:ascii="Arial" w:cs="Arial" w:eastAsia="Arial" w:hAnsi="Arial"/>
          <w:sz w:val="20"/>
          <w:szCs w:val="20"/>
          <w:color w:val="auto"/>
        </w:rPr>
        <w:t>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u w:val="single" w:color="auto"/>
          <w:color w:val="auto"/>
        </w:rPr>
        <w:t>Notice to Person with Whom Communication is Unlawful</w:t>
      </w:r>
      <w:r>
        <w:rPr>
          <w:rFonts w:ascii="Arial" w:cs="Arial" w:eastAsia="Arial" w:hAnsi="Arial"/>
          <w:sz w:val="18"/>
          <w:szCs w:val="18"/>
          <w:color w:val="auto"/>
        </w:rPr>
        <w:t>. Whenever notice is required to be given, under the DGCL,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under any provision of the DGCL,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waiver of notice or any waiver by electronic transmission unless so required by the certificate of incorporation or these bylaws.</w:t>
      </w: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VIII - INDEMNIFICATION</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Indemnification of Directors and Officers in Third Party Proceedings</w:t>
      </w:r>
      <w:r>
        <w:rPr>
          <w:rFonts w:ascii="Arial" w:cs="Arial" w:eastAsia="Arial" w:hAnsi="Arial"/>
          <w:sz w:val="18"/>
          <w:szCs w:val="18"/>
          <w:color w:val="auto"/>
        </w:rPr>
        <w:t>. Subject to the other provisions of this Article VIII,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indemnify, to the fullest extent permitted by the DGCL, as now or hereinafter in effect, any person who was or is a party or is threatened to be made a party to any threatened, pending or completed action, suit or proceeding, whether civil, criminal, administrative, arbitrative, investigative or other (a “</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member, manager, trustee or agent of another corporation, limited liability company, partnership, joint venture, trust or other enterprise, against expenses (including attorneys’ fees), damages, losses, liabilities, judgments, fines, penalties, ERISA excise taxes, amounts paid or payable in settlement, any federal, state, local or foreign taxes, and all other charges paid or payable by such person in connection with investigating, defending, being a witness in or participating in, or preparing to defend, be a witness or participate in, any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Indemnification of Directors and Officers in Actions by or in the Right of the Corporation</w:t>
      </w:r>
      <w:r>
        <w:rPr>
          <w:rFonts w:ascii="Arial" w:cs="Arial" w:eastAsia="Arial" w:hAnsi="Arial"/>
          <w:sz w:val="18"/>
          <w:szCs w:val="18"/>
          <w:color w:val="auto"/>
        </w:rPr>
        <w:t>. Subject to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member, manager, trustee or agent of another corporation, limited liability company, partnership, joint venture, trust or other enterprise against expenses (including attorneys’ fees), damages, losses, liabilities, judgments, fines, penalties, ERISA excise taxes, amounts paid or payable in settlement, any federal, state, local or foreign taxes, and all other charges paid or payable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present or former director or officer of the corporation has been successful on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merits or otherwise in defense of any action, suit or proceeding described in Section 8.1 or Section 8.2, or in defense of any claim, issue or matter therein, such person shall be indemnified against expenses (including attorneys’ fees), damages, losses, liabilities,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91" w:name="page92"/>
    <w:bookmarkEnd w:id="91"/>
    <w:p>
      <w:pPr>
        <w:jc w:val="both"/>
        <w:spacing w:after="0" w:line="260" w:lineRule="auto"/>
        <w:rPr>
          <w:sz w:val="20"/>
          <w:szCs w:val="20"/>
          <w:color w:val="auto"/>
        </w:rPr>
      </w:pPr>
      <w:r>
        <w:rPr>
          <w:rFonts w:ascii="Arial" w:cs="Arial" w:eastAsia="Arial" w:hAnsi="Arial"/>
          <w:sz w:val="20"/>
          <w:szCs w:val="20"/>
          <w:color w:val="auto"/>
        </w:rPr>
        <w:t>fines, penalties, ERISA excise taxes, amounts paid or payable in settlement, any federal, state, local or foreign taxes, and all other charges paid or payable by such person in connection therewith.</w:t>
      </w:r>
    </w:p>
    <w:p>
      <w:pPr>
        <w:spacing w:after="0" w:line="1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8.4 </w:t>
      </w:r>
      <w:r>
        <w:rPr>
          <w:rFonts w:ascii="Arial" w:cs="Arial" w:eastAsia="Arial" w:hAnsi="Arial"/>
          <w:sz w:val="20"/>
          <w:szCs w:val="20"/>
          <w:u w:val="single" w:color="auto"/>
          <w:color w:val="auto"/>
        </w:rPr>
        <w:t>Indemnification of Others</w:t>
      </w:r>
      <w:r>
        <w:rPr>
          <w:rFonts w:ascii="Arial" w:cs="Arial" w:eastAsia="Arial" w:hAnsi="Arial"/>
          <w:sz w:val="20"/>
          <w:szCs w:val="20"/>
          <w:color w:val="auto"/>
        </w:rPr>
        <w:t>. Subject to the other provisions of this Article VIII, the corporation shall have power to indemnify</w:t>
      </w:r>
      <w:r>
        <w:rPr>
          <w:rFonts w:ascii="Arial" w:cs="Arial" w:eastAsia="Arial" w:hAnsi="Arial"/>
          <w:sz w:val="20"/>
          <w:szCs w:val="20"/>
          <w:b w:val="1"/>
          <w:bCs w:val="1"/>
          <w:color w:val="auto"/>
        </w:rPr>
        <w:t xml:space="preserve"> </w:t>
      </w:r>
      <w:r>
        <w:rPr>
          <w:rFonts w:ascii="Arial" w:cs="Arial" w:eastAsia="Arial" w:hAnsi="Arial"/>
          <w:sz w:val="20"/>
          <w:szCs w:val="20"/>
          <w:color w:val="auto"/>
        </w:rPr>
        <w:t>its employees and agents to the extent not prohibited by the DGCL or other applicable law. The board of directors shall have the power to delegate to such person or persons as the board shall in its discretion determine the determination of whether employees or agents shall be indemnified.</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8.5 </w:t>
      </w:r>
      <w:r>
        <w:rPr>
          <w:rFonts w:ascii="Arial" w:cs="Arial" w:eastAsia="Arial" w:hAnsi="Arial"/>
          <w:sz w:val="19"/>
          <w:szCs w:val="19"/>
          <w:u w:val="single" w:color="auto"/>
          <w:color w:val="auto"/>
        </w:rPr>
        <w:t>Advance Payment of Expenses</w:t>
      </w:r>
      <w:r>
        <w:rPr>
          <w:rFonts w:ascii="Arial" w:cs="Arial" w:eastAsia="Arial" w:hAnsi="Arial"/>
          <w:sz w:val="19"/>
          <w:szCs w:val="19"/>
          <w:color w:val="auto"/>
        </w:rPr>
        <w:t>. Expenses (including attorneys’ fees) actually and reasonably incurred by an officer or</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8.6(ii) or 8.6(iii) prior to a determination that the person is not entitled to be indemnified by the corporation.</w:t>
      </w:r>
    </w:p>
    <w:p>
      <w:pPr>
        <w:spacing w:after="0" w:line="18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 xml:space="preserve">8.6 </w:t>
      </w:r>
      <w:r>
        <w:rPr>
          <w:rFonts w:ascii="Arial" w:cs="Arial" w:eastAsia="Arial" w:hAnsi="Arial"/>
          <w:sz w:val="19"/>
          <w:szCs w:val="19"/>
          <w:u w:val="single" w:color="auto"/>
          <w:color w:val="auto"/>
        </w:rPr>
        <w:t>Limitation on Indemnification</w:t>
      </w:r>
      <w:r>
        <w:rPr>
          <w:rFonts w:ascii="Arial" w:cs="Arial" w:eastAsia="Arial" w:hAnsi="Arial"/>
          <w:sz w:val="19"/>
          <w:szCs w:val="19"/>
          <w:color w:val="auto"/>
        </w:rPr>
        <w:t>. Subject to the requirements in Section 8.3 and the DGCL, the corporation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obligated to indemnify any person pursuant to this Article VIII in connection with any Proceeding (or any part of any Proceeding):</w:t>
      </w:r>
    </w:p>
    <w:p>
      <w:pPr>
        <w:spacing w:after="0" w:line="148" w:lineRule="exact"/>
        <w:rPr>
          <w:sz w:val="20"/>
          <w:szCs w:val="20"/>
          <w:color w:val="auto"/>
        </w:rPr>
      </w:pPr>
    </w:p>
    <w:p>
      <w:pPr>
        <w:ind w:firstLine="1304"/>
        <w:spacing w:after="0" w:line="260" w:lineRule="auto"/>
        <w:tabs>
          <w:tab w:leader="none" w:pos="19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76" w:lineRule="exact"/>
        <w:rPr>
          <w:rFonts w:ascii="Arial" w:cs="Arial" w:eastAsia="Arial" w:hAnsi="Arial"/>
          <w:sz w:val="20"/>
          <w:szCs w:val="20"/>
          <w:color w:val="auto"/>
        </w:rPr>
      </w:pPr>
    </w:p>
    <w:p>
      <w:pPr>
        <w:ind w:firstLine="1304"/>
        <w:spacing w:after="0" w:line="260" w:lineRule="auto"/>
        <w:tabs>
          <w:tab w:leader="none" w:pos="1941"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 the disgorgement of profits arising from the purchase or sale by such person of securities of the corporation in violation of Section 16(b) of the 1934 Act, or any similar successor statute, state law or other law;</w:t>
      </w:r>
    </w:p>
    <w:p>
      <w:pPr>
        <w:spacing w:after="0" w:line="176" w:lineRule="exact"/>
        <w:rPr>
          <w:rFonts w:ascii="Arial" w:cs="Arial" w:eastAsia="Arial" w:hAnsi="Arial"/>
          <w:sz w:val="20"/>
          <w:szCs w:val="20"/>
          <w:color w:val="auto"/>
        </w:rPr>
      </w:pPr>
    </w:p>
    <w:p>
      <w:pPr>
        <w:jc w:val="both"/>
        <w:ind w:firstLine="1304"/>
        <w:spacing w:after="0" w:line="244" w:lineRule="auto"/>
        <w:tabs>
          <w:tab w:leader="none" w:pos="1942"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 any reimbursement to the corporation of any bonus or other incentive-based or equity-based compensation previously received by such person or payment of any profits realized by such person from the sale of securities of the corporation, as required in each case under the 1934 Act (including any such reimbursements under Section 304 of the Sarbanes-Oxley Act of 2002 in connection with an accounting restatement of the corporation or the payment to the corporation of profits arising from the purchase or sale by such person of securities in violation of Section 306 of the Sarbanes-Oxley Act);</w:t>
      </w:r>
    </w:p>
    <w:p>
      <w:pPr>
        <w:spacing w:after="0" w:line="194" w:lineRule="exact"/>
        <w:rPr>
          <w:rFonts w:ascii="Arial" w:cs="Arial" w:eastAsia="Arial" w:hAnsi="Arial"/>
          <w:sz w:val="20"/>
          <w:szCs w:val="20"/>
          <w:color w:val="auto"/>
        </w:rPr>
      </w:pPr>
    </w:p>
    <w:p>
      <w:pPr>
        <w:jc w:val="both"/>
        <w:ind w:firstLine="1304"/>
        <w:spacing w:after="0" w:line="282" w:lineRule="auto"/>
        <w:tabs>
          <w:tab w:leader="none" w:pos="19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initiated by such person, including any Proceeding against the corporation or its directors, officers, employees, or other indemnitees and not by way of defense, except (a) proceedings regarding indemnification for expenses in enforcing rights (unless a court of competent jurisdiction determines that each of the material assertions made by such person in such proceeding was not made in good faith or was frivolous); or (b) where the corporation has joined in or the board has consented to the initiation of such proceedings;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92" w:name="page93"/>
    <w:bookmarkEnd w:id="92"/>
    <w:p>
      <w:pPr>
        <w:jc w:val="both"/>
        <w:ind w:firstLine="1304"/>
        <w:spacing w:after="0" w:line="242" w:lineRule="auto"/>
        <w:tabs>
          <w:tab w:leader="none" w:pos="1931"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a final decision by a court of competent jurisdiction determines that such indemnification is prohibited by applicable law; provided, however, that if any provision or provisions of this Article VIII shall be held to be invalid, illegal or unenforceable for any reason whatsoever: (1) the validity, legality and enforceability of the remaining provisions of this Article VIII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VIII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8.7 </w:t>
      </w:r>
      <w:r>
        <w:rPr>
          <w:rFonts w:ascii="Arial" w:cs="Arial" w:eastAsia="Arial" w:hAnsi="Arial"/>
          <w:sz w:val="20"/>
          <w:szCs w:val="20"/>
          <w:u w:val="single" w:color="auto"/>
          <w:color w:val="auto"/>
        </w:rPr>
        <w:t>Determination; Claim</w:t>
      </w:r>
      <w:r>
        <w:rPr>
          <w:rFonts w:ascii="Arial" w:cs="Arial" w:eastAsia="Arial" w:hAnsi="Arial"/>
          <w:sz w:val="20"/>
          <w:szCs w:val="20"/>
          <w:color w:val="auto"/>
        </w:rPr>
        <w:t>. The corporation shall indemnify any claimants person against any and all expenses that are incurred</w:t>
      </w:r>
      <w:r>
        <w:rPr>
          <w:rFonts w:ascii="Arial" w:cs="Arial" w:eastAsia="Arial" w:hAnsi="Arial"/>
          <w:sz w:val="20"/>
          <w:szCs w:val="20"/>
          <w:b w:val="1"/>
          <w:bCs w:val="1"/>
          <w:color w:val="auto"/>
        </w:rPr>
        <w:t xml:space="preserve"> </w:t>
      </w:r>
      <w:r>
        <w:rPr>
          <w:rFonts w:ascii="Arial" w:cs="Arial" w:eastAsia="Arial" w:hAnsi="Arial"/>
          <w:sz w:val="20"/>
          <w:szCs w:val="20"/>
          <w:color w:val="auto"/>
        </w:rPr>
        <w:t>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8.8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The indemnification and advancement of expenses provided by, or granted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8.9 </w:t>
      </w: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may purchase and maintain insurance on behalf of any person who is or was a director,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8.10 </w:t>
      </w:r>
      <w:r>
        <w:rPr>
          <w:rFonts w:ascii="Arial" w:cs="Arial" w:eastAsia="Arial" w:hAnsi="Arial"/>
          <w:sz w:val="20"/>
          <w:szCs w:val="20"/>
          <w:u w:val="single" w:color="auto"/>
          <w:color w:val="auto"/>
        </w:rPr>
        <w:t>Survival</w:t>
      </w:r>
      <w:r>
        <w:rPr>
          <w:rFonts w:ascii="Arial" w:cs="Arial" w:eastAsia="Arial" w:hAnsi="Arial"/>
          <w:sz w:val="20"/>
          <w:szCs w:val="20"/>
          <w:color w:val="auto"/>
        </w:rPr>
        <w:t>. The rights to indemnification and advancement of expenses conferred by this Article VIII shall continue as to a</w:t>
      </w:r>
      <w:r>
        <w:rPr>
          <w:rFonts w:ascii="Arial" w:cs="Arial" w:eastAsia="Arial" w:hAnsi="Arial"/>
          <w:sz w:val="20"/>
          <w:szCs w:val="20"/>
          <w:b w:val="1"/>
          <w:bCs w:val="1"/>
          <w:color w:val="auto"/>
        </w:rPr>
        <w:t xml:space="preserve"> </w:t>
      </w:r>
      <w:r>
        <w:rPr>
          <w:rFonts w:ascii="Arial" w:cs="Arial" w:eastAsia="Arial" w:hAnsi="Arial"/>
          <w:sz w:val="20"/>
          <w:szCs w:val="20"/>
          <w:color w:val="auto"/>
        </w:rPr>
        <w:t>person who has ceased to be a director, officer, employee or agent and shall inure to the benefit of the heirs, executors and administrators of such a person.</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8.11 </w:t>
      </w:r>
      <w:r>
        <w:rPr>
          <w:rFonts w:ascii="Arial" w:cs="Arial" w:eastAsia="Arial" w:hAnsi="Arial"/>
          <w:sz w:val="19"/>
          <w:szCs w:val="19"/>
          <w:u w:val="single" w:color="auto"/>
          <w:color w:val="auto"/>
        </w:rPr>
        <w:t>Effect of Repeal or Modification</w:t>
      </w:r>
      <w:r>
        <w:rPr>
          <w:rFonts w:ascii="Arial" w:cs="Arial" w:eastAsia="Arial" w:hAnsi="Arial"/>
          <w:sz w:val="19"/>
          <w:szCs w:val="19"/>
          <w:color w:val="auto"/>
        </w:rPr>
        <w:t>. A right to indemnification or to advancement of expenses arising under a provision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8.12 </w:t>
      </w: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Article VIII, references to the “</w:t>
      </w:r>
      <w:r>
        <w:rPr>
          <w:rFonts w:ascii="Arial" w:cs="Arial" w:eastAsia="Arial" w:hAnsi="Arial"/>
          <w:sz w:val="20"/>
          <w:szCs w:val="20"/>
          <w:b w:val="1"/>
          <w:bCs w:val="1"/>
          <w:color w:val="auto"/>
        </w:rPr>
        <w:t>corporation</w:t>
      </w:r>
      <w:r>
        <w:rPr>
          <w:rFonts w:ascii="Arial" w:cs="Arial" w:eastAsia="Arial" w:hAnsi="Arial"/>
          <w:sz w:val="20"/>
          <w:szCs w:val="20"/>
          <w:color w:val="auto"/>
        </w:rPr>
        <w:t>” shall include, in addition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resulting corporation, any constituent corporation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93" w:name="page94"/>
    <w:bookmarkEnd w:id="93"/>
    <w:p>
      <w:pPr>
        <w:jc w:val="both"/>
        <w:spacing w:after="0" w:line="270" w:lineRule="auto"/>
        <w:rPr>
          <w:sz w:val="20"/>
          <w:szCs w:val="20"/>
          <w:color w:val="auto"/>
        </w:rPr>
      </w:pPr>
      <w:r>
        <w:rPr>
          <w:rFonts w:ascii="Arial" w:cs="Arial" w:eastAsia="Arial" w:hAnsi="Arial"/>
          <w:sz w:val="18"/>
          <w:szCs w:val="18"/>
          <w:color w:val="auto"/>
        </w:rPr>
        <w:t>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8"/>
          <w:szCs w:val="18"/>
          <w:b w:val="1"/>
          <w:b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b w:val="1"/>
          <w:bCs w:val="1"/>
          <w:color w:val="auto"/>
        </w:rPr>
        <w:t>serving at the request of the corporation</w:t>
      </w:r>
      <w:r>
        <w:rPr>
          <w:rFonts w:ascii="Arial" w:cs="Arial" w:eastAsia="Arial" w:hAnsi="Arial"/>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as referred to in this Article VIII.</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IX - GENERAL MATTERS</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0"/>
          <w:szCs w:val="20"/>
          <w:u w:val="single" w:color="auto"/>
          <w:color w:val="auto"/>
        </w:rPr>
        <w:t>Execution of Corporate Contracts and Instruments</w:t>
      </w:r>
      <w:r>
        <w:rPr>
          <w:rFonts w:ascii="Arial" w:cs="Arial" w:eastAsia="Arial" w:hAnsi="Arial"/>
          <w:sz w:val="20"/>
          <w:szCs w:val="20"/>
          <w:color w:val="auto"/>
        </w:rPr>
        <w:t>. Except as otherwise provided by law, the certificate of incorporation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0"/>
          <w:szCs w:val="20"/>
          <w:u w:val="single" w:color="auto"/>
          <w:color w:val="auto"/>
        </w:rPr>
        <w:t>Fiscal Year</w:t>
      </w:r>
      <w:r>
        <w:rPr>
          <w:rFonts w:ascii="Arial" w:cs="Arial" w:eastAsia="Arial" w:hAnsi="Arial"/>
          <w:sz w:val="20"/>
          <w:szCs w:val="20"/>
          <w:color w:val="auto"/>
        </w:rPr>
        <w:t>. The fiscal year of the corporation shall be fixed by resolution of the board of directors and may be changed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of directors.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 The corporation may adopt a corporate seal, which shall be adopted and which may be altered by 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may use the corporate seal by causing it or a facsimile thereof to be impressed or affixed or in any other manner reproduced.</w:t>
      </w:r>
    </w:p>
    <w:p>
      <w:pPr>
        <w:spacing w:after="0" w:line="24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9.4 </w:t>
      </w:r>
      <w:r>
        <w:rPr>
          <w:rFonts w:ascii="Arial" w:cs="Arial" w:eastAsia="Arial" w:hAnsi="Arial"/>
          <w:sz w:val="19"/>
          <w:szCs w:val="19"/>
          <w:u w:val="single" w:color="auto"/>
          <w:color w:val="auto"/>
        </w:rPr>
        <w:t>Checks, Notes, Drafts, Etc</w:t>
      </w:r>
      <w:r>
        <w:rPr>
          <w:rFonts w:ascii="Arial" w:cs="Arial" w:eastAsia="Arial" w:hAnsi="Arial"/>
          <w:sz w:val="19"/>
          <w:szCs w:val="19"/>
          <w:color w:val="auto"/>
        </w:rPr>
        <w:t>. All checks, notes, drafts or other orders for the payment of money of the Corporation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signed, endorsed 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9.5 </w:t>
      </w:r>
      <w:r>
        <w:rPr>
          <w:rFonts w:ascii="Arial" w:cs="Arial" w:eastAsia="Arial" w:hAnsi="Arial"/>
          <w:sz w:val="20"/>
          <w:szCs w:val="20"/>
          <w:u w:val="single" w:color="auto"/>
          <w:color w:val="auto"/>
        </w:rPr>
        <w:t>Conflict With Applicable Law or Certificate of Incorporation</w:t>
      </w:r>
      <w:r>
        <w:rPr>
          <w:rFonts w:ascii="Arial" w:cs="Arial" w:eastAsia="Arial" w:hAnsi="Arial"/>
          <w:sz w:val="20"/>
          <w:szCs w:val="20"/>
          <w:color w:val="auto"/>
        </w:rPr>
        <w:t>. These bylaws are adopted subject to any applicable law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certificate of incorporation. Whenever these bylaws may conflict with any applicable law or the certificate of incorporation, such conflict shall be resolved in favor of such law or the certificate of incorporation.</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 Unless the context requires otherwise, the general provisions, rules of construction, and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b w:val="1"/>
          <w:bCs w:val="1"/>
          <w:color w:val="auto"/>
        </w:rPr>
        <w:t>person</w:t>
      </w:r>
      <w:r>
        <w:rPr>
          <w:rFonts w:ascii="Arial" w:cs="Arial" w:eastAsia="Arial" w:hAnsi="Arial"/>
          <w:sz w:val="18"/>
          <w:szCs w:val="18"/>
          <w:color w:val="auto"/>
        </w:rPr>
        <w:t>” includes both a corporation and a natural person.</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X -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94" w:name="page95"/>
    <w:bookmarkEnd w:id="94"/>
    <w:p>
      <w:pPr>
        <w:jc w:val="both"/>
        <w:ind w:firstLine="648"/>
        <w:spacing w:after="0" w:line="246" w:lineRule="auto"/>
        <w:rPr>
          <w:sz w:val="20"/>
          <w:szCs w:val="20"/>
          <w:color w:val="auto"/>
        </w:rPr>
      </w:pPr>
      <w:r>
        <w:rPr>
          <w:rFonts w:ascii="Arial" w:cs="Arial" w:eastAsia="Arial" w:hAnsi="Arial"/>
          <w:sz w:val="20"/>
          <w:szCs w:val="20"/>
          <w:color w:val="auto"/>
        </w:rPr>
        <w:t>These bylaws may be adopted, amended or repealed by the stockholders entitled to vote; provided, however, that the affirmative vote of the holders of at least eighty percent (80%) of the total voting power of outstanding voting securities, voting together as a single class, shall be required for the stockholders of the corporation to alter, amend or repeal, or adopt any provision of these bylaws. The board of directors shall also have the power to adopt, amend or repeal bylaws.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bylaw amendment adopted by stockholders which specifies the votes that shall be necessary for the election of directors shall not be further amended or repealed by the board of directors.</w:t>
      </w:r>
    </w:p>
    <w:p>
      <w:pPr>
        <w:spacing w:after="0" w:line="171"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XI – FORUM SELECTION</w:t>
      </w:r>
    </w:p>
    <w:p>
      <w:pPr>
        <w:spacing w:after="0" w:line="222" w:lineRule="exact"/>
        <w:rPr>
          <w:sz w:val="20"/>
          <w:szCs w:val="20"/>
          <w:color w:val="auto"/>
        </w:rPr>
      </w:pPr>
    </w:p>
    <w:p>
      <w:pPr>
        <w:jc w:val="both"/>
        <w:ind w:firstLine="511"/>
        <w:spacing w:after="0" w:line="246" w:lineRule="auto"/>
        <w:rPr>
          <w:sz w:val="20"/>
          <w:szCs w:val="20"/>
          <w:color w:val="auto"/>
        </w:rPr>
      </w:pPr>
      <w:r>
        <w:rPr>
          <w:rFonts w:ascii="Arial" w:cs="Arial" w:eastAsia="Arial" w:hAnsi="Arial"/>
          <w:sz w:val="20"/>
          <w:szCs w:val="20"/>
          <w:color w:val="auto"/>
        </w:rPr>
        <w:t>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58" w:lineRule="exact"/>
        <w:rPr>
          <w:sz w:val="20"/>
          <w:szCs w:val="20"/>
          <w:color w:val="auto"/>
        </w:rPr>
      </w:pPr>
    </w:p>
    <w:p>
      <w:pPr>
        <w:ind w:left="1140" w:hanging="1114"/>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71" w:lineRule="exact"/>
        <w:rPr>
          <w:rFonts w:ascii="Arial" w:cs="Arial" w:eastAsia="Arial" w:hAnsi="Arial"/>
          <w:sz w:val="18"/>
          <w:szCs w:val="18"/>
          <w:color w:val="auto"/>
        </w:rPr>
      </w:pPr>
    </w:p>
    <w:p>
      <w:pPr>
        <w:jc w:val="both"/>
        <w:ind w:left="1120" w:right="20" w:hanging="1094"/>
        <w:spacing w:after="0" w:line="263"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120" w:right="20" w:hanging="1094"/>
        <w:spacing w:after="0" w:line="342" w:lineRule="auto"/>
        <w:tabs>
          <w:tab w:leader="none" w:pos="11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20" w:right="20" w:hanging="1094"/>
        <w:spacing w:after="0" w:line="263"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9" w:lineRule="exact"/>
        <w:rPr>
          <w:rFonts w:ascii="Arial" w:cs="Arial" w:eastAsia="Arial" w:hAnsi="Arial"/>
          <w:sz w:val="18"/>
          <w:szCs w:val="18"/>
          <w:color w:val="auto"/>
        </w:rPr>
      </w:pPr>
    </w:p>
    <w:p>
      <w:pPr>
        <w:jc w:val="both"/>
        <w:ind w:left="2320" w:right="40" w:hanging="519"/>
        <w:spacing w:after="0" w:line="311" w:lineRule="auto"/>
        <w:tabs>
          <w:tab w:leader="none" w:pos="23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2320" w:right="400" w:hanging="519"/>
        <w:spacing w:after="0" w:line="311" w:lineRule="auto"/>
        <w:tabs>
          <w:tab w:leader="none" w:pos="23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jc w:val="both"/>
        <w:ind w:left="2320" w:right="40" w:hanging="519"/>
        <w:spacing w:after="0" w:line="263" w:lineRule="auto"/>
        <w:tabs>
          <w:tab w:leader="none" w:pos="23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2320" w:right="40" w:hanging="519"/>
        <w:spacing w:after="0" w:line="311" w:lineRule="auto"/>
        <w:tabs>
          <w:tab w:leader="none" w:pos="23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jc w:val="both"/>
        <w:ind w:left="1120" w:right="20" w:hanging="1094"/>
        <w:spacing w:after="0" w:line="263"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2300" w:right="20" w:hanging="519"/>
        <w:spacing w:after="0" w:line="263" w:lineRule="auto"/>
        <w:tabs>
          <w:tab w:leader="none" w:pos="2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300" w:right="20" w:hanging="519"/>
        <w:spacing w:after="0" w:line="277" w:lineRule="auto"/>
        <w:tabs>
          <w:tab w:leader="none" w:pos="2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2020</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686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Ida Kane, certify that:</w:t>
      </w:r>
    </w:p>
    <w:p>
      <w:pPr>
        <w:spacing w:after="0" w:line="158" w:lineRule="exact"/>
        <w:rPr>
          <w:sz w:val="20"/>
          <w:szCs w:val="20"/>
          <w:color w:val="auto"/>
        </w:rPr>
      </w:pPr>
    </w:p>
    <w:p>
      <w:pPr>
        <w:ind w:left="1140" w:hanging="1114"/>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AppFolio, Inc.;</w:t>
      </w:r>
    </w:p>
    <w:p>
      <w:pPr>
        <w:spacing w:after="0" w:line="171" w:lineRule="exact"/>
        <w:rPr>
          <w:rFonts w:ascii="Arial" w:cs="Arial" w:eastAsia="Arial" w:hAnsi="Arial"/>
          <w:sz w:val="18"/>
          <w:szCs w:val="18"/>
          <w:color w:val="auto"/>
        </w:rPr>
      </w:pPr>
    </w:p>
    <w:p>
      <w:pPr>
        <w:jc w:val="both"/>
        <w:ind w:left="1120" w:right="20" w:hanging="1094"/>
        <w:spacing w:after="0" w:line="263"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120" w:right="20" w:hanging="1094"/>
        <w:spacing w:after="0" w:line="342" w:lineRule="auto"/>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20" w:right="20" w:hanging="1094"/>
        <w:spacing w:after="0" w:line="263"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345" w:lineRule="exact"/>
        <w:rPr>
          <w:rFonts w:ascii="Arial" w:cs="Arial" w:eastAsia="Arial" w:hAnsi="Arial"/>
          <w:sz w:val="18"/>
          <w:szCs w:val="18"/>
          <w:color w:val="auto"/>
        </w:rPr>
      </w:pPr>
    </w:p>
    <w:p>
      <w:pPr>
        <w:jc w:val="both"/>
        <w:ind w:left="2320" w:right="20" w:hanging="553"/>
        <w:spacing w:after="0" w:line="311" w:lineRule="auto"/>
        <w:tabs>
          <w:tab w:leader="none" w:pos="23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2300" w:right="400" w:hanging="546"/>
        <w:spacing w:after="0" w:line="311" w:lineRule="auto"/>
        <w:tabs>
          <w:tab w:leader="none" w:pos="2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jc w:val="both"/>
        <w:ind w:left="2320" w:right="20" w:hanging="553"/>
        <w:spacing w:after="0" w:line="263" w:lineRule="auto"/>
        <w:tabs>
          <w:tab w:leader="none" w:pos="2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2320" w:right="20" w:hanging="553"/>
        <w:spacing w:after="0" w:line="311" w:lineRule="auto"/>
        <w:tabs>
          <w:tab w:leader="none" w:pos="23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jc w:val="both"/>
        <w:ind w:left="1120" w:right="20" w:hanging="1094"/>
        <w:spacing w:after="0" w:line="263"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jc w:val="both"/>
        <w:ind w:left="2420" w:right="20" w:hanging="639"/>
        <w:spacing w:after="0" w:line="263" w:lineRule="auto"/>
        <w:tabs>
          <w:tab w:leader="none" w:pos="24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2420" w:right="20" w:hanging="639"/>
        <w:spacing w:after="0" w:line="277" w:lineRule="auto"/>
        <w:tabs>
          <w:tab w:leader="none" w:pos="2420" w:val="left"/>
        </w:tabs>
        <w:numPr>
          <w:ilvl w:val="3"/>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2020</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97" w:name="page98"/>
    <w:bookmarkEnd w:id="97"/>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June 30, 2020, as filed with the Securities and Exchange Commission on the date hereof (the “Report”):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104" w:lineRule="exact"/>
        <w:rPr>
          <w:sz w:val="20"/>
          <w:szCs w:val="20"/>
          <w:color w:val="auto"/>
        </w:rPr>
      </w:pPr>
    </w:p>
    <w:p>
      <w:pPr>
        <w:ind w:left="20"/>
        <w:spacing w:after="0"/>
        <w:tabs>
          <w:tab w:leader="none" w:pos="880" w:val="left"/>
          <w:tab w:leader="none" w:pos="5200" w:val="left"/>
          <w:tab w:leader="none" w:pos="5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89" w:lineRule="exact"/>
        <w:rPr>
          <w:sz w:val="20"/>
          <w:szCs w:val="20"/>
          <w:color w:val="auto"/>
        </w:rPr>
      </w:pPr>
    </w:p>
    <w:p>
      <w:pPr>
        <w:ind w:left="20"/>
        <w:spacing w:after="0"/>
        <w:tabs>
          <w:tab w:leader="none" w:pos="880" w:val="left"/>
          <w:tab w:leader="none" w:pos="5200" w:val="left"/>
          <w:tab w:leader="none" w:pos="5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4"/>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1."/>
      <w:numFmt w:val="decimal"/>
      <w:start w:val="8"/>
    </w:lvl>
  </w:abstractNum>
  <w:abstractNum w:abstractNumId="8">
    <w:nsid w:val="2901D82"/>
    <w:multiLevelType w:val="hybridMultilevel"/>
    <w:lvl w:ilvl="0">
      <w:lvlJc w:val="left"/>
      <w:lvlText w:val="%1."/>
      <w:numFmt w:val="decimal"/>
      <w:start w:val="1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Roman"/>
      <w:start w:val="1"/>
    </w:lvl>
  </w:abstractNum>
  <w:abstractNum w:abstractNumId="27">
    <w:nsid w:val="2463B9E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8">
    <w:nsid w:val="5E884ADC"/>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29">
    <w:nsid w:val="51EAD36B"/>
    <w:multiLevelType w:val="hybridMultilevel"/>
    <w:lvl w:ilvl="0">
      <w:lvlJc w:val="left"/>
      <w:lvlText w:val="%1"/>
      <w:numFmt w:val="lowerRoman"/>
      <w:start w:val="1"/>
    </w:lvl>
    <w:lvl w:ilvl="1">
      <w:lvlJc w:val="left"/>
      <w:lvlText w:val="(%2)"/>
      <w:numFmt w:val="lowerLetter"/>
      <w:start w:val="3"/>
    </w:lvl>
  </w:abstractNum>
  <w:abstractNum w:abstractNumId="30">
    <w:nsid w:val="2D517796"/>
    <w:multiLevelType w:val="hybridMultilevel"/>
    <w:lvl w:ilvl="0">
      <w:lvlJc w:val="left"/>
      <w:lvlText w:val="%1."/>
      <w:numFmt w:val="lowerRoman"/>
      <w:start w:val="2"/>
    </w:lvl>
    <w:lvl w:ilvl="1">
      <w:lvlJc w:val="left"/>
      <w:lvlText w:val="%2"/>
      <w:numFmt w:val="lowerLetter"/>
      <w:start w:val="1"/>
    </w:lvl>
  </w:abstractNum>
  <w:abstractNum w:abstractNumId="31">
    <w:nsid w:val="580BD78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2">
    <w:nsid w:val="153EA43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3">
    <w:nsid w:val="3855585C"/>
    <w:multiLevelType w:val="hybridMultilevel"/>
    <w:lvl w:ilvl="0">
      <w:lvlJc w:val="left"/>
      <w:lvlText w:val="(%1)"/>
      <w:numFmt w:val="lowerLetter"/>
      <w:start w:val="3"/>
    </w:lvl>
  </w:abstractNum>
  <w:abstractNum w:abstractNumId="34">
    <w:nsid w:val="70A64E2A"/>
    <w:multiLevelType w:val="hybridMultilevel"/>
    <w:lvl w:ilvl="0">
      <w:lvlJc w:val="left"/>
      <w:lvlText w:val="%1."/>
      <w:numFmt w:val="lowerRoman"/>
      <w:start w:val="3"/>
    </w:lvl>
    <w:lvl w:ilvl="1">
      <w:lvlJc w:val="left"/>
      <w:lvlText w:val="(%2)"/>
      <w:numFmt w:val="lowerLetter"/>
      <w:start w:val="1"/>
    </w:lvl>
  </w:abstractNum>
  <w:abstractNum w:abstractNumId="35">
    <w:nsid w:val="6A2342EC"/>
    <w:multiLevelType w:val="hybridMultilevel"/>
    <w:lvl w:ilvl="0">
      <w:lvlJc w:val="left"/>
      <w:lvlText w:val="%1."/>
      <w:numFmt w:val="lowerRoman"/>
      <w:start w:val="1"/>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1."/>
      <w:numFmt w:val="lowerRoman"/>
      <w:start w:val="1"/>
    </w:lvl>
  </w:abstractNum>
  <w:abstractNum w:abstractNumId="38">
    <w:nsid w:val="725A06FB"/>
    <w:multiLevelType w:val="hybridMultilevel"/>
    <w:lvl w:ilvl="0">
      <w:lvlJc w:val="left"/>
      <w:lvlText w:val="%1."/>
      <w:numFmt w:val="lowerRoman"/>
      <w:start w:val="4"/>
    </w:lvl>
  </w:abstractNum>
  <w:abstractNum w:abstractNumId="39">
    <w:nsid w:val="2CD89A32"/>
    <w:multiLevelType w:val="hybridMultilevel"/>
    <w:lvl w:ilvl="0">
      <w:lvlJc w:val="left"/>
      <w:lvlText w:val="(%1)"/>
      <w:numFmt w:val="lowerRoman"/>
      <w:start w:val="1"/>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lowerRoman"/>
      <w:start w:val="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lowerRoman"/>
      <w:start w:val="3"/>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lowerRoman"/>
      <w:start w:val="5"/>
    </w:lvl>
  </w:abstractNum>
  <w:abstractNum w:abstractNumId="46">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2020-08-03T15:14:05Z</dcterms:created>
  <dcterms:modified xsi:type="dcterms:W3CDTF">2020-08-03T15:14:05Z</dcterms:modified>
</cp:coreProperties>
</file>