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8.png" ContentType="image/png"/>
  <Override PartName="/word/media/image27.png" ContentType="image/png"/>
  <Override PartName="/word/media/image26.png" ContentType="image/png"/>
  <Override PartName="/word/media/image25.png" ContentType="image/png"/>
  <Override PartName="/word/media/image24.png" ContentType="image/png"/>
  <Override PartName="/word/media/image23.png" ContentType="image/png"/>
  <Override PartName="/word/media/image8.png" ContentType="image/png"/>
  <Override PartName="/word/media/image10.png" ContentType="image/png"/>
  <Override PartName="/word/media/image9.jpeg" ContentType="image/jpeg"/>
  <Override PartName="/word/media/image5.png" ContentType="image/png"/>
  <Override PartName="/word/media/image16.jpeg" ContentType="image/jpeg"/>
  <Override PartName="/word/media/image1.jpeg" ContentType="image/jpeg"/>
  <Override PartName="/word/media/image4.jpeg" ContentType="image/jpeg"/>
  <Override PartName="/word/media/image3.png" ContentType="image/png"/>
  <Override PartName="/word/media/image20.jpeg" ContentType="image/jpeg"/>
  <Override PartName="/word/media/image6.png" ContentType="image/png"/>
  <Override PartName="/word/media/image21.png" ContentType="image/png"/>
  <Override PartName="/word/media/image11.jpeg" ContentType="image/jpeg"/>
  <Override PartName="/word/media/image12.png" ContentType="image/png"/>
  <Override PartName="/word/media/image13.png" ContentType="image/png"/>
  <Override PartName="/word/media/image14.png" ContentType="image/png"/>
  <Override PartName="/word/media/image15.png" ContentType="image/png"/>
  <Override PartName="/word/media/image2.jpeg" ContentType="image/jpeg"/>
  <Override PartName="/word/media/image17.jpeg" ContentType="image/jpeg"/>
  <Override PartName="/word/media/image18.png" ContentType="image/png"/>
  <Override PartName="/word/media/image19.png" ContentType="image/png"/>
  <Override PartName="/word/media/image7.png" ContentType="image/png"/>
  <Override PartName="/word/media/image22.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60" w:after="283"/>
        <w:rPr/>
      </w:pPr>
      <w:r>
        <w:rPr/>
      </w:r>
    </w:p>
    <w:p>
      <w:pPr>
        <w:pStyle w:val="TextBody"/>
        <w:spacing w:before="0" w:after="0"/>
        <w:rPr/>
      </w:pPr>
      <w:r>
        <w:rPr/>
      </w:r>
    </w:p>
    <w:p>
      <w:pPr>
        <w:pStyle w:val="TextBody"/>
        <w:spacing w:lineRule="auto" w:line="288" w:before="0" w:after="40"/>
        <w:rPr>
          <w:color w:val="000000"/>
        </w:rPr>
      </w:pPr>
      <w:r>
        <w:rPr>
          <w:color w:val="000000"/>
        </w:rPr>
        <w:t> </w:t>
      </w:r>
    </w:p>
    <w:p>
      <w:pPr>
        <w:pStyle w:val="TextBody"/>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spacing w:before="0" w:after="0"/>
        <w:jc w:val="center"/>
        <w:rPr/>
      </w:pPr>
      <w:r>
        <w:rPr/>
      </w:r>
    </w:p>
    <w:p>
      <w:pPr>
        <w:pStyle w:val="TextBody"/>
        <w:spacing w:lineRule="auto" w:line="288" w:before="0" w:after="0"/>
        <w:jc w:val="center"/>
        <w:rPr/>
      </w:pPr>
      <w:r>
        <w:rPr>
          <w:color w:val="000000"/>
        </w:rPr>
        <w:t> </w:t>
      </w:r>
      <w:r>
        <w:rPr>
          <w:rFonts w:ascii="Times New Roman;sans-serif" w:hAnsi="Times New Roman;sans-serif"/>
          <w:b/>
          <w:color w:val="000000"/>
          <w:sz w:val="32"/>
        </w:rPr>
        <w:t>FORM 10-K</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spacing w:before="0" w:after="0"/>
        <w:jc w:val="center"/>
        <w:rPr/>
      </w:pPr>
      <w:r>
        <w:rPr/>
      </w:r>
    </w:p>
    <w:p>
      <w:pPr>
        <w:pStyle w:val="TextBody"/>
        <w:spacing w:before="100" w:after="100"/>
        <w:rPr/>
      </w:pPr>
      <w:r>
        <w:rPr/>
      </w:r>
    </w:p>
    <w:p>
      <w:pPr>
        <w:pStyle w:val="TextBody"/>
        <w:spacing w:lineRule="auto" w:line="288" w:before="0" w:after="0"/>
        <w:rPr/>
      </w:pPr>
      <w:r>
        <w:rPr>
          <w:color w:val="000000"/>
        </w:rPr>
        <w:t xml:space="preserve">☒ </w:t>
      </w:r>
      <w:r>
        <w:rPr>
          <w:rFonts w:ascii="Times New Roman;sans-serif" w:hAnsi="Times New Roman;sans-serif"/>
          <w:b/>
          <w:color w:val="000000"/>
          <w:sz w:val="18"/>
        </w:rPr>
        <w:t xml:space="preserve">ANNUAL REPORT PURSUANT TO SECTION 13 OR 15(d) OF THE SECURITIES EXCHANGE ACT OF 1934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2021 </w:t>
      </w:r>
    </w:p>
    <w:p>
      <w:pPr>
        <w:pStyle w:val="TextBody"/>
        <w:spacing w:before="0" w:after="0"/>
        <w:rPr/>
      </w:pPr>
      <w:r>
        <w:rPr/>
      </w:r>
    </w:p>
    <w:p>
      <w:pPr>
        <w:pStyle w:val="TextBody"/>
        <w:spacing w:lineRule="auto" w:line="288" w:before="100" w:after="100"/>
        <w:rPr/>
      </w:pPr>
      <w:r>
        <w:rPr>
          <w:color w:val="000000"/>
        </w:rPr>
        <w:t xml:space="preserve">☐ </w:t>
      </w:r>
      <w:r>
        <w:rPr>
          <w:rFonts w:ascii="Times New Roman;sans-serif" w:hAnsi="Times New Roman;sans-serif"/>
          <w:b/>
          <w:color w:val="000000"/>
          <w:sz w:val="18"/>
        </w:rPr>
        <w:t xml:space="preserve">TRANSITION REPORT PURSUANT TO SECTION 13 OR 15(d) OF THE SECURITIES EXCHANGE ACT OF 1934 </w:t>
      </w:r>
    </w:p>
    <w:p>
      <w:pPr>
        <w:pStyle w:val="TextBody"/>
        <w:spacing w:before="0" w:after="0"/>
        <w:rPr/>
      </w:pPr>
      <w:r>
        <w:rPr/>
      </w:r>
    </w:p>
    <w:p>
      <w:pPr>
        <w:pStyle w:val="TextBody"/>
        <w:spacing w:lineRule="auto" w:line="288" w:before="6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color w:val="000000"/>
        </w:rPr>
        <w:t xml:space="preserve">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001-37468 </w:t>
      </w:r>
    </w:p>
    <w:p>
      <w:pPr>
        <w:pStyle w:val="TextBody"/>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tbl>
      <w:tblPr>
        <w:tblW w:w="6821" w:type="dxa"/>
        <w:jc w:val="center"/>
        <w:tblInd w:w="0" w:type="dxa"/>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 Castilian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6"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93117</w:t>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spacing w:before="20" w:after="283"/>
        <w:jc w:val="center"/>
        <w:rPr/>
      </w:pPr>
      <w:r>
        <w:rPr/>
      </w:r>
    </w:p>
    <w:p>
      <w:pPr>
        <w:pStyle w:val="TextBody"/>
        <w:spacing w:lineRule="auto" w:line="288" w:before="0" w:after="0"/>
        <w:jc w:val="center"/>
        <w:rPr/>
      </w:pPr>
      <w:r>
        <w:rPr>
          <w:color w:val="000000"/>
        </w:rPr>
        <w:t> </w:t>
      </w:r>
      <w:r>
        <w:rPr>
          <w:rFonts w:ascii="Times New Roman;sans-serif" w:hAnsi="Times New Roman;sans-serif"/>
          <w:b/>
          <w:color w:val="000000"/>
          <w:sz w:val="20"/>
        </w:rPr>
        <w:t xml:space="preserve">(805) 364-6093 </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Exchange Act: </w:t>
      </w:r>
    </w:p>
    <w:p>
      <w:pPr>
        <w:pStyle w:val="TextBody"/>
        <w:spacing w:lineRule="auto" w:line="288" w:before="0" w:after="0"/>
        <w:rPr>
          <w:color w:val="000000"/>
        </w:rPr>
      </w:pPr>
      <w:r>
        <w:rPr>
          <w:color w:val="000000"/>
        </w:rPr>
        <w:t> </w:t>
      </w:r>
    </w:p>
    <w:tbl>
      <w:tblPr>
        <w:tblW w:w="9382" w:type="dxa"/>
        <w:jc w:val="center"/>
        <w:tblInd w:w="0" w:type="dxa"/>
        <w:tblCellMar>
          <w:top w:w="28" w:type="dxa"/>
          <w:left w:w="28" w:type="dxa"/>
          <w:bottom w:w="28" w:type="dxa"/>
          <w:right w:w="28" w:type="dxa"/>
        </w:tblCellMar>
      </w:tblPr>
      <w:tblGrid>
        <w:gridCol w:w="1475"/>
        <w:gridCol w:w="1298"/>
        <w:gridCol w:w="1307"/>
        <w:gridCol w:w="109"/>
        <w:gridCol w:w="109"/>
        <w:gridCol w:w="109"/>
        <w:gridCol w:w="519"/>
        <w:gridCol w:w="519"/>
        <w:gridCol w:w="521"/>
        <w:gridCol w:w="109"/>
        <w:gridCol w:w="109"/>
        <w:gridCol w:w="109"/>
        <w:gridCol w:w="905"/>
        <w:gridCol w:w="905"/>
        <w:gridCol w:w="1279"/>
      </w:tblGrid>
      <w:tr>
        <w:trPr/>
        <w:tc>
          <w:tcPr>
            <w:tcW w:w="147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exchange on which registered</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spacing w:before="0" w:after="0"/>
        <w:rPr/>
      </w:pPr>
      <w:r>
        <w:rPr/>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12(g) of the Exchange Act: </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None </w:t>
      </w:r>
    </w:p>
    <w:p>
      <w:pPr>
        <w:pStyle w:val="TextBody"/>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spacing w:before="0" w:after="0"/>
        <w:jc w:val="center"/>
        <w:rPr/>
      </w:pPr>
      <w:r>
        <w:rPr/>
      </w:r>
    </w:p>
    <w:p>
      <w:pPr>
        <w:pStyle w:val="TextBody"/>
        <w:spacing w:lineRule="auto" w:line="288" w:before="132" w:after="88"/>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132" w:after="283"/>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No</w:t>
      </w:r>
      <w:r>
        <w:rPr>
          <w:color w:val="000000"/>
        </w:rPr>
        <w:t xml:space="preserve"> ☒</w:t>
      </w:r>
    </w:p>
    <w:p>
      <w:pPr>
        <w:pStyle w:val="TextBody"/>
        <w:spacing w:before="132" w:after="283"/>
        <w:jc w:val="both"/>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57"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voting and non-voting common equity held by non-affiliates of the registrant, based on the closing price of the registrant’s Class A common stock on June 30, 2021 (the last business day of the registrant’s mostly recently completed second fiscal quarter), as reported on the NASDAQ Global Market on such date, was approximately $2.963 billion. Shares of the registrant’s Class A common stock and Class B common stock held by each executive officer, director and holder of 10% or more of the registrant’s outstanding Class A common stock and Class B common stock have been excluded from this calculation as such persons may be deemed to be affiliates. The determination of affiliate status for this purpose does not reflect a determination that any of such persons shall be deemed to be an affiliate of the registrant for any other purpose.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At February 14, 2022, the number of shares of the registrant’s Class A common stock outstanding was 20,003,719 and the number of shares of the registrant’s Class B common stock outstanding was 14,836,256.</w:t>
      </w:r>
    </w:p>
    <w:p>
      <w:pPr>
        <w:pStyle w:val="TextBody"/>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 xml:space="preserve">DOCUMENTS INCORPORATED BY REFERENCE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2022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pStyle w:val="TextBody"/>
        <w:spacing w:lineRule="auto" w:line="288" w:before="80" w:after="283"/>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TextBody"/>
        <w:spacing w:lineRule="auto" w:line="288" w:before="80" w:after="283"/>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TextBody"/>
        <w:spacing w:before="160" w:after="283"/>
        <w:jc w:val="center"/>
        <w:rPr/>
      </w:pPr>
      <w:r>
        <w:rPr/>
      </w:r>
    </w:p>
    <w:p>
      <w:pPr>
        <w:pStyle w:val="TextBody"/>
        <w:spacing w:lineRule="auto" w:line="288" w:before="0" w:after="0"/>
        <w:jc w:val="center"/>
        <w:rPr>
          <w:color w:val="000000"/>
        </w:rPr>
      </w:pPr>
      <w:r>
        <w:rPr>
          <w:color w:val="000000"/>
        </w:rPr>
        <w:t> </w:t>
      </w:r>
    </w:p>
    <w:p>
      <w:pPr>
        <w:pStyle w:val="TextBody"/>
        <w:spacing w:before="0" w:after="0"/>
        <w:rPr/>
      </w:pPr>
      <w:r>
        <w:rPr/>
      </w:r>
    </w:p>
    <w:p>
      <w:pPr>
        <w:pStyle w:val="TextBody"/>
        <w:spacing w:before="10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60" w:after="283"/>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2021 </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97"/>
        <w:gridCol w:w="294"/>
        <w:gridCol w:w="285"/>
        <w:gridCol w:w="2700"/>
        <w:gridCol w:w="2659"/>
        <w:gridCol w:w="2686"/>
        <w:gridCol w:w="109"/>
        <w:gridCol w:w="109"/>
        <w:gridCol w:w="109"/>
        <w:gridCol w:w="249"/>
        <w:gridCol w:w="249"/>
        <w:gridCol w:w="359"/>
      </w:tblGrid>
      <w:tr>
        <w:trPr/>
        <w:tc>
          <w:tcPr>
            <w:tcW w:w="39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700"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i2e64fdac788546218496b126acbfa85e_13">
              <w:r>
                <w:rPr>
                  <w:rStyle w:val="InternetLink"/>
                  <w:rFonts w:ascii="Times New Roman;sans-serif" w:hAnsi="Times New Roman;sans-serif"/>
                  <w:b w:val="false"/>
                  <w:color w:val="0000FF"/>
                  <w:sz w:val="20"/>
                  <w:u w:val="single"/>
                </w:rPr>
                <w:t>Part I</w:t>
              </w:r>
            </w:hyperlink>
          </w:p>
        </w:tc>
        <w:tc>
          <w:tcPr>
            <w:tcW w:w="8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3">
              <w:r>
                <w:rPr>
                  <w:rStyle w:val="InternetLink"/>
                  <w:rFonts w:ascii="Times New Roman;sans-serif" w:hAnsi="Times New Roman;sans-serif"/>
                  <w:b w:val="false"/>
                  <w:color w:val="0000FF"/>
                  <w:sz w:val="20"/>
                  <w:u w:val="single"/>
                </w:rPr>
                <w:t>Business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3">
              <w:r>
                <w:rPr>
                  <w:rStyle w:val="InternetLink"/>
                  <w:rFonts w:ascii="Times New Roman;sans-serif" w:hAnsi="Times New Roman;sans-serif"/>
                  <w:b w:val="false"/>
                  <w:color w:val="0000FF"/>
                  <w:sz w:val="20"/>
                  <w:u w:val="single"/>
                </w:rPr>
                <w:t>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6">
              <w:r>
                <w:rPr>
                  <w:rStyle w:val="InternetLink"/>
                  <w:rFonts w:ascii="Times New Roman;sans-serif" w:hAnsi="Times New Roman;sans-serif"/>
                  <w:b w:val="false"/>
                  <w:color w:val="0000FF"/>
                  <w:sz w:val="20"/>
                  <w:u w:val="single"/>
                </w:rPr>
                <w:t>Risk Factors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6">
              <w:r>
                <w:rPr>
                  <w:rStyle w:val="InternetLink"/>
                  <w:rFonts w:ascii="Times New Roman;sans-serif" w:hAnsi="Times New Roman;sans-serif"/>
                  <w:b w:val="false"/>
                  <w:color w:val="0000FF"/>
                  <w:sz w:val="20"/>
                  <w:u w:val="single"/>
                </w:rPr>
                <w:t>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9">
              <w:r>
                <w:rPr>
                  <w:rStyle w:val="InternetLink"/>
                  <w:rFonts w:ascii="Times New Roman;sans-serif" w:hAnsi="Times New Roman;sans-serif"/>
                  <w:b w:val="false"/>
                  <w:color w:val="0000FF"/>
                  <w:sz w:val="20"/>
                  <w:u w:val="single"/>
                </w:rPr>
                <w:t>Unresolved Staff Comments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9">
              <w:r>
                <w:rPr>
                  <w:rStyle w:val="InternetLink"/>
                  <w:rFonts w:ascii="Times New Roman;sans-serif" w:hAnsi="Times New Roman;sans-serif"/>
                  <w:b w:val="false"/>
                  <w:color w:val="0000FF"/>
                  <w:sz w:val="20"/>
                  <w:u w:val="singl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22">
              <w:r>
                <w:rPr>
                  <w:rStyle w:val="InternetLink"/>
                  <w:rFonts w:ascii="Times New Roman;sans-serif" w:hAnsi="Times New Roman;sans-serif"/>
                  <w:b w:val="false"/>
                  <w:color w:val="0000FF"/>
                  <w:sz w:val="20"/>
                  <w:u w:val="single"/>
                </w:rPr>
                <w:t>Properties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22">
              <w:r>
                <w:rPr>
                  <w:rStyle w:val="InternetLink"/>
                  <w:rFonts w:ascii="Times New Roman;sans-serif" w:hAnsi="Times New Roman;sans-serif"/>
                  <w:b w:val="false"/>
                  <w:color w:val="0000FF"/>
                  <w:sz w:val="20"/>
                  <w:u w:val="singl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25">
              <w:r>
                <w:rPr>
                  <w:rStyle w:val="InternetLink"/>
                  <w:rFonts w:ascii="Times New Roman;sans-serif" w:hAnsi="Times New Roman;sans-serif"/>
                  <w:b w:val="false"/>
                  <w:color w:val="0000FF"/>
                  <w:sz w:val="20"/>
                  <w:u w:val="single"/>
                </w:rPr>
                <w:t>Legal Proceedings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25">
              <w:r>
                <w:rPr>
                  <w:rStyle w:val="InternetLink"/>
                  <w:rFonts w:ascii="Times New Roman;sans-serif" w:hAnsi="Times New Roman;sans-serif"/>
                  <w:b w:val="false"/>
                  <w:color w:val="0000FF"/>
                  <w:sz w:val="20"/>
                  <w:u w:val="singl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28">
              <w:r>
                <w:rPr>
                  <w:rStyle w:val="InternetLink"/>
                  <w:rFonts w:ascii="Times New Roman;sans-serif" w:hAnsi="Times New Roman;sans-serif"/>
                  <w:b w:val="false"/>
                  <w:color w:val="0000FF"/>
                  <w:sz w:val="20"/>
                  <w:u w:val="single"/>
                </w:rPr>
                <w:t>Mine Safety Disclosures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28">
              <w:r>
                <w:rPr>
                  <w:rStyle w:val="InternetLink"/>
                  <w:rFonts w:ascii="Times New Roman;sans-serif" w:hAnsi="Times New Roman;sans-serif"/>
                  <w:b w:val="false"/>
                  <w:color w:val="0000FF"/>
                  <w:sz w:val="20"/>
                  <w:u w:val="singl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31">
              <w:r>
                <w:rPr>
                  <w:rStyle w:val="InternetLink"/>
                  <w:rFonts w:ascii="Times New Roman;sans-serif" w:hAnsi="Times New Roman;sans-serif"/>
                  <w:b w:val="false"/>
                  <w:color w:val="0000FF"/>
                  <w:sz w:val="20"/>
                  <w:u w:val="single"/>
                </w:rPr>
                <w:t>Part II</w:t>
              </w:r>
            </w:hyperlink>
          </w:p>
        </w:tc>
        <w:tc>
          <w:tcPr>
            <w:tcW w:w="8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31">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31">
              <w:r>
                <w:rPr>
                  <w:rStyle w:val="InternetLink"/>
                  <w:rFonts w:ascii="Times New Roman;sans-serif" w:hAnsi="Times New Roman;sans-serif"/>
                  <w:b w:val="false"/>
                  <w:color w:val="0000FF"/>
                  <w:sz w:val="20"/>
                  <w:u w:val="singl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34">
              <w:r>
                <w:rPr>
                  <w:rStyle w:val="InternetLink"/>
                  <w:rFonts w:ascii="Times New Roman;sans-serif" w:hAnsi="Times New Roman;sans-serif"/>
                  <w:b w:val="false"/>
                  <w:color w:val="0000FF"/>
                  <w:sz w:val="20"/>
                  <w:u w:val="single"/>
                </w:rPr>
                <w:t>[RESERVED]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34">
              <w:r>
                <w:rPr>
                  <w:rStyle w:val="InternetLink"/>
                  <w:rFonts w:ascii="Times New Roman;sans-serif" w:hAnsi="Times New Roman;sans-serif"/>
                  <w:b w:val="false"/>
                  <w:color w:val="0000FF"/>
                  <w:sz w:val="20"/>
                  <w:u w:val="single"/>
                </w:rPr>
                <w:t>19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7.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37">
              <w:r>
                <w:rPr>
                  <w:rStyle w:val="InternetLink"/>
                  <w:rFonts w:ascii="Times New Roman;sans-serif" w:hAnsi="Times New Roman;sans-serif"/>
                  <w:b w:val="false"/>
                  <w:color w:val="0000FF"/>
                  <w:sz w:val="20"/>
                  <w:u w:val="single"/>
                </w:rPr>
                <w:t>Management's Discussion and Analysis of Financial Condition and Results of Operation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37">
              <w:r>
                <w:rPr>
                  <w:rStyle w:val="InternetLink"/>
                  <w:rFonts w:ascii="Times New Roman;sans-serif" w:hAnsi="Times New Roman;sans-serif"/>
                  <w:b w:val="false"/>
                  <w:color w:val="0000FF"/>
                  <w:sz w:val="20"/>
                  <w:u w:val="single"/>
                </w:rPr>
                <w:t>19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61">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61">
              <w:r>
                <w:rPr>
                  <w:rStyle w:val="InternetLink"/>
                  <w:rFonts w:ascii="Times New Roman;sans-serif" w:hAnsi="Times New Roman;sans-serif"/>
                  <w:b w:val="false"/>
                  <w:color w:val="0000FF"/>
                  <w:sz w:val="20"/>
                  <w:u w:val="single"/>
                </w:rPr>
                <w:t>29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64">
              <w:r>
                <w:rPr>
                  <w:rStyle w:val="InternetLink"/>
                  <w:rFonts w:ascii="Times New Roman;sans-serif" w:hAnsi="Times New Roman;sans-serif"/>
                  <w:b w:val="false"/>
                  <w:color w:val="0000FF"/>
                  <w:sz w:val="20"/>
                  <w:u w:val="single"/>
                </w:rPr>
                <w:t>Financial Statements and Supplementary Data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64">
              <w:r>
                <w:rPr>
                  <w:rStyle w:val="InternetLink"/>
                  <w:rFonts w:ascii="Times New Roman;sans-serif" w:hAnsi="Times New Roman;sans-serif"/>
                  <w:b w:val="false"/>
                  <w:color w:val="0000FF"/>
                  <w:sz w:val="20"/>
                  <w:u w:val="single"/>
                </w:rPr>
                <w:t>29</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36">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36">
              <w:r>
                <w:rPr>
                  <w:rStyle w:val="InternetLink"/>
                  <w:rFonts w:ascii="Times New Roman;sans-serif" w:hAnsi="Times New Roman;sans-serif"/>
                  <w:b w:val="false"/>
                  <w:color w:val="0000FF"/>
                  <w:sz w:val="20"/>
                  <w:u w:val="single"/>
                </w:rPr>
                <w:t>56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39">
              <w:r>
                <w:rPr>
                  <w:rStyle w:val="InternetLink"/>
                  <w:rFonts w:ascii="Times New Roman;sans-serif" w:hAnsi="Times New Roman;sans-serif"/>
                  <w:b w:val="false"/>
                  <w:color w:val="0000FF"/>
                  <w:sz w:val="20"/>
                  <w:u w:val="single"/>
                </w:rPr>
                <w:t>Controls and Procedures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39">
              <w:r>
                <w:rPr>
                  <w:rStyle w:val="InternetLink"/>
                  <w:rFonts w:ascii="Times New Roman;sans-serif" w:hAnsi="Times New Roman;sans-serif"/>
                  <w:b w:val="false"/>
                  <w:color w:val="0000FF"/>
                  <w:sz w:val="20"/>
                  <w:u w:val="singl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396">
              <w:r>
                <w:rPr>
                  <w:rStyle w:val="InternetLink"/>
                  <w:rFonts w:ascii="Times New Roman;sans-serif" w:hAnsi="Times New Roman;sans-serif"/>
                  <w:b w:val="false"/>
                  <w:color w:val="0000FF"/>
                  <w:sz w:val="20"/>
                  <w:u w:val="single"/>
                </w:rPr>
                <w:t>Other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396">
              <w:r>
                <w:rPr>
                  <w:rStyle w:val="InternetLink"/>
                  <w:rFonts w:ascii="Times New Roman;sans-serif" w:hAnsi="Times New Roman;sans-serif"/>
                  <w:b w:val="false"/>
                  <w:color w:val="0000FF"/>
                  <w:sz w:val="20"/>
                  <w:u w:val="singl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402">
              <w:r>
                <w:rPr>
                  <w:rStyle w:val="InternetLink"/>
                  <w:rFonts w:ascii="Times New Roman;sans-serif" w:hAnsi="Times New Roman;sans-serif"/>
                  <w:b w:val="false"/>
                  <w:color w:val="0000FF"/>
                  <w:sz w:val="20"/>
                  <w:u w:val="single"/>
                </w:rPr>
                <w:t>Disclosure Regarding Foreign Jurisdictions that Prevent Inspections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402">
              <w:r>
                <w:rPr>
                  <w:rStyle w:val="InternetLink"/>
                  <w:rFonts w:ascii="Times New Roman;sans-serif" w:hAnsi="Times New Roman;sans-serif"/>
                  <w:b w:val="false"/>
                  <w:color w:val="0000FF"/>
                  <w:sz w:val="20"/>
                  <w:u w:val="singl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42">
              <w:r>
                <w:rPr>
                  <w:rStyle w:val="InternetLink"/>
                  <w:rFonts w:ascii="Times New Roman;sans-serif" w:hAnsi="Times New Roman;sans-serif"/>
                  <w:b w:val="false"/>
                  <w:color w:val="0000FF"/>
                  <w:sz w:val="20"/>
                  <w:u w:val="single"/>
                </w:rPr>
                <w:t>Part III</w:t>
              </w:r>
            </w:hyperlink>
          </w:p>
        </w:tc>
        <w:tc>
          <w:tcPr>
            <w:tcW w:w="8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10.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45">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45">
              <w:r>
                <w:rPr>
                  <w:rStyle w:val="InternetLink"/>
                  <w:rFonts w:ascii="Times New Roman;sans-serif" w:hAnsi="Times New Roman;sans-serif"/>
                  <w:b w:val="false"/>
                  <w:color w:val="0000FF"/>
                  <w:sz w:val="20"/>
                  <w:u w:val="singl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48">
              <w:r>
                <w:rPr>
                  <w:rStyle w:val="InternetLink"/>
                  <w:rFonts w:ascii="Times New Roman;sans-serif" w:hAnsi="Times New Roman;sans-serif"/>
                  <w:b w:val="false"/>
                  <w:color w:val="0000FF"/>
                  <w:sz w:val="20"/>
                  <w:u w:val="single"/>
                </w:rPr>
                <w:t>Executive Compensation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48">
              <w:r>
                <w:rPr>
                  <w:rStyle w:val="InternetLink"/>
                  <w:rFonts w:ascii="Times New Roman;sans-serif" w:hAnsi="Times New Roman;sans-serif"/>
                  <w:b w:val="false"/>
                  <w:color w:val="0000FF"/>
                  <w:sz w:val="20"/>
                  <w:u w:val="single"/>
                </w:rPr>
                <w:t>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12.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5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51">
              <w:r>
                <w:rPr>
                  <w:rStyle w:val="InternetLink"/>
                  <w:rFonts w:ascii="Times New Roman;sans-serif" w:hAnsi="Times New Roman;sans-serif"/>
                  <w:b w:val="false"/>
                  <w:color w:val="0000FF"/>
                  <w:sz w:val="20"/>
                  <w:u w:val="single"/>
                </w:rPr>
                <w:t>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5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54">
              <w:r>
                <w:rPr>
                  <w:rStyle w:val="InternetLink"/>
                  <w:rFonts w:ascii="Times New Roman;sans-serif" w:hAnsi="Times New Roman;sans-serif"/>
                  <w:b w:val="false"/>
                  <w:color w:val="0000FF"/>
                  <w:sz w:val="20"/>
                  <w:u w:val="single"/>
                </w:rPr>
                <w:t>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57">
              <w:r>
                <w:rPr>
                  <w:rStyle w:val="InternetLink"/>
                  <w:rFonts w:ascii="Times New Roman;sans-serif" w:hAnsi="Times New Roman;sans-serif"/>
                  <w:b w:val="false"/>
                  <w:color w:val="0000FF"/>
                  <w:sz w:val="20"/>
                  <w:u w:val="single"/>
                </w:rPr>
                <w:t>Principal Accounting Fees and Services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57">
              <w:r>
                <w:rPr>
                  <w:rStyle w:val="InternetLink"/>
                  <w:rFonts w:ascii="Times New Roman;sans-serif" w:hAnsi="Times New Roman;sans-serif"/>
                  <w:b w:val="false"/>
                  <w:color w:val="0000FF"/>
                  <w:sz w:val="20"/>
                  <w:u w:val="single"/>
                </w:rPr>
                <w:t>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60">
              <w:r>
                <w:rPr>
                  <w:rStyle w:val="InternetLink"/>
                  <w:rFonts w:ascii="Times New Roman;sans-serif" w:hAnsi="Times New Roman;sans-serif"/>
                  <w:b w:val="false"/>
                  <w:color w:val="0000FF"/>
                  <w:sz w:val="20"/>
                  <w:u w:val="single"/>
                </w:rPr>
                <w:t>Part IV</w:t>
              </w:r>
            </w:hyperlink>
          </w:p>
        </w:tc>
        <w:tc>
          <w:tcPr>
            <w:tcW w:w="8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63">
              <w:r>
                <w:rPr>
                  <w:rStyle w:val="InternetLink"/>
                  <w:rFonts w:ascii="Times New Roman;sans-serif" w:hAnsi="Times New Roman;sans-serif"/>
                  <w:b w:val="false"/>
                  <w:color w:val="0000FF"/>
                  <w:sz w:val="20"/>
                  <w:u w:val="single"/>
                </w:rPr>
                <w:t>Exhibits and Financial Statement Schedules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63">
              <w:r>
                <w:rPr>
                  <w:rStyle w:val="InternetLink"/>
                  <w:rFonts w:ascii="Times New Roman;sans-serif" w:hAnsi="Times New Roman;sans-serif"/>
                  <w:b w:val="false"/>
                  <w:color w:val="0000FF"/>
                  <w:sz w:val="20"/>
                  <w:u w:val="single"/>
                </w:rPr>
                <w:t>58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69">
              <w:r>
                <w:rPr>
                  <w:rStyle w:val="InternetLink"/>
                  <w:rFonts w:ascii="Times New Roman;sans-serif" w:hAnsi="Times New Roman;sans-serif"/>
                  <w:b w:val="false"/>
                  <w:color w:val="0000FF"/>
                  <w:sz w:val="20"/>
                  <w:u w:val="single"/>
                </w:rPr>
                <w:t>Signatures</w:t>
              </w:r>
            </w:hyperlink>
          </w:p>
        </w:tc>
        <w:tc>
          <w:tcPr>
            <w:tcW w:w="8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169">
              <w:r>
                <w:rPr>
                  <w:rStyle w:val="InternetLink"/>
                  <w:rFonts w:ascii="Times New Roman;sans-serif" w:hAnsi="Times New Roman;sans-serif"/>
                  <w:b w:val="false"/>
                  <w:color w:val="0000FF"/>
                  <w:sz w:val="20"/>
                  <w:u w:val="single"/>
                </w:rPr>
                <w:t>60</w:t>
              </w:r>
            </w:hyperlink>
          </w:p>
        </w:tc>
      </w:tr>
    </w:tbl>
    <w:p>
      <w:pPr>
        <w:pStyle w:val="TextBody"/>
        <w:spacing w:lineRule="auto" w:line="288" w:before="0" w:after="0"/>
        <w:rPr>
          <w:color w:val="000000"/>
        </w:rPr>
      </w:pP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60" w:after="283"/>
        <w:jc w:val="center"/>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60" w:after="283"/>
        <w:jc w:val="center"/>
        <w:rPr/>
      </w:pPr>
      <w:r>
        <w:rPr/>
      </w:r>
    </w:p>
    <w:p>
      <w:pPr>
        <w:pStyle w:val="TextBody"/>
        <w:spacing w:lineRule="auto" w:line="288" w:before="6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(this "Annual Report") contains forward-looking statements within the meaning of federal securities laws, which statements involve substantial risks and uncertainties. The forward-looking statements made in this Annual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“Risk Factors” and elsewhere in this Annual Report.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Annual Report is based only on information currently available to us and speaks only as of the date on which it is made. We undertake no obligation to update any forward-looking statements made in this Annual Report to reflect events or circumstances after the date of this Annual Report or to reflect new information or the occurrence of unanticipated events, except as required by law. </w:t>
      </w:r>
    </w:p>
    <w:p>
      <w:pPr>
        <w:pStyle w:val="TextBody"/>
        <w:spacing w:before="60" w:after="283"/>
        <w:jc w:val="center"/>
        <w:rPr/>
      </w:pPr>
      <w:r>
        <w:rPr/>
      </w:r>
    </w:p>
    <w:p>
      <w:pPr>
        <w:pStyle w:val="TextBody"/>
        <w:spacing w:lineRule="auto" w:line="288" w:before="0" w:after="0"/>
        <w:ind w:left="0" w:right="0" w:hanging="99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300" w:after="283"/>
        <w:jc w:val="both"/>
        <w:rPr>
          <w:color w:val="000000"/>
        </w:rPr>
      </w:pPr>
      <w:r>
        <w:rPr>
          <w:color w:val="000000"/>
        </w:rPr>
        <w:t>    </w:t>
      </w:r>
      <w:r>
        <w:rPr>
          <w:rFonts w:ascii="Times New Roman;sans-serif" w:hAnsi="Times New Roman;sans-serif"/>
          <w:b w:val="false"/>
          <w:i/>
          <w:color w:val="000000"/>
          <w:sz w:val="20"/>
        </w:rPr>
        <w:t>Unless otherwise stated in this Annual Report, references to "AppFolio," "we," "us," and "our" refer to AppFolio, Inc. and its consolidated subsidiaries.</w:t>
      </w:r>
    </w:p>
    <w:p>
      <w:pPr>
        <w:pStyle w:val="TextBody"/>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is a leading provider of cloud business management solutions for the real estate industry. Our solutions enable our customers to digitally transform their businesses, automate and streamline critical business operations and deliver a better customer experience.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in 2006 with the vision to revolutionize vertical industry businesses by providing great software and services. Our mission is even more relevant today, as digital transformation is effectively a requirement for business success in the modern world, and the way we work and live today requires powerful software solutions.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solutions are designed to meet that need in the real estate industry, and assist an increasingly interconnected and growing ecosystem of users, including property managers, property owners, real estate investment managers, rental prospects, residents, and service providers, with critical transactions across the real estate lifecycle, including screening potential tenants, sending and receiving payments and even providing insurance-related risk mitigation services. AppFolio’s intuitive interface, coupled with streamlined and automated workflows, make it easier for our customers to eliminate redundant and manual processes so they can deliver a great experience for their users while improving financial and operational performance.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and mobile-optimized solutions are designed for use across multiple devices and operating systems, and to be a system of record to centralize and automate these essential business processes, a system of engagement to enhance business interactions between our customers and their business ecosystems, and a system of intelligence to leverage data to predict and optimize business workflows in order to enable exceptional customer experiences and increase efficiency across our customers' businesses. Our solutions are offered as a service, and are hosted using a modern cloud-based architecture.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strategic partners and third-party service providers to deliver certain aspects of our solutions, and we strive to provide a seamlessly integrated experience for our customers. We believe our customer-centric culture empowers a focus on customer satisfaction that leads to long-term retention and, ultimately, to our long-term success. Our commitment to building innovative products, delivering exceptional customer experiences, and nurturing our company culture has led AppFolio to be listed as a 2020 and 2021 Fortune 100 Fastest Growing Company.</w:t>
      </w:r>
    </w:p>
    <w:p>
      <w:pPr>
        <w:pStyle w:val="TextBody"/>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Our Core Solutions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Platform</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AppFolio’s platform addresses important aspects of workflows common to property management and is frequently updated in response to market trends and customer needs. Further, we believe that partnering and integrating with curated third party solutions to enable important functionality for our customers while maintaining an elevated customer experience will benefit our customer base over time. Core functionality of our services addresses key operational issues, including accounting, business analytics and management, marketing and leasing functionality, maintenance and operational efficiency, as well as communications with key stakeholders.</w:t>
      </w:r>
    </w:p>
    <w:p>
      <w:pPr>
        <w:pStyle w:val="TextBody"/>
        <w:spacing w:before="60" w:after="120"/>
        <w:ind w:left="0" w:right="0" w:firstLine="720"/>
        <w:jc w:val="both"/>
        <w:rPr/>
      </w:pPr>
      <w:r>
        <w:rPr/>
      </w:r>
    </w:p>
    <w:p>
      <w:pPr>
        <w:pStyle w:val="TextBody"/>
        <w:spacing w:before="60" w:after="120"/>
        <w:jc w:val="center"/>
        <w:rPr/>
      </w:pPr>
      <w:r>
        <w:rPr/>
        <w:drawing>
          <wp:inline distT="0" distB="63500" distL="0" distR="0">
            <wp:extent cx="6515100" cy="3171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3171825"/>
                    </a:xfrm>
                    <a:prstGeom prst="rect">
                      <a:avLst/>
                    </a:prstGeom>
                  </pic:spPr>
                </pic:pic>
              </a:graphicData>
            </a:graphic>
          </wp:inline>
        </w:drawing>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AppFolio Property Manager</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provides the platform upon which property managers can run their business operations. Property management companies choose AppFolio Property Manager to leverage the benefits of process automation, an easy-to-use interface, and the optimization of common workflows. Customers include third-party property managers and owner-operators, who typically manage single- and multi-family residential properties, and others who manage community association, and commercial properties.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serves as our customers’ system of record with accounting functionality at the core. All critical transactions are completed and recorded in the system and give our customers access to the data they need to run their business. AppFolio Property Manager is also the system of engagement that customers use to interact with the residents living at their properties, the owners and investors owning those properties, and vendors providing products and services to the properties. Both aspects of the system are inherently interconnected so that the day-to-day interactions, such as residents paying rent through the AppFolio Property Manager mobile app, are instantly reflected in the system of record. For our customers, AppFolio Property Manager's mobile capabilities enable their teams to be productive regardless of their location, responding to leasing inquiries, addressing work orders, or completing inspections on the go. Due to their distributed nature, this is especially relevant for our property management customers with a significant portion of single-family or small multi-family properties.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AppFolio Property Manager Plus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serve customers with larger and more complex portfolios with AppFolio Property Manager Plus, recognizing the evolving needs these customers have for deeper business insights, automation, and more advanced customer experiences. These customers typically have a more diverse mix of property types, a wider geographical dispersion of their properties, and the larger teams necessary to manage those types of portfolios. AppFolio Property Manager Plus is designed to solve these challenges in multiple ways: through customizable workflows that allow customers to digitize their existing processes; by providing performance insights; through intelligent revenue management; through integrations with a set of carefully selected partners; and through dedicated strategic account managers that help customers realize the full benefit of our solution.</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Value Added Services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Manager’s optional but often mission-critical Value Added Services are designed to enhance, automate and streamline business-critical processes and workflows. These services build on functionality and workflows in our solutions and generally fall into the categories of marketing and leasing, electronic payment services, business optimization, and risk mitigation (e.g., insurance-related services). Although many of our Value Added Services are enabled by third-party partners, we strive for a seamless experience for our customers that increases their efficiency while not sacrificing ease of use of AppFolio Property Manager and AppFolio Property Manager Plus. Utilization and adoption of our Value Added Services is typically higher for residential properties than community association or commercial properties because of the unique and complex needs of the residential rental lifecycle.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empower our customers and users with a wide variety of Value Added Services, primarily:</w:t>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Electronic Payment Services. </w:t>
      </w:r>
      <w:r>
        <w:rPr>
          <w:rFonts w:ascii="Times New Roman;sans-serif" w:hAnsi="Times New Roman;sans-serif"/>
          <w:b w:val="false"/>
          <w:color w:val="000000"/>
          <w:sz w:val="20"/>
        </w:rPr>
        <w:t>Our electronic payment services allow property managers to streamline their receivables and payables through a variety of online payment options. Customers can collect funds through our secure online portal, our mobile application and/or via electronic cash payments from various users, including applicants, residents and property owners. Types of funds that may be collected include rental application fees, security deposits, rent payments, and other tenant charges; contributions from property owners; and periodic dues from those living in community associations. Customers can also electronically send funds to various users, including distributions to property owners; payments to service providers; and payment to their own management company.</w:t>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Tenant Screening Services.</w:t>
      </w:r>
      <w:r>
        <w:rPr>
          <w:color w:val="000000"/>
        </w:rPr>
        <w:t xml:space="preserve"> </w:t>
      </w:r>
      <w:r>
        <w:rPr>
          <w:rFonts w:ascii="Times New Roman;sans-serif" w:hAnsi="Times New Roman;sans-serif"/>
          <w:b w:val="false"/>
          <w:color w:val="000000"/>
          <w:sz w:val="20"/>
        </w:rPr>
        <w:t>Our tenant screening services include background screening, credit checks, income verification, and a streamlined rental history verification process for use in connection with the rental application process.</w:t>
      </w:r>
    </w:p>
    <w:p>
      <w:pPr>
        <w:pStyle w:val="TextBody"/>
        <w:spacing w:lineRule="auto" w:line="288" w:before="0" w:after="120"/>
        <w:ind w:left="0" w:right="0" w:hanging="360"/>
        <w:jc w:val="both"/>
        <w:rPr/>
      </w:pPr>
      <w:r>
        <w:rPr>
          <w:color w:val="000000"/>
        </w:rPr>
        <w:t>•</w:t>
      </w:r>
      <w:r>
        <w:rPr>
          <w:rFonts w:ascii="Times New Roman;sans-serif" w:hAnsi="Times New Roman;sans-serif"/>
          <w:b/>
          <w:i/>
          <w:color w:val="000000"/>
          <w:sz w:val="20"/>
        </w:rPr>
        <w:t>Insurance.</w:t>
      </w:r>
      <w:r>
        <w:rPr>
          <w:color w:val="000000"/>
        </w:rPr>
        <w:t xml:space="preserve"> </w:t>
      </w:r>
      <w:r>
        <w:rPr>
          <w:rFonts w:ascii="Times New Roman;sans-serif" w:hAnsi="Times New Roman;sans-serif"/>
          <w:b w:val="false"/>
          <w:color w:val="000000"/>
          <w:sz w:val="20"/>
        </w:rPr>
        <w:t>Through partnerships and wholly-owned subsidiaries, we make available certain risk mitigation services. Our liability to landlord insurance product allows our property management customers to enforce insurance coverage requirements within their leases by tracking coverage of their units and adding uncovered units to a qualifying liability to landlord insurance policy via a licensed insurance broker, while renters insurance</w:t>
      </w:r>
      <w:r>
        <w:rPr>
          <w:color w:val="000000"/>
        </w:rPr>
        <w:t xml:space="preserve"> </w:t>
      </w:r>
      <w:r>
        <w:rPr>
          <w:rFonts w:ascii="Times New Roman;sans-serif" w:hAnsi="Times New Roman;sans-serif"/>
          <w:b w:val="false"/>
          <w:color w:val="000000"/>
          <w:sz w:val="20"/>
        </w:rPr>
        <w:t>protects the personal belongings of renters, as well as the property itself, from certain unexpected damages.</w:t>
      </w:r>
    </w:p>
    <w:p>
      <w:pPr>
        <w:pStyle w:val="TextBody"/>
        <w:spacing w:lineRule="auto" w:line="288" w:before="60" w:after="120"/>
        <w:ind w:left="0" w:right="0" w:firstLine="720"/>
        <w:jc w:val="both"/>
        <w:rPr/>
      </w:pPr>
      <w:r>
        <w:rPr>
          <w:rFonts w:ascii="Times New Roman;sans-serif" w:hAnsi="Times New Roman;sans-serif"/>
          <w:b w:val="false"/>
          <w:color w:val="000000"/>
          <w:sz w:val="20"/>
        </w:rPr>
        <w:t>We experience some seasonality in our Value Added Services revenue. See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for additional details regarding seasonality of revenue.</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strategy in the near term is to provide increasingly valuable business management solutions to new and existing customers in the real estate industry. We are leveraging this growing footprint to expand both within the property management market as well as into adjacent markets. We define adjacent markets as markets that have both real estate and non-real estate characteristics. Key components of our near and extended term growth strategy include:</w:t>
      </w:r>
    </w:p>
    <w:p>
      <w:pPr>
        <w:pStyle w:val="TextBody"/>
        <w:spacing w:lineRule="auto" w:line="288" w:before="60" w:after="120"/>
        <w:ind w:left="0" w:right="0" w:firstLine="720"/>
        <w:jc w:val="both"/>
        <w:rPr/>
      </w:pPr>
      <w:r>
        <w:rPr>
          <w:rFonts w:ascii="Times New Roman;sans-serif" w:hAnsi="Times New Roman;sans-serif"/>
          <w:b/>
          <w:i/>
          <w:color w:val="000000"/>
          <w:sz w:val="20"/>
        </w:rPr>
        <w:t>Maintain Product and Technology Leadership.</w:t>
      </w:r>
      <w:r>
        <w:rPr>
          <w:color w:val="000000"/>
        </w:rPr>
        <w:t xml:space="preserve"> </w:t>
      </w:r>
      <w:r>
        <w:rPr>
          <w:rFonts w:ascii="Times New Roman;sans-serif" w:hAnsi="Times New Roman;sans-serif"/>
          <w:b w:val="false"/>
          <w:color w:val="000000"/>
          <w:sz w:val="20"/>
        </w:rPr>
        <w:t xml:space="preserve">We have made and will continue to make significant investments in research and new product development to expand our platform capabilities. We intend to continue using our market validation techniques and close relationships with our customers and users as a key source of feedback to inform and direct our product strategy. We may also choose to acquire rather than build certain technology capabilities, or to partner and integrate with curated third parties to deliver key functionality to serve the needs of our customers and their business ecosystems, all while maintaining a superior customer experience. </w:t>
      </w:r>
    </w:p>
    <w:p>
      <w:pPr>
        <w:pStyle w:val="TextBody"/>
        <w:spacing w:lineRule="auto" w:line="288" w:before="60" w:after="120"/>
        <w:ind w:left="0" w:right="0" w:firstLine="720"/>
        <w:jc w:val="both"/>
        <w:rPr/>
      </w:pPr>
      <w:r>
        <w:rPr>
          <w:rFonts w:ascii="Times New Roman;sans-serif" w:hAnsi="Times New Roman;sans-serif"/>
          <w:b/>
          <w:i/>
          <w:color w:val="000000"/>
          <w:sz w:val="20"/>
        </w:rPr>
        <w:t>Keep Our Existing Customers and Users Happy.</w:t>
      </w:r>
      <w:r>
        <w:rPr>
          <w:color w:val="000000"/>
        </w:rPr>
        <w:t xml:space="preserve"> </w:t>
      </w:r>
      <w:r>
        <w:rPr>
          <w:rFonts w:ascii="Times New Roman;sans-serif" w:hAnsi="Times New Roman;sans-serif"/>
          <w:b w:val="false"/>
          <w:color w:val="000000"/>
          <w:sz w:val="20"/>
        </w:rPr>
        <w:t xml:space="preserve">We believe customer success is essential to our long-term success, and we strive to have loyal and engaged long-term customer relationships. We place significant emphasis on customer experience to differentiate our solutions from competing products. This emphasis will continue to be a critical component of our growth strategy in the future. We believe that maintaining our focus on customer success will lead to new product innovation, the referral of new customers from existing satisfied customers, and greater adoption and utilization of our solutions.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pPr>
      <w:r>
        <w:rPr>
          <w:rFonts w:ascii="Times New Roman;sans-serif" w:hAnsi="Times New Roman;sans-serif"/>
          <w:b/>
          <w:i/>
          <w:color w:val="000000"/>
          <w:sz w:val="20"/>
        </w:rPr>
        <w:t xml:space="preserve">Acquire New Customers. </w:t>
      </w:r>
      <w:r>
        <w:rPr>
          <w:rFonts w:ascii="Times New Roman;sans-serif" w:hAnsi="Times New Roman;sans-serif"/>
          <w:b w:val="false"/>
          <w:color w:val="000000"/>
          <w:sz w:val="20"/>
        </w:rPr>
        <w:t xml:space="preserve">We believe new customer acquisition is essential to our long-term success. We expect to continue to grow our base of customers, and thus the number of units managed on our platform, with continued investments in the development of increasingly valuable business management solutions across not only the existing property types we currently serve but new ones as well, innovative sales and marketing programs, including evolving real estate industry thought leadership and education, and the referral power of satisfied customers. To continue to attract larger customers, we may increase our utilization of partnerships and integrations with select third parties to deliver key functionality. </w:t>
      </w:r>
    </w:p>
    <w:p>
      <w:pPr>
        <w:pStyle w:val="TextBody"/>
        <w:spacing w:lineRule="auto" w:line="288" w:before="60" w:after="120"/>
        <w:ind w:left="0" w:right="0" w:firstLine="720"/>
        <w:jc w:val="both"/>
        <w:rPr/>
      </w:pPr>
      <w:r>
        <w:rPr>
          <w:rFonts w:ascii="Times New Roman;sans-serif" w:hAnsi="Times New Roman;sans-serif"/>
          <w:b/>
          <w:i/>
          <w:color w:val="000000"/>
          <w:sz w:val="20"/>
        </w:rPr>
        <w:t xml:space="preserve">Expand Adoption and Use By Existing Customers. </w:t>
      </w:r>
      <w:r>
        <w:rPr>
          <w:rFonts w:ascii="Times New Roman;sans-serif" w:hAnsi="Times New Roman;sans-serif"/>
          <w:b w:val="false"/>
          <w:color w:val="000000"/>
          <w:sz w:val="20"/>
        </w:rPr>
        <w:t xml:space="preserve">We have made, and will continue to make, significant investments in our solutions that expand functionality and enhance or add new capabilities to meet the current and evolving needs of our customers. We expect our satisfied customers will expand their adoption and usage of our Value Added Services to adapt our platform to their specific operational requirements. In addition, as our customers grow, we expect they will continue to use our solutions to manage their larger businesses. To facilitate the continued use of our solutions by larger customers, we may increase our utilization of partnerships and integrations with select third parties to deliver key functionality while maintaining an elevated customer experience. </w:t>
      </w:r>
    </w:p>
    <w:p>
      <w:pPr>
        <w:pStyle w:val="TextBody"/>
        <w:spacing w:lineRule="auto" w:line="288" w:before="60" w:after="120"/>
        <w:ind w:left="0" w:right="0" w:firstLine="720"/>
        <w:jc w:val="both"/>
        <w:rPr/>
      </w:pPr>
      <w:r>
        <w:rPr>
          <w:rFonts w:ascii="Times New Roman;sans-serif" w:hAnsi="Times New Roman;sans-serif"/>
          <w:b/>
          <w:i/>
          <w:color w:val="000000"/>
          <w:sz w:val="20"/>
        </w:rPr>
        <w:t>Enter New Adjacent Markets.</w:t>
      </w:r>
      <w:r>
        <w:rPr>
          <w:color w:val="000000"/>
        </w:rPr>
        <w:t xml:space="preserve"> </w:t>
      </w:r>
      <w:r>
        <w:rPr>
          <w:rFonts w:ascii="Times New Roman;sans-serif" w:hAnsi="Times New Roman;sans-serif"/>
          <w:b w:val="false"/>
          <w:color w:val="000000"/>
          <w:sz w:val="20"/>
        </w:rPr>
        <w:t xml:space="preserve">We expect to continue to evaluate and expand into adjacent markets (as defined above) based on our market validation strategy and targeted customer feedback in a manner consistent with our strategic plan. While we are continuously developing our real estate industry solutions within a given market, we believe we can apply certain relevant product features and key learnings from that market to find synergies and new opportunities as we extend our solutions into successive adjacent markets. An example of our adjacent market expansion effort is AppFolio Investment Management, which we released in April 2019 and is designed to enable real estate investment management organizations to better manage investor relationships by increasing transparency and streamlining certain business processes. By leveraging our knowledge and expertise in the real estate industry to grow AppFolio Investment Management, we may eventually develop investment management solutions for markets in other industries. </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customers as those paying for a subscription to our core solutions. As of December 31, 2021, we had 17,215 property management customers. No individual customer represented 10% or more of our total revenue for fiscal 2021.</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Customer Service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is tied to long-term customer relationships, not a one-time sale. Our team is structured to deliver ongoing service; this includes ongoing live and on-demand training, a library of resources, and personalized account management. We regularly measure NPS and solicit customer feedback in a variety of ways in an effort to continue to better serve our customers. Our solutions are designed to be easy to use and manage, and we offer training and support at no extra charge.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Onboarding consists of a dedicated team that works to ensure that customers are prepared to run their businesses on our platform. As a result of our assistance with data migration matters, we are able to provide valuable insights into data integrity and work with our customers to help resolve any issues in their underlying business processes. We also assist our customers with the configuration of our products for particular property types, as appropriate. We share insights on best practices for the markets we serve and dedicate resources to guide our customers through the adoption and utilization of our Value Added Services.</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leverage a modern and scalable marketing approach along with marketing automation technology to attract and engage prospects and build brand recognition as an industry leader. We participate in industry thought leadership and education, and we use a variety of inbound and outbound marketing techniques to promote AppFolio solutions.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team acts in partnership with our marketing and sales teams to reach potential customers, generate sales opportunities, and accelerate the time from evaluation to close. Our sales representatives assist prospective customers as they evaluate our products. Our interactive sales methodology allows our sales team to quickly build relationships, assess our customers’ business challenges, and demonstrate the benefits of our core functionality and, where applicable, Value Added Services.</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Technology and Operations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powered by a highly scalable computing platform and are designed with a strong focus on data security and availability. We use Ruby-on-Rails as our primary web application framework, and we take great care to keep this application framework and the rest of our software stack current in order to mitigate known security vulnerabilities. Our computing platform and cloud infrastructure are primarily powered by Amazon Web Services’ Elastic Compute Cloud (EC2) platform. In order to ensure that data is not lost and that customer requests can be satisfied, production assets are securely replicated and regularly backed up to multiple geographic regions.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production infrastructure to ensure high performance and availability, and our architecture allows our operators significant flexibility in achieving these goals. In particular, we have fine-grained control over the specific server and region on which each customer's data resides, and can move customer data between different geographic regions in order to avoid service disruption or to increase service performance.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Sensitive customer data, including passwords, Social Security, and tax identification numbers, is encrypted during transmission, and before being written to disk. We regularly evaluate our product and infrastructure security, including through third-party penetration testing. In addition, our products allow our customers to define roles that provide different levels of access to users, allowing them to view and modify specific items depending on their role. Supervisors can distribute work to on-site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Research and Product Development</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input from our customers and prospective customers in developing products that meet their needs and in anticipating developments in their businesses. We perform research and market validation efforts to guide our product roadmap. We believe that it is easier for our customers to adjust to continuous updates to our platform, which incrementally change and improve their user experience than to adapt to infrequent, but more drastic, upgrades.</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market for business management solutions in the real estate and other industries is global, highly competitive and continually evolving to respond to changes in technology, operational requirements, and ever-changing laws and regulations. We believe our competitors primarily fall into the following categories:</w:t>
      </w:r>
    </w:p>
    <w:p>
      <w:pPr>
        <w:pStyle w:val="TextBody"/>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On-premise or cloud-based real estate business management service providers that serve companies of all sizes in our markets; and</w:t>
      </w:r>
    </w:p>
    <w:p>
      <w:pPr>
        <w:pStyle w:val="TextBody"/>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On-premise or cloud-based horizontal business management service providers that offer broad solutions across multiple industries.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experience competition from numerous cloud-based solutions providers that focus almost exclusively on one or more point solutions in the real estate industry or in other industries. Continued consolidation among cloud-based solution providers could significantly increase competition.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have greater financial, technical and other resources, greater name recognition and larger sales and marketing budgets; therefore, we may not always compare favorably with respect to some or all of the foregoing factors. Further, the barrier to entry for competition in one or more areas we serve may be low, which could lead to competition from new entrants who solve similar problems in different ways.</w:t>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patents, copyrights, trademarks, trade secrets, confidentiality procedures and contractual restrictions to establish and protect our proprietary rights in our core solutions and Value Added Services. We may pursue additional patent protection to the extent we believe it would be beneficial and cost-effective.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control access to our proprietary technology by entering into confidentiality and invention assignment agreements with our employees and contractors, and confidentiality agreements with third parties. Despite our precautions, it may be possible for unauthorized third parties to copy our products and use information that we regard as proprietary to create products and services that compete with ours.</w:t>
      </w:r>
    </w:p>
    <w:p>
      <w:pPr>
        <w:pStyle w:val="TextBody"/>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people are at the heart of our success. Our employees’ dedication to and passion for creating and delivering transformative solutions provides us with a competitive advantage and creates long-lasting relationships with our customers. We believe our efforts in creating and maintaining strong connections — with our customers, partners, and team members — differentiates AppFolio as a great place to work. This has led to recognition that demonstrates our valued company culture and workplace: Fortune recognized AppFolio as a Great Place to Work for Women in 2021, and the annual Glassdoor Employees’ Choice Awards listed AppFolio as one of the Best Places to Work in 2022.</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culture, driven by the following six core values, fuels our dedication and passion: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Simpler Is Better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Great, Innovative Products Are Key To A Great Business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Great People Make A Great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Listening To Customers Is In Our DNA</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Small, Focused Teams Keep Us Agile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Do The Right Thing; It’s Good For Business</w:t>
      </w:r>
    </w:p>
    <w:p>
      <w:pPr>
        <w:pStyle w:val="TextBody"/>
        <w:spacing w:before="0" w:after="0"/>
        <w:jc w:val="both"/>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1,600 employees. We routinely engage temporary employees and consultants. None of our employees are represented by a labor union or covered by a collective bargaining agreement. We consider our relationships with our employees and consultants to be strong. To maintain this strong relationship and attract new talent, our human capital management efforts focus on the following initiatives:</w:t>
      </w:r>
    </w:p>
    <w:p>
      <w:pPr>
        <w:pStyle w:val="TextBody"/>
        <w:spacing w:lineRule="auto" w:line="288" w:before="60" w:after="120"/>
        <w:ind w:left="0" w:right="0" w:firstLine="720"/>
        <w:jc w:val="both"/>
        <w:rPr/>
      </w:pPr>
      <w:r>
        <w:rPr>
          <w:rFonts w:ascii="Times New Roman;sans-serif" w:hAnsi="Times New Roman;sans-serif"/>
          <w:b/>
          <w:i/>
          <w:color w:val="000000"/>
          <w:sz w:val="20"/>
        </w:rPr>
        <w:t>Diversity, Equity, and Inclusion.</w:t>
      </w:r>
      <w:r>
        <w:rPr>
          <w:color w:val="000000"/>
        </w:rPr>
        <w:t xml:space="preserve"> </w:t>
      </w:r>
      <w:r>
        <w:rPr>
          <w:rFonts w:ascii="Times New Roman;sans-serif" w:hAnsi="Times New Roman;sans-serif"/>
          <w:b w:val="false"/>
          <w:color w:val="000000"/>
          <w:sz w:val="20"/>
        </w:rPr>
        <w:t>Diversity is core to our values and, we believe, necessary to drive innovation and collective growth. Our commitment to these imperatives starts at the leadership level and cascades to our talented employees, who we look to lead and foster various initiatives. AppFolio’s employee-led resource groups create an environment where everyone is valued for their uniqueness, while also feeling part of the larger whole. We work hard to make sure our employees’ voices are heard, from our practice of small, focused teams to setting annual company initiatives together as an organization.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surveyed our workforce in 2021, of those who elected to share, 45.1% identified as women, 54.1% as men, and 0.8% as nonbinary.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recruiting practices focus on attracting and hiring employees with diverse backgrounds, experiences, and approaches at all levels of the company. We have key partnerships with universities and professional organizations and provide ongoing education to our hiring teams that are focused on closing the diversity gap and growing our team.</w:t>
      </w:r>
    </w:p>
    <w:p>
      <w:pPr>
        <w:pStyle w:val="TextBody"/>
        <w:spacing w:lineRule="auto" w:line="288" w:before="60" w:after="120"/>
        <w:ind w:left="0" w:right="0" w:firstLine="720"/>
        <w:jc w:val="both"/>
        <w:rPr/>
      </w:pPr>
      <w:r>
        <w:rPr>
          <w:rFonts w:ascii="Times New Roman;sans-serif" w:hAnsi="Times New Roman;sans-serif"/>
          <w:b/>
          <w:i/>
          <w:color w:val="000000"/>
          <w:sz w:val="20"/>
        </w:rPr>
        <w:t>Employee Development.</w:t>
      </w:r>
      <w:r>
        <w:rPr>
          <w:color w:val="000000"/>
        </w:rPr>
        <w:t xml:space="preserve"> </w:t>
      </w:r>
      <w:r>
        <w:rPr>
          <w:rFonts w:ascii="Times New Roman;sans-serif" w:hAnsi="Times New Roman;sans-serif"/>
          <w:b w:val="false"/>
          <w:color w:val="000000"/>
          <w:sz w:val="20"/>
        </w:rPr>
        <w:t xml:space="preserve">We invest significant resources to develop the talent needed to remain at the forefront of innovation and make us an employer of choice. Employees throughout our organization have access to training and learning programs which include programs for distinct audiences. Our annual engagement survey provides a platform for employees to provide anonymous feedback directly to their managers and our executives. Based on results from our 2021 engagement survey, the overall engagement of employees is greater than the technology industry average. </w:t>
      </w:r>
    </w:p>
    <w:p>
      <w:pPr>
        <w:pStyle w:val="TextBody"/>
        <w:spacing w:lineRule="auto" w:line="288" w:before="60" w:after="120"/>
        <w:ind w:left="0" w:right="0" w:firstLine="720"/>
        <w:jc w:val="both"/>
        <w:rPr/>
      </w:pPr>
      <w:r>
        <w:rPr>
          <w:rFonts w:ascii="Times New Roman;sans-serif" w:hAnsi="Times New Roman;sans-serif"/>
          <w:b/>
          <w:i/>
          <w:color w:val="000000"/>
          <w:sz w:val="20"/>
        </w:rPr>
        <w:t>Societal Impact.</w:t>
      </w:r>
      <w:r>
        <w:rPr>
          <w:color w:val="000000"/>
        </w:rPr>
        <w:t xml:space="preserve"> </w:t>
      </w:r>
      <w:r>
        <w:rPr>
          <w:rFonts w:ascii="Times New Roman;sans-serif" w:hAnsi="Times New Roman;sans-serif"/>
          <w:b w:val="false"/>
          <w:color w:val="000000"/>
          <w:sz w:val="20"/>
        </w:rPr>
        <w:t xml:space="preserve">Connecting and contributing to our communities is a long-standing tradition and important activity for our employees. Our team members are passionate about many causes and we encourage them to participate in these causes by providing eight hours of volunteer time off annually. In addition, throughout the year, we come together as a company to engage in community service through “AppFolio Gives Back,” where we donate time and funds to several charities that are selected by our employee-led Give Back Committee with AppFolio matching donations. </w:t>
      </w:r>
    </w:p>
    <w:p>
      <w:pPr>
        <w:pStyle w:val="TextBody"/>
        <w:spacing w:lineRule="auto" w:line="288" w:before="60" w:after="120"/>
        <w:ind w:left="0" w:right="0" w:firstLine="720"/>
        <w:jc w:val="both"/>
        <w:rPr/>
      </w:pPr>
      <w:r>
        <w:rPr>
          <w:rFonts w:ascii="Times New Roman;sans-serif" w:hAnsi="Times New Roman;sans-serif"/>
          <w:b/>
          <w:i/>
          <w:color w:val="000000"/>
          <w:sz w:val="20"/>
        </w:rPr>
        <w:t xml:space="preserve">Compensation and Benefits. </w:t>
      </w:r>
      <w:r>
        <w:rPr>
          <w:rFonts w:ascii="Times New Roman;sans-serif" w:hAnsi="Times New Roman;sans-serif"/>
          <w:b w:val="false"/>
          <w:color w:val="000000"/>
          <w:sz w:val="20"/>
        </w:rPr>
        <w:t>Our compensation and benefits programs support the wellness of our employees and their families so they feel they can live their best lives both at work and at home. Our competitive compensation packages may include base salary, commission or annual performance-based bonuses, and stock-based compensation. We also offer family-forming benefits, paid parental leave, paid sabbaticals, paid leave to care for family members, and access to fertility networks and discounts on fertility care. We review our programs periodically to ensure they remain competitive.</w:t>
      </w:r>
    </w:p>
    <w:p>
      <w:pPr>
        <w:pStyle w:val="TextBody"/>
        <w:spacing w:lineRule="auto" w:line="288" w:before="60" w:after="120"/>
        <w:ind w:left="0" w:right="0" w:firstLine="720"/>
        <w:jc w:val="both"/>
        <w:rPr/>
      </w:pPr>
      <w:r>
        <w:rPr>
          <w:rFonts w:ascii="Times New Roman;sans-serif" w:hAnsi="Times New Roman;sans-serif"/>
          <w:b/>
          <w:i/>
          <w:color w:val="000000"/>
          <w:sz w:val="20"/>
        </w:rPr>
        <w:t xml:space="preserve">Health, Safety, and Wellness. </w:t>
      </w:r>
      <w:r>
        <w:rPr>
          <w:rFonts w:ascii="Times New Roman;sans-serif" w:hAnsi="Times New Roman;sans-serif"/>
          <w:b w:val="false"/>
          <w:color w:val="000000"/>
          <w:sz w:val="20"/>
        </w:rPr>
        <w:t>We are committed to providing a safe workplace for our employees and assisting them in maintaining a healthy work-life balance. We regularly solicit feedback to assess the well-being and needs of our employees and offer resources focused on mental health and physical wellness. Specific to the COVID-19 pandemic, we have also taken measures to support the health and safety of our employees and their families. We continue to provide a monthly stipend to our employees in an effort to help ensure each team member has a comfortable and functional work-from-home environment and we have added training and toolkits focused on helping employees be successful in a remote work environment. We have enhanced internal lifestyle programs, such as virtual group fitness classes, and increased supplemental time off to create additional space for employees to reset and recharge.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we began transitioning our employees back to the workplace on a voluntary basis. When the environment allows us to safely do so, we expect to move forward with a hybrid work model, where a majority of our employees work out of one of our offices several days a week. We continue to evolve and upgrade our physical locations to ensure safe and healthy workspaces for our team members.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80" w:after="20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Copies of the reports, proxy statements and other information may also be obtained, free of charge, electronically through our corporate website, at www.appfolioinc.com, as soon as reasonably practical after we file such material with, or furnish it to,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pStyle w:val="TextBody"/>
        <w:spacing w:lineRule="auto" w:line="276" w:before="60" w:after="120"/>
        <w:ind w:left="0" w:right="0" w:firstLine="720"/>
        <w:jc w:val="both"/>
        <w:rPr/>
      </w:pPr>
      <w:r>
        <w:rPr>
          <w:rFonts w:ascii="Times New Roman;sans-serif" w:hAnsi="Times New Roman;sans-serif"/>
          <w:b w:val="false"/>
          <w:color w:val="000000"/>
          <w:sz w:val="20"/>
        </w:rPr>
        <w:t>Please be advised that certain of the risks and uncertainties described below contain “forward-looking statements.” See the section of this Annual Report entitled “</w:t>
      </w:r>
      <w:r>
        <w:rPr>
          <w:rFonts w:ascii="Times New Roman;sans-serif" w:hAnsi="Times New Roman;sans-serif"/>
          <w:b w:val="false"/>
          <w:i/>
          <w:color w:val="000000"/>
          <w:sz w:val="20"/>
        </w:rPr>
        <w:t>Forward-Looking Statements</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47"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Growing Our Business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do not accurately predict and respond promptly to rapidly evolving technological developments and customer needs, the demand for our products and our business and operating results may be harmed.</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demands are constantly changing in response to new technology and other market factors. To compete effectively, we must identify and innovate in the right technologies, accurately predict our customers’ evolving needs, and continually improve our own technology platform. If we fail to execute against any of the foregoing, our business and operating results may be harmed. In addition, the potential widespread adoption of quickly evolving disruptive technology products could significantly impact the real estate industry, even if such products are not specifically designed to apply directly to the real estate industry. The adoption of these new technologies could significantly reduce the volume or demand of our customers and users, thereby reducing our revenue, which could materially impact our business, financial condition and operating results.</w:t>
      </w:r>
    </w:p>
    <w:p>
      <w:pPr>
        <w:pStyle w:val="TextBody"/>
        <w:spacing w:lineRule="auto" w:line="276" w:before="60" w:after="283"/>
        <w:jc w:val="both"/>
        <w:rPr>
          <w:rFonts w:ascii="Times New Roman;sans-serif" w:hAnsi="Times New Roman;sans-serif"/>
          <w:b/>
          <w:i/>
          <w:color w:val="000000"/>
          <w:sz w:val="20"/>
        </w:rPr>
      </w:pPr>
      <w:r>
        <w:rPr>
          <w:rFonts w:ascii="Times New Roman;sans-serif" w:hAnsi="Times New Roman;sans-serif"/>
          <w:b/>
          <w:i/>
          <w:color w:val="000000"/>
          <w:sz w:val="20"/>
        </w:rPr>
        <w:t>We participate in an intensely competitive market and our business could be harmed if we do not compete effectively.</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cloud-based business management solutions is global, highly competitive and continually evolving in response to a number of factors, including changes in technology, operational requirements, and laws and regulations. We compete with both other real estate industry cloud-based solution providers and providers of broad cloud-based solutions across multiple industries. We also face competition from numerous cloud-based solution providers that focus almost exclusively on one or more point solutions. Our competitors include established vendors, as well as newer entrants in the market. Our established competitors may have greater name recognition, longer operating histories, and significantly greater resources, which allows them to respond more quickly and effectively to new or changing opportunities or challenges, technologies, operational requirements and industry standards. Our competitors who are new entrants to the market, and generally smaller, may have more nimble operations due to having fewer products and less overhead and may be willing to take legal and operational risks, which allows them to launch products and meet customer demand more quickly and efficiently. Regardless of size, our current and potential competitors may develop, market and sell new technologies with comparable functionality to our solutions, which could cause us to lose customers, slow the rate of growth of new customers and/or cause us to decrease our prices to remain competitive, which could harm our business.</w:t>
      </w:r>
    </w:p>
    <w:p>
      <w:pPr>
        <w:pStyle w:val="TextBody"/>
        <w:spacing w:lineRule="auto" w:line="276" w:before="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expand sales of our solutions to new markets and new industries, our business and operating results may suffer.</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strategy includes expanding sales of our solutions to new markets and, potentially, new industries. These new markets and industries, include larger customers within the real estate space, housing types outside of multi-family and single-family residential, and industries other than real estate. Acceptance of our current and future solutions in new markets and industries will depend on numerous factors, including our ability to provide more sophisticated functionality and features, the pricing of our solutions relative to competitive products, perceptions about the security, privacy and availability of our solutions relative to competitive products, and the time-to-market of updates and enhancements to our services and products. There is no guarantee we will be successful in achieving all or any of the foregoing. Additionally, sales to new markets and industries will involve risks that are not present, or are present to a lesser extent, in sales to the markets and industry we currently serve, and such risks may include new regulatory regimes, longer sale cycles, increased chance of litigation with customers, increased risk and impact of reputational harm, and increased competition. We may not be able to sufficiently mitigate such risks, which would impact our ability to successfully expand our business. If we are unable to successfully expand sales of our solutions to new markets and, potentially, industries, our revenue may increase at a slower rate than we expect and may even decline, which could adversely affect our operating results.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68" w:before="60" w:after="120"/>
        <w:jc w:val="both"/>
        <w:rPr>
          <w:rFonts w:ascii="Times New Roman;sans-serif" w:hAnsi="Times New Roman;sans-serif"/>
          <w:b/>
          <w:i/>
          <w:color w:val="000000"/>
          <w:sz w:val="20"/>
        </w:rPr>
      </w:pPr>
      <w:r>
        <w:rPr>
          <w:rFonts w:ascii="Times New Roman;sans-serif" w:hAnsi="Times New Roman;sans-serif"/>
          <w:b/>
          <w:i/>
          <w:color w:val="000000"/>
          <w:sz w:val="20"/>
        </w:rPr>
        <w:t>Our business depends substantially on existing customers renewing their subscriptions with us and expanding their use of our Value Added Services, and a decline in either could adversely affect our operating results.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us to maintain or increase our revenue and improve our operating results, it is important that our existing customers continue to use our core solutions, as well as increase their adoption and utilization of our Value Added Services. Our customers may not renew their subscriptions with us, continue to broaden their adoption and utilization of our Value Added Services, or use our Value Added Services at all. If our existing customers do not renew their subscriptions and increase their adoption and utilization of our existing or newly developed Value Added Services, our revenue may increase at a slower rate than we expect and may decline, which could adversely affect our financial condition and operating results.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Added Services that ultimately are not broadly adopted by our customers. In either of those cases, we could incur significantly increased costs without a corresponding increase in revenue. Furthermore, we may fail to identify Value Added Services that our customers need for their businesses, in which case we could miss opportunities to increase our revenue. </w:t>
      </w:r>
    </w:p>
    <w:p>
      <w:pPr>
        <w:pStyle w:val="TextBody"/>
        <w:spacing w:lineRule="auto" w:line="276" w:before="60" w:after="120"/>
        <w:jc w:val="both"/>
        <w:rPr/>
      </w:pPr>
      <w:r>
        <w:rPr>
          <w:rFonts w:ascii="Times New Roman;sans-serif" w:hAnsi="Times New Roman;sans-serif"/>
          <w:b/>
          <w:i/>
          <w:color w:val="000000"/>
          <w:sz w:val="20"/>
        </w:rPr>
        <w:t>Our inability to effectively maintain and promote our brands could adversely affect our ability to attract new customers and negatively affect our business and operating results.</w:t>
      </w:r>
      <w:r>
        <w:rPr>
          <w:color w:val="000000"/>
        </w:rPr>
        <w:t xml:space="preserve"> </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promoting our brands is critical to achieving widespread awareness and acceptance of our solutions, and maintaining and expanding our customer base. We also believe that the importance of brand recognition will increase, as competition for our products and services increases. If we do not continue to build awareness of our brands, we could be placed at a competitive disadvantage compared to companies whose brands are, or become, more recognizable than ours. Maintaining and promoting our brands will depend, in part, on our ability to continue to provide new and innovative core functionality and Value Added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manage our business to achieve long-term growth, which may not be consistent with the short-term expectations of some investors.</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product decisions and pursue opportunities that are consistent with our strategic objective to achieve long-term growth. These decisions may not be consistent with the short-term expectations of some investors, and may cause significant fluctuations in our results of operation and our stock price from period to period. In addition, notwithstanding our intention to make strategic decisions that positively impact long-term value, the decisions we make may not produce the long-term benefits we expect, which could materially affect our business, financial condition and results of operation.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acquisition of other companies or technologies may subject us to risks.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acquired, and may in the future acquire, other companies or technologies to complement or expand our products and solutions, optimize our technical capabilities, enhance our ability to compete, or otherwise offer growth or strategic opportunities.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results of operation, or if the costs of acquiring or integrating the acquired business exceed our estimates, our business, results of operation, strategic objectives, and financial condition may suffer.</w:t>
      </w:r>
    </w:p>
    <w:p>
      <w:pPr>
        <w:pStyle w:val="TextBody"/>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Attracting and Retaining Talent</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depend on highly skilled personnel and, if we are unable to retain or hire additional qualified personnel or if we lose key members of our management team, we may not be able to achieve our strategic objectives and our business may be harmed.</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future growth depend, in part, upon the continued services of our executive officers and other key employees. To execute our growth plan and achieve our strategic objectives, we must continue to attract and retain highly qualified and motivated personnel across our organization. In particular, to continue to enhance our products and solutions, add new and innovative core functionality and/or Value Added Services, as well as develop new products, it will be critical for us to increase the size of our research and product development organization, including hiring highly skilled software engineers. Further, for us to achieve broader market acceptance of our products and solutions, grow our customer base, and pursue new markets consistent with our strategic plan, we will need to continue to increase the size of our sales, marketing and customer service and support organizations. Competition for personnel is intense within our industry and there continues to be upward pressure on the compensation paid to these professionals. Identifying, recruiting, training and retaining qualified personnel is difficult and requires a significant investment of time and resources.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In addition, prospective and existing employees often consider the value of the equity awards they receive in connection with their employment. If the perceived value of our equity awards declines, we are unable to offer equity awards in competitive amounts,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continue to foster this culture, we could lose the passion, creativity, teamwork, focus and innovation fostered by our culture.</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we may find it difficult to maintain our corporate culture. This difficulty may be exacerbated by remote working conditions, which make it more difficult for employees to interact, communicate and innovate and that may continue indefinitely after COVID-19 pandemic.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76" w:before="6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and Data Privacy</w:t>
      </w:r>
    </w:p>
    <w:p>
      <w:pPr>
        <w:pStyle w:val="TextBody"/>
        <w:spacing w:lineRule="auto" w:line="276" w:before="60" w:after="120"/>
        <w:jc w:val="both"/>
        <w:rPr/>
      </w:pPr>
      <w:r>
        <w:rPr>
          <w:rFonts w:ascii="Times New Roman;sans-serif" w:hAnsi="Times New Roman;sans-serif"/>
          <w:b/>
          <w:i/>
          <w:color w:val="000000"/>
          <w:sz w:val="20"/>
        </w:rPr>
        <w:t>Security vulnerabilities in our products or a breach of our security controls could result in the loss, theft, misuse, unauthorized disclosure, or unauthorized access to</w:t>
      </w:r>
      <w:r>
        <w:rPr>
          <w:color w:val="000000"/>
        </w:rPr>
        <w:t xml:space="preserve"> </w:t>
      </w:r>
      <w:r>
        <w:rPr>
          <w:rFonts w:ascii="Times New Roman;sans-serif" w:hAnsi="Times New Roman;sans-serif"/>
          <w:b/>
          <w:i/>
          <w:color w:val="000000"/>
          <w:sz w:val="20"/>
        </w:rPr>
        <w:t>customer or employee data, or other confidential or sensitive information, which could harm our customer and/or employee relationships, expose us to litigation or harm our reputation.</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storage and transmission of a significant amount of confidential and sensitive information, including sensitive and proprietary data and personal information collected by or on behalf of our customers, the personal information of our employees, and our proprietary financial, operational and strategic information. Like many other businesses, we have experienced, and are continually at risk of being subject to, cyber attacks and data security incidents. As our business grows, the number of users of our products, as well as the amount of information we collect and store, is increasing, and our brands are becoming more widely recognized, which makes us a greater target for malicious activity. There can be no assurance that the security measures we employ will prevent malicious or unauthorized access to our systems and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and partners also collect and/or store our sensitive information and our customers’ data on our behalf, and these service providers and partners are subject to similar threats of cyber attacks and other malicious Internet-based activities, which could also expose us to risk of loss, litigation, and potential liability.</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security measures, or the security measures of our third-party service providers or partners,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our insurance coverage may not offset liabilities actually incurred and insurance may not continue to be available to us on reasonable terms, or at all. In addition, security breaches could result in reputational damage, adversely affect our ability to attract new customers and cause existing customers to reduce or discontinue the use of our products and solutions. Furthermore, the perception by our current or potential customers that our products could be vulnerable to exploitation or that our security measures are inadequate, even in the absence of a particular problem or threat, could reduce market acceptance of our products and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Privacy and data security laws and regulations could impose additional costs and reduce demand for our solutions.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store and transmit personal information relating to our employees and other individuals, and our customers use our technology platform to store and transmit a significant amount of personal information relating to their customers,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These new obligations could increase the cost and complexity of delivering our services.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Added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Risks Related to Our Industry</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All of our revenues are presently generated by sales to customers and users in the real estate industry, and factors that adversely affect that industry, or our customers or users within it, could also adversely affect us.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real estate industry customers will continue to account for a significant portion or all of our revenue for the foreseeable future. Demand for our solutions and services could be affected by factors that are unique to and adversely affect the real estate industry and our customers within it. If the industry itself declines, our customers may decide not to renew their subscriptions or they may cease using our Value Added Services to reduce costs to remain competitive. Further, we could lose real estate customers as a result of acquisitions or consolidations, bankruptcies or other financial difficulties facing our real estate customers, new or enhanced legal or regulatory regimes that negatively impact the real estate industry, and conditions or trends specific to the real estate industry such as the economic factors that impact the rental market.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estimates of market opportunity are subject to significant uncertainty and, even if the markets in which we compete meet or exceed our size estimates, we could fail to increase our revenue or market share.</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level of our investment in various aspects of the business, in part, based on our market opportunity estimates. Market opportunity estimates are subject to significant uncertainty and are based on assumptions, including our internal analysis and industry experience. Assessing markets for cloud-based business management solutions in the real estate industry is particularly difficult due to a number of factors, including limited available information and rapid evolution of the industry and markets therein. If we do not accurately estimate our opportunities, we may fail to realize a return on our investment in various aspects of our business, which could lead to a failure to gain market share and negatively impact our long-term growth prospects.</w:t>
      </w:r>
    </w:p>
    <w:p>
      <w:pPr>
        <w:pStyle w:val="TextBody"/>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Products and Solutions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Errors, defects or other disruptions in our products could harm our reputation, cause us to lose customers, and result in significant expenditures to correct the problem.</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use our products to manage critical aspects of their businesses, and any errors, defects or other disruptions in the performance of our products, including with respect to third party partners upon which certain of our products are dependent, may result in loss of or damage to our customers’ data and disruption to our customers’ businesses, which could harm our reputation. These problems may be caused by a variety of factors, including infrastructure changes, power or network outages, fire, flood or other natural disasters affecting our cloud computing platform providers, human or software errors, viruses, security breaches, fraud or other malicious activity, spikes in customer usage and distributed denial of service attacks. In addition, we provide continuous updates to our products and these updates may contain undetected errors when first introduced. In the past, we have discovered errors, failures, vulnerabilities and bugs in our updates after they have been released, and similar problems may arise in the future. Real or perceived errors, failures, vulnerabilities or bugs in our products could result in negative publicity, reputational harm, loss of customers, delay in market acceptance of our products and solutions, loss of competitive position, withholding or delay of payment to us, claims by customers for losses sustained by them and potential litigation or regulatory action. In any such event, we may be required to expend additional resources to help correct the problem or we may choose to expend additional resources to take corrective action even where not required. The costs incurred in correcting any material errors, defects or other disruptions could be substantial. In addition, we may not carry insurance sufficient to offset any losses that may result from claims arising from errors, defects or other disruptions in our products.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face risks in our electronic payment services business that could adversely affect our business and/or results of operation.</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any of our electronic payment services providers are unable to collect such amounts from the customer’s account, we bear the ultimate risk of loss for the transaction amount.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face risks in our tenant screening services business that could adversely affect our business and/or operating results.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tenant screening services business is subject to a number of complex laws that are subject to varying interpretations, including the Fair Credit Reporting Act (the "FCRA"), the Fair Housing Act, and related regulations. The FCRA continues to be the subject of multiple class-based litigation proceedings, as well as numerous regulatory inquiries and enforcement actions. In addition, entities such as the Federal Trade Commission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relevant laws and regulations, we have previously been accused of not complying with such laws and regulations and may be found to be in violation of them. In addition we have been and expect in the future to be subject to routine regulatory inquiries, enforcement actions, class-based litigation and/or indemnity demands.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January 2021, we entered into a settlement agreement with the Federal Trade Commission (the "FTC") to resolve allegations that we failed to comply with certain sections of the FCRA. In connection with the settlement, we paid a fine and agreed to ongoing compliance and reporting obligations. Our failure to comply with these obligations could result in material additional penalties or other actions by the FTC or other agencies, including enjoining our ability to provide screening services.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our property management customers stop requiring insurance coverage for their units, if insurance premiums decline or if insureds experience greater than expected losses, our operating results could be harmed.</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 portion of our revenue by offering insurance-related services through wholly owned subsidiaries. If demand for rental housing declines, or if our property management customers believe that it may decline, these customers may stop requiring insurance coverage for their units to reduce the overall cost of renting and make their rental offerings more competitive. If our property management customers stop tracking and requiring insurance coverage for their units or elect to use other methods of tracking and acquiring insurance coverage, demand for our insurance-related products may drop and our revenues from our insurance related products could be adversely affected. </w:t>
      </w:r>
    </w:p>
    <w:p>
      <w:pPr>
        <w:pStyle w:val="TextBody"/>
        <w:spacing w:before="0" w:after="0"/>
        <w:ind w:left="0" w:right="0" w:firstLine="720"/>
        <w:jc w:val="both"/>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In the event we are found to be in violation of the legal requirements applicable to our products and services, our business and operating results may be adversely affected. </w:t>
      </w:r>
    </w:p>
    <w:p>
      <w:pPr>
        <w:pStyle w:val="TextBody"/>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products and services are highly regulated or intended to be used in connection with other highly regulated activities. Some of the laws and regulations to which our products and services are subject include, without limitation:</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Fair Housing Act;</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FCRA;</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Title VII of the Civil Rights Act;</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Telephone Consumer Protection Act;</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Americans with Disabilities Act;</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Electronic Signatures in Global and National Commerce Act;</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Federal Trade Commission Act Section 5; and</w:t>
      </w:r>
    </w:p>
    <w:p>
      <w:pPr>
        <w:pStyle w:val="TextBody"/>
        <w:spacing w:lineRule="auto" w:line="276" w:before="60" w:after="283"/>
        <w:jc w:val="both"/>
        <w:rPr/>
      </w:pPr>
      <w:r>
        <w:rPr>
          <w:color w:val="000000"/>
        </w:rPr>
        <w:t>•</w:t>
      </w:r>
      <w:r>
        <w:rPr>
          <w:rFonts w:ascii="Times New Roman;sans-serif" w:hAnsi="Times New Roman;sans-serif"/>
          <w:b w:val="false"/>
          <w:color w:val="000000"/>
          <w:sz w:val="20"/>
        </w:rPr>
        <w:t>the Federal Trade Commission Act;</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 law equivalents of the foregoing, plus various state regulations related to insurance licensing and solicitation, utility billing practices and privacy also apply to certain of our products and services. In addition, the evolution and expansion of our products and services may subject us to additional risks and regulatory requirements. For example, as our electronic payments services business evolves, we may become directly subject to limitations, laws and regulations governing money transmission and anti-money laundering.</w:t>
      </w:r>
    </w:p>
    <w:p>
      <w:pPr>
        <w:pStyle w:val="TextBody"/>
        <w:spacing w:lineRule="auto" w:line="276" w:before="60" w:after="283"/>
        <w:ind w:left="0" w:right="0" w:firstLine="720"/>
        <w:jc w:val="both"/>
        <w:rPr/>
      </w:pPr>
      <w:r>
        <w:rPr>
          <w:rFonts w:ascii="Times New Roman;sans-serif" w:hAnsi="Times New Roman;sans-serif"/>
          <w:b w:val="false"/>
          <w:color w:val="000000"/>
          <w:sz w:val="20"/>
        </w:rPr>
        <w:t>In addition, we periodically undergo examinations, audits and investigations related to our services, including those related to the affairs of insurance companies and agencies and electronic payment services providers.</w:t>
      </w:r>
      <w:r>
        <w:rPr>
          <w:color w:val="000000"/>
        </w:rPr>
        <w:t xml:space="preserve"> </w:t>
      </w:r>
      <w:r>
        <w:rPr>
          <w:rFonts w:ascii="Times New Roman;sans-serif" w:hAnsi="Times New Roman;sans-serif"/>
          <w:b w:val="false"/>
          <w:color w:val="000000"/>
          <w:sz w:val="20"/>
        </w:rPr>
        <w:t xml:space="preserve">Such examining, auditing, and investigating authorities are generally vested with relatively broad discretion to grant, renew and revoke licenses and approvals, to implement and interpret rules and regulations, levy fines and penalties, and bring enforcement actions. While we have implemented various programs, processes and controls focused on compliance with applicable laws and regulations throughout our business, there is no guarantee that we will not be subject to fines, penalties or other regulatory actions in one or more jurisdictions, or be required to adjust our business practices to accommodate future regulatory requirements. In the event that we are found to be in violation of our legal, regulatory or contractual requirements, we may be subject to monetary fines or penalties, cease-and-desist orders, mandatory product changes, or other liabilities that could have an adverse effect on our business and operating results.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relationships with third-party partners that enable certain functionality within our solutions, our business and operating results may be harmed. </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functionality of our services is provided or supported by third-parties, including without limitation functions related to cloud computing, texting, emailing, electronic payments, tenant screening, and insurance related offerings. If our third-party partners cease providing their products or we are otherwise unable to integrate with such third-party products, our solutions and demand for our solutions could be adversely impacted and business and operating results would be harmed. In addition, our competitors may be more effective than us in cost-effectively building relationships with third parties that enhance their products and services, allow them to provide more competitive pricing, or offer other benefits to their customers.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ensure that our solutions interoperate with third-party devices, operating systems and browsers, our solutions may become less competitive and our operating results may be harmed.</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the interoperability of our platform with third party devices, desktop and mobile operating systems, as well as web browsers that we do not control. Any changes in such devices, systems or web browsers that degrade the functionality of our solutions or give preferential treatment to competitive services could adversely affect the adoption and usage of our solutions. In addition, to deliver high quality solutions, we will need to continuously enhance and modify our functionality to keep pace with technical, contractual, and other changes in Internet-related hardware, mobile operating systems such as iOS and Android, browsers,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solutions, our solutions may become less competitive, and our operating results could be adversely affected.</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deliver effective customer service, it could harm our relationships with our existing customers and adversely affect our ability to attract new customers and our operating results.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in part, on our ability to satisfy our customers by providing onboarding services and ongoing customer service. Once our solutions are deployed, our customers depend on our customer service organization to resolve technical issues relating to their use of our solutions. As we generally do not separately charge our customers for support services, increased demand for our support services would increase costs without corresponding revenue, which could adversely affect our operating results. Further, our sales process is highly dependent on the ease of use of our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solutions to prospective customers. </w:t>
      </w:r>
    </w:p>
    <w:p>
      <w:pPr>
        <w:pStyle w:val="TextBody"/>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 Matters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rights could impair our ability to protect our proprietary technology and our brands, which could harm our business.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our brands. If we are unable to protect our proprietary rights adequately, our competitors could use the intellectual property we have developed to enhance their own products and services, which could harm our business.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Accordingly, we may not be able to prevent third parties from infringing upon or misappropriating our intellectual property. Our failure to secure, protect and enforce our intellectual property rights could adversely affect our business and operating results.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be sued by third parties for alleged infringement of their proprietary rights, which could cause us to incur significant expenses and require us to pay substantial damages.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not infringing upon the intellectual property rights of others. Our competitors, as well as a number of other entities and individuals, may legally own or claim to own intellectual property relating to our technology or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solutions contain both third-party and open source software, which may pose risks to our proprietary source code and/or introduce security vulnerabilities, and could have a material adverse impact on our business and operating results.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in our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material adverse impact on our business and operating results.</w:t>
      </w:r>
    </w:p>
    <w:p>
      <w:pPr>
        <w:pStyle w:val="TextBody"/>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Results</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expect to make substantial investments across our organization to grow our business, which may impact profitability.</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implement our business and growth strategy, we have made and will continue to make substantial investments across our organization and, as a result, our expenses may increase significantly impacting profitability. For example, we intend to continue to make substantial investments in, among other things: our research and product development organization to enhance the ease of use and functionality of our solutions and develop new products; our sales and marketing organization, including expansion of our direct sales organization and marketing programs, to increase the size of our customer base and increase adoption and utilization of new and existing Value Added Services by our new and existing customers; and maintaining and expanding our technology infrastructure and operational support to promote the security and availability of our products and solutions. Even if we are successful in growing our customer base and increasing revenue from new and existing customers, we may not be able to generate additional revenue in an amount that is sufficient to cover our expenses.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period-to-period comparisons of our results may not be meaningful.</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We may experience significant fluctuations in our operating results from period to period, including significant losses. This may make it difficult for us to effectively allocate our resources to achieve our strategic goals. Furthermore, if our quarterly results fall below the expectations of investors or any securities analysts who follow our stock, or below any financial guidance we may provide, the price of our common stock could decline substantially.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There are risks associated with potential future indebtedness that may adversely affect our financial condition and future financing agreements may contain restrictive operating and financial covenants.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incur additional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 </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w:t>
      </w:r>
    </w:p>
    <w:p>
      <w:pPr>
        <w:pStyle w:val="TextBody"/>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may be volatile or may decline regardless of our operating performance, which could result in substantial losses for our stockholders.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has been, and is likely to continue to be, highly volatile, and fluctuations in the price of our Class A common stock could cause the stockholder to lose all or part of their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concentrates voting control with a limited number of stockholders, including our executive officers, directors and principal stockholders, effectively limiting your ability to influence corporate matters.</w:t>
      </w:r>
    </w:p>
    <w:p>
      <w:pPr>
        <w:pStyle w:val="TextBody"/>
        <w:spacing w:lineRule="auto" w:line="276" w:before="0" w:after="0"/>
        <w:ind w:left="0" w:right="0" w:firstLine="720"/>
        <w:jc w:val="both"/>
        <w:rPr/>
      </w:pPr>
      <w:r>
        <w:rPr>
          <w:rFonts w:ascii="Times New Roman;sans-serif" w:hAnsi="Times New Roman;sans-serif"/>
          <w:b w:val="false"/>
          <w:color w:val="000000"/>
          <w:sz w:val="20"/>
        </w:rPr>
        <w:t>Our Class B common stock has 10 votes per share, and our Class A common stock has one vote per share. As of December 31, 2021, the holders of the outstanding shares of our Class B common stock, including our executive officers, directors, and principal stockholders, collectively held approximately 89%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 appointment of management and strategic decisions, as well as matters that are submitted to a vote by our holders of our common stock.</w:t>
      </w:r>
      <w:r>
        <w:rPr>
          <w:color w:val="000000"/>
        </w:rPr>
        <w:t xml:space="preserve"> </w:t>
      </w:r>
      <w:r>
        <w:rPr>
          <w:rFonts w:ascii="Times New Roman;sans-serif" w:hAnsi="Times New Roman;sans-serif"/>
          <w:b w:val="false"/>
          <w:color w:val="000000"/>
          <w:sz w:val="20"/>
        </w:rPr>
        <w:t>The interests of our principal stockholders may be inconsistent with or adverse to those of holders of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that our capital structure may have on our stock price.</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S&amp;P Dow Jones, a provider of widely followed stock indices, has announced that companies with multiple classes of stock will not be eligible for inclusion in certain of their indices. As a result, our Class A common stock will not be eligible for those stock indices. Many investment funds are precluded from investing in companies that are not included in major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Future sales of shares of our Class A common stock, or the perception that these sales could occur, could depress the market price of our Class A common stock.</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December 31, 2021, we had an aggregate of 0.8 million options outstanding that, if fully exercised, would result in the issuance of additional shares of Class A common stock or Class B common stock, as applicable. Our Class B common stock converts into Class A common stock on a one-for-one basis. In addition, as of December 31, 2021, we had 0.8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 and may repurchase stock in accordance with our Share Repurchase Program.</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 </w:t>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Price appreciation, which may never occur, may be further impacted by repurchases of our shares in accordance with our Share Repurchase Program. Repurchases of our shares could increase the volatility of the trading price of our shares, which could have a material adverse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amended and restated bylaws, as well as provisions of Delaware law, could impair a takeover attempt.</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pStyle w:val="TextBody"/>
        <w:spacing w:lineRule="auto" w:line="276" w:before="60" w:after="283"/>
        <w:jc w:val="both"/>
        <w:rPr>
          <w:rFonts w:ascii="Times New Roman;sans-serif" w:hAnsi="Times New Roman;sans-serif"/>
          <w:b/>
          <w:color w:val="000000"/>
          <w:sz w:val="20"/>
        </w:rPr>
      </w:pPr>
      <w:r>
        <w:rPr>
          <w:rFonts w:ascii="Times New Roman;sans-serif" w:hAnsi="Times New Roman;sans-serif"/>
          <w:b/>
          <w:color w:val="000000"/>
          <w:sz w:val="20"/>
        </w:rPr>
        <w:t>Risks Related to Macroeconomic Conditions</w:t>
      </w:r>
    </w:p>
    <w:p>
      <w:pPr>
        <w:pStyle w:val="TextBody"/>
        <w:spacing w:lineRule="auto" w:line="247" w:before="60" w:after="120"/>
        <w:jc w:val="both"/>
        <w:rPr>
          <w:rFonts w:ascii="Times New Roman;sans-serif" w:hAnsi="Times New Roman;sans-serif"/>
          <w:b/>
          <w:i/>
          <w:color w:val="000000"/>
          <w:sz w:val="20"/>
        </w:rPr>
      </w:pPr>
      <w:r>
        <w:rPr>
          <w:rFonts w:ascii="Times New Roman;sans-serif" w:hAnsi="Times New Roman;sans-serif"/>
          <w:b/>
          <w:i/>
          <w:color w:val="000000"/>
          <w:sz w:val="20"/>
        </w:rPr>
        <w:t>Health epidemics, including the COVID-19 pandemic, could have a material adverse impact on our operations, employees culture, customers, and business partners.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continues to have, and a future public health crisis could have, repercussions across local, regional, and global economies and financial markets. Travel restrictions, quarantines, and similar government orders to control the spread of COVID-19 or a future virus may result in business closures, work stoppages, slowdowns, and cancellation or postponement of events that, among other effects, could negatively impact our operations, as well as the operations of our customers, and business partners. The demand for our products and services, as well as our operating results, could be adversely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impacted due to customers delaying decisions to adopt our products and services or terminating their use of our products and services, as they seek to reduce or delay spending to mitigate the impact of the COVID-19 pandemic or a future public health crisis on their businesses. </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of 2020, in an effort to protect our employees and comply with applicable government orders, in response to the COVID-19 pandemic, we transitioned our employees to a remote work environment. We began transitioning our employees back to the office in 2021; however, our employees have the option to work remotely until further notice. If the COVID-19 pandemic again requires full remote working conditions, it could have a material adverse impact on our products as the disruption to our operations may result in an increase in errors, failures, vulnerabilities, and bugs. Furthermore, the COVID-19 pandemic may have long-term effects on the nature of the office environment and remote working, which may present operational and workplace culture challenges that may adversely affect our business.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described above, or any number of other risks related to the COVID-19 pandemic or a future public health crisis, could disrupt our business, which could have a material adverse impact on our business, operations and financial results.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Global and regional economic conditions could harm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global and regional economic conditions such as turmoil affecting the banking system or financial markets, including, but not limited to, tightening in the credit markets, extreme volatility or distress in the financial markets, recessionary or inflationary pressures, supply chain issues, reduced consumer confidence or economic activity, government fiscal and tax policies, and other negative financial news or macroeconomic developments could have a material adverse impact on the demand for our products and services. </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Natural disasters or other catastrophic events may cause damage or disruption to our operations, commerce and the global economy, and have a negative effect on our business and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interruption by natural disasters, flooding, fire, power shortages, pandemics, terrorism, political unrest, telecommunications failure, vandalism, cyber-attacks, geopolitical instability, war, the effects of climate change (such as drought, wildfires, hurricanes, increased storm severity and sea level rise) and other events beyond our control.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The majority of our research and development activities, offices, information technology systems, and other critical business operations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pStyle w:val="TextBody"/>
        <w:spacing w:before="0" w:after="0"/>
        <w:jc w:val="both"/>
        <w:rPr/>
      </w:pPr>
      <w:r>
        <w:rPr/>
      </w:r>
    </w:p>
    <w:p>
      <w:pPr>
        <w:pStyle w:val="TextBody"/>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Government regulations and laws are continuously evolving and unfavorable changes could adversely affect our operating results, subject us to litigation or governmental investigation, or otherwise harm our business.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and laws directly applicable to our products and services, we are subject to general business regulations and laws. Unfavorable regulations, laws, and administrative or judicial decisions interpreting or applying laws and regulations applicable to our business could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pStyle w:val="TextBody"/>
        <w:spacing w:before="6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None.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ind w:left="0" w:right="0" w:hanging="108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Santa Barbara, California, where we lease approximately 166,000 square feet of space in three adjacent office buildings. We also lease office space in several other U.S. cities. We do not own any real estate.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procure additional space as we add employees and expand our operations geographically. We believe our current facilities are adequate for our current needs and that, should it be needed, suitable additional or alternative space will be available to us to accommodate any such expansion of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rPr/>
      </w:pPr>
      <w:r>
        <w:rPr>
          <w:rFonts w:ascii="Times New Roman;sans-serif" w:hAnsi="Times New Roman;sans-serif"/>
          <w:b/>
          <w:color w:val="000000"/>
          <w:sz w:val="20"/>
        </w:rPr>
        <w:t>ITEM 3.</w:t>
      </w:r>
      <w:r>
        <w:rPr>
          <w:color w:val="000000"/>
        </w:rPr>
        <w:t>        </w:t>
      </w:r>
      <w:r>
        <w:rPr>
          <w:rFonts w:ascii="Times New Roman;sans-serif" w:hAnsi="Times New Roman;sans-serif"/>
          <w:b/>
          <w:color w:val="000000"/>
          <w:sz w:val="20"/>
        </w:rPr>
        <w:t>LEGAL PROCEEDINGS</w:t>
      </w:r>
    </w:p>
    <w:p>
      <w:pPr>
        <w:pStyle w:val="TextBody"/>
        <w:spacing w:before="0" w:after="0"/>
        <w:rPr/>
      </w:pPr>
      <w:r>
        <w:rPr/>
      </w:r>
    </w:p>
    <w:p>
      <w:pPr>
        <w:pStyle w:val="TextBody"/>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pStyle w:val="TextBody"/>
        <w:spacing w:lineRule="auto" w:line="288" w:before="120" w:after="200"/>
        <w:ind w:left="0" w:right="0" w:firstLine="720"/>
        <w:jc w:val="both"/>
        <w:rPr/>
      </w:pPr>
      <w:r>
        <w:rPr>
          <w:rFonts w:ascii="Times New Roman;sans-serif" w:hAnsi="Times New Roman;sans-serif"/>
          <w:b w:val="false"/>
          <w:color w:val="000000"/>
          <w:sz w:val="20"/>
        </w:rPr>
        <w:t>For additional information regarding legal proceedings, refer to Note 10, </w:t>
      </w:r>
      <w:r>
        <w:rPr>
          <w:rFonts w:ascii="Times New Roman;sans-serif" w:hAnsi="Times New Roman;sans-serif"/>
          <w:b w:val="false"/>
          <w:i/>
          <w:color w:val="000000"/>
          <w:sz w:val="20"/>
        </w:rPr>
        <w:t>Commitments and Contingencies</w:t>
      </w:r>
      <w:r>
        <w:rPr>
          <w:color w:val="000000"/>
        </w:rPr>
        <w:t> </w:t>
      </w:r>
      <w:r>
        <w:rPr>
          <w:rFonts w:ascii="Times New Roman;sans-serif" w:hAnsi="Times New Roman;sans-serif"/>
          <w:b w:val="false"/>
          <w:color w:val="000000"/>
          <w:sz w:val="20"/>
        </w:rPr>
        <w:t>of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MINE SAFETY DISCLOSURES</w:t>
      </w:r>
    </w:p>
    <w:p>
      <w:pPr>
        <w:pStyle w:val="TextBody"/>
        <w:spacing w:lineRule="auto" w:line="288" w:before="20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ind w:left="0" w:right="0" w:hanging="900"/>
        <w:rPr/>
      </w:pPr>
      <w:r>
        <w:rPr/>
      </w:r>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spacing w:lineRule="auto" w:line="288" w:before="12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Market for our Common Stock</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is listed on the NASDAQ Global Market under the symbol "APPF".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not listed or traded on any stock exchange.</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February 14, 2022, there were 39 holders of record of our Class A common stock and 72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We do not anticipate declaring or paying any cash dividends to holders of our capital stock in the foreseeable future and intend to retain all future earnings for use in the growth of our business.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Stock Performance Graph</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performance graph compares the cumulative total return on our Class A common stock with that of the S&amp;P 500 Index and the NASDAQ Computer Index. This chart assumes $100 was invested in our Class A common stock at the close of market on December 31, 2016, and in the S&amp;P 500 Index and the NASDAQ Computer Index, and assumes the reinvestment of any dividends.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comparisons in the graph below are based upon historical data and are not indicative of, nor intended to forecast, future performance of our common stock.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center"/>
        <w:rPr/>
      </w:pPr>
      <w:r>
        <w:rPr/>
        <w:drawing>
          <wp:inline distT="0" distB="63500" distL="0" distR="0">
            <wp:extent cx="5838825" cy="457200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5838825" cy="4572000"/>
                    </a:xfrm>
                    <a:prstGeom prst="rect">
                      <a:avLst/>
                    </a:prstGeom>
                  </pic:spPr>
                </pic:pic>
              </a:graphicData>
            </a:graphic>
          </wp:inline>
        </w:drawing>
      </w:r>
      <w:r>
        <w:rPr>
          <w:color w:val="000000"/>
        </w:rPr>
        <w:t>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 and Purchases of Equity Securities</w:t>
      </w:r>
    </w:p>
    <w:p>
      <w:pPr>
        <w:pStyle w:val="TextBody"/>
        <w:spacing w:lineRule="auto" w:line="417" w:before="6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260"/>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Consolidated Financial Statements and the related notes included elsewhere in this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of this Annual Report entitled "Risk Factors". See the section of this Annual Report entitled “Forward-Looking Statements” for additional information.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discusses 2021 and 2020 items and year-over-year comparisons between 2021 and 2020. For discussion of 2019 items and year-over-year comparisons between 2020 and 2019, refer to Part II. Item 7. “Management's Discussion and Analysis of Financial Condition and Results of Operations” of our Annual Report on Form 10-K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cloud business management solutions for the real estate industry. Our solutions enable our customers to digitally transform their businesses, automate and streamline critical business operations and deliver a better customer experience. Our products assist an interconnected and growing ecosystem of users, including property managers, property owners, real estate investment managers, rental prospects, residents, and service providers with critical transactions across the real estate lifecycle, including screening potential tenants, sending and receiving payments and even providing insurance-related risk mitigation services. AppFolio’s intuitive interface, coupled with streamlined and automated workflows, make it easier for our customers to eliminate redundant and manual processes so they can deliver a great experience for their users while improving financial and operational performance.</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In March 2020, in an effort to protect our employees and comply with applicable government orders in response to the COVID-19 pandemic, we transitioned our employees to a remote work environment. We began transitioning our employees back to the office in 2021; however, our employees have the option to work remotely until further notice.     </w:t>
      </w:r>
    </w:p>
    <w:p>
      <w:pPr>
        <w:pStyle w:val="TextBody"/>
        <w:spacing w:lineRule="auto" w:line="276" w:before="60" w:after="60"/>
        <w:ind w:left="0" w:right="0" w:firstLine="720"/>
        <w:jc w:val="both"/>
        <w:rPr/>
      </w:pPr>
      <w:r>
        <w:rPr>
          <w:rFonts w:ascii="Times New Roman;sans-serif" w:hAnsi="Times New Roman;sans-serif"/>
          <w:b w:val="false"/>
          <w:color w:val="000000"/>
          <w:sz w:val="20"/>
        </w:rPr>
        <w:t xml:space="preserve">During certain periods covered by this Annual Report, we also provided software solutions and services to the legal industry via MyCase, a software solution primarily designed for small and mid-sized law firms. We completed our divestiture of MyCase, Inc. on September 30, 2020 (the "MyCase Transaction"). For additional details, see Note 3,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 xml:space="preserve">of our Consolidated Financial Statements in this Annual Report. </w:t>
      </w:r>
    </w:p>
    <w:p>
      <w:pPr>
        <w:pStyle w:val="TextBody"/>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Key Business Metric</w:t>
      </w:r>
    </w:p>
    <w:p>
      <w:pPr>
        <w:pStyle w:val="TextBody"/>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the growth of our business, and our potential future business opportunities. We define property management units under management as the number of active units on our core solutions. We had 6.35 million and 5.36 million property management units under management as of December 31, 2021 and 2020, respectively.</w:t>
      </w:r>
    </w:p>
    <w:p>
      <w:pPr>
        <w:pStyle w:val="TextBody"/>
        <w:spacing w:lineRule="auto" w:line="276" w:before="260" w:after="60"/>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experienced seasonality in our Value Added Services revenue, primarily in our tenant screening services, due to seasonally higher leasing activities in the second quarter which increases tenant screening transactions in that period. We generally experience decreased tenant screening revenue in the fourth quarter, when seasonally lower leasing activities occur. Corresponding to the higher tenant applications in the second quarter, our property manager customers typically experience an increase in new tenants in the third quarter, resulting in a higher demand for our insurance-related risk mitigation services in that period. As a result of the seasonality of the rental lifecycle and the growth of our business, we have typically experienced a sequential increase in revenue in the first, second and third quarters and a sequential decline in revenue in the fourth quarter of each of our most recent fiscal years. These seasonal factors could be heightened or lessened due to the impact of a change in macroeconomic factors that could impact tenant behavior or a change in the adoption rate of our other less seasonally impacted Value Added Services. Although these seasonal factors are common in the real estate industry, historical patterns should not be considered a reliable indicator of our future sales activity or performance. </w:t>
      </w:r>
    </w:p>
    <w:p>
      <w:pPr>
        <w:pStyle w:val="TextBody"/>
        <w:spacing w:lineRule="auto" w:line="288" w:before="120" w:after="120"/>
        <w:ind w:left="0" w:right="0" w:firstLine="72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to the size of our customers’ businesses. We recognize revenue for subscription-based services over time on a straight-line basis over the contract term beginning on the date that our service is made available. We generally invoice monthly or, to a lesser extent, annually in advance of the subscription period.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Value Added Services, which are not covered by our subscription fees, on a per use basis.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usage-based services on a monthly basis or collect the fee at the time of service. A significant majority of our Value Added Services revenue comes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directly and indirectly from the use of our electronic payment services, tenant screening services, and risk mitigation services. Usage-based fees are paid either by customers or by users.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our customers for on-boarding assistance to our core solutions and certain other non-recurring services. We generally invoice for these other services in advance of the services being completed and recognize revenue upon completion of the related service. We generate revenue from the legacy customers of previously acquired businesses by providing services outside of our property management core solution platform. Revenue derived from these services is recorded in Other revenue. </w:t>
      </w:r>
    </w:p>
    <w:p>
      <w:pPr>
        <w:pStyle w:val="TextBody"/>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 related services to support our electronic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Added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(including salaries, performance-based 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Added Services and other improvements, as well as developing new products and services for existing and adjacent markets. We capitalize our software development costs that meet the criteria for capitalization. Amortization of capitalized software development costs is included in depreciation and amortization expense.</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and other costs.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Other Income, Net. </w:t>
      </w:r>
      <w:r>
        <w:rPr>
          <w:rFonts w:ascii="Times New Roman;sans-serif" w:hAnsi="Times New Roman;sans-serif"/>
          <w:b w:val="false"/>
          <w:color w:val="000000"/>
          <w:sz w:val="20"/>
        </w:rPr>
        <w:t xml:space="preserve">Other income, net includes the gain on sale of MyCase during fiscal year 2020, gain on sale of our equity-method investments, and gains and losses associated with the sale of property and equipment and investment securities.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 xml:space="preserve">Interest expense includes interest paid on any outstanding borrowings. Interest income includes interest earned on investment securities, amortization and accretion of the premium and discounts paid from the purchase of investment securities, and interest earned on notes receivable and on cash deposited in our bank accounts.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Provision for income taxes consists of federal and state income taxes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417" w:before="36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Years Ended December 31, 2021 and 2020 </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results of operations for the periods presented in dollars (in thousands) and as a percentage of revenue: </w:t>
      </w:r>
    </w:p>
    <w:tbl>
      <w:tblPr>
        <w:tblW w:w="10057" w:type="dxa"/>
        <w:jc w:val="center"/>
        <w:tblInd w:w="0" w:type="dxa"/>
        <w:tblCellMar>
          <w:top w:w="28" w:type="dxa"/>
          <w:left w:w="28" w:type="dxa"/>
          <w:bottom w:w="28" w:type="dxa"/>
          <w:right w:w="28" w:type="dxa"/>
        </w:tblCellMar>
      </w:tblPr>
      <w:tblGrid>
        <w:gridCol w:w="1641"/>
        <w:gridCol w:w="1442"/>
        <w:gridCol w:w="1446"/>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154"/>
      </w:tblGrid>
      <w:tr>
        <w:trPr/>
        <w:tc>
          <w:tcPr>
            <w:tcW w:w="1641"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Cost of revenue (exclusive of depreciation and amortization)</w:t>
            </w:r>
            <w:r>
              <w:rPr>
                <w:rFonts w:ascii="Times New Roman;sans-serif" w:hAnsi="Times New Roman;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Sales and marketing</w:t>
            </w:r>
            <w:r>
              <w:rPr>
                <w:rFonts w:ascii="Times New Roman;sans-serif" w:hAnsi="Times New Roman;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Research and product development</w:t>
            </w:r>
            <w:r>
              <w:rPr>
                <w:rFonts w:ascii="Times New Roman;sans-serif" w:hAnsi="Times New Roman;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firstLine="45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The following table presents stock-based compensation expense included in each respective expense category:</w:t>
      </w:r>
    </w:p>
    <w:tbl>
      <w:tblPr>
        <w:tblW w:w="10205" w:type="dxa"/>
        <w:jc w:val="center"/>
        <w:tblInd w:w="0" w:type="dxa"/>
        <w:tblCellMar>
          <w:top w:w="28" w:type="dxa"/>
          <w:left w:w="28" w:type="dxa"/>
          <w:bottom w:w="28" w:type="dxa"/>
          <w:right w:w="28" w:type="dxa"/>
        </w:tblCellMar>
      </w:tblPr>
      <w:tblGrid>
        <w:gridCol w:w="2043"/>
        <w:gridCol w:w="1788"/>
        <w:gridCol w:w="1797"/>
        <w:gridCol w:w="211"/>
        <w:gridCol w:w="721"/>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56"/>
      </w:tblGrid>
      <w:tr>
        <w:trPr/>
        <w:tc>
          <w:tcPr>
            <w:tcW w:w="2043"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5" w:type="dxa"/>
            <w:gridSpan w:val="2"/>
            <w:tcBorders/>
            <w:shd w:fill="auto" w:val="clear"/>
          </w:tcPr>
          <w:p>
            <w:pPr>
              <w:pStyle w:val="TableContents"/>
              <w:spacing w:before="0" w:after="283"/>
              <w:rPr>
                <w:sz w:val="4"/>
                <w:szCs w:val="4"/>
              </w:rPr>
            </w:pPr>
            <w:r>
              <w:rPr>
                <w:sz w:val="4"/>
                <w:szCs w:val="4"/>
              </w:rPr>
            </w:r>
          </w:p>
        </w:tc>
      </w:tr>
      <w:tr>
        <w:trPr/>
        <w:tc>
          <w:tcPr>
            <w:tcW w:w="5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Revenue</w:t>
      </w:r>
    </w:p>
    <w:tbl>
      <w:tblPr>
        <w:tblW w:w="7332" w:type="dxa"/>
        <w:jc w:val="left"/>
        <w:tblInd w:w="0" w:type="dxa"/>
        <w:tblCellMar>
          <w:top w:w="28" w:type="dxa"/>
          <w:left w:w="28" w:type="dxa"/>
          <w:bottom w:w="28" w:type="dxa"/>
          <w:right w:w="28" w:type="dxa"/>
        </w:tblCellMar>
      </w:tblPr>
      <w:tblGrid>
        <w:gridCol w:w="689"/>
        <w:gridCol w:w="606"/>
        <w:gridCol w:w="610"/>
        <w:gridCol w:w="211"/>
        <w:gridCol w:w="826"/>
        <w:gridCol w:w="109"/>
        <w:gridCol w:w="109"/>
        <w:gridCol w:w="109"/>
        <w:gridCol w:w="109"/>
        <w:gridCol w:w="211"/>
        <w:gridCol w:w="826"/>
        <w:gridCol w:w="109"/>
        <w:gridCol w:w="109"/>
        <w:gridCol w:w="109"/>
        <w:gridCol w:w="109"/>
        <w:gridCol w:w="109"/>
        <w:gridCol w:w="109"/>
        <w:gridCol w:w="211"/>
        <w:gridCol w:w="721"/>
        <w:gridCol w:w="109"/>
        <w:gridCol w:w="109"/>
        <w:gridCol w:w="109"/>
        <w:gridCol w:w="109"/>
        <w:gridCol w:w="180"/>
        <w:gridCol w:w="181"/>
        <w:gridCol w:w="271"/>
        <w:gridCol w:w="109"/>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5" w:type="dxa"/>
            <w:gridSpan w:val="1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years ended December 31, 2021 and 2020, was $359.4 million and $310.1 million, respectively, an increase of $49.3 million, or 16%. This increase was primarily attributable to the growth in the number of property management customers and units under management utilizing our core solutions and Value Added Services. Revenue in 2020 includes $25.4 million attributable to MyCase. Excluding this amount, revenue derived from the real estate industry for the years ended December 31, 2021 and 2020 increased $74.7 million, or 26%.</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Core solutions revenue derived from the real estate industry for the years ended December 31, 2021 and 2020 was $105.1 million and $86.5 million, respectively, an increase of $18.6 million or 22%. Value Added Services revenue derived from the real estate industry for the years ended December 31, 2021 and 2020 was $241.3 million and $184.2 million, respectively, an increase of $57.1 million or 31%. These increases in core solutions and Value Added Services revenue for the years ended December 31, 2021 and 2020 were mainly attributable to growth in our base of property management customers and growth in users of our subscription and usage-based services. During the twelve month period ended December 31, 2021, we experienced growth of 17% in the average number of property management units under management resulting from 9% growth in the average number of property management customers.</w:t>
      </w:r>
    </w:p>
    <w:p>
      <w:pPr>
        <w:pStyle w:val="TextBody"/>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electronic payment services experienced increased adoption during the comparative periods as residents, property managers, owners and customers transacted more business online. Our tenant screening and risk mitigation services usage also increased during the comparative periods in line with the increase in units under management. A significant majority of our Value Added Services revenue comes directly and indirectly from the use of our electronic payment services, tenant screening services, and the risk mitigation services we make available to customers.</w:t>
      </w:r>
    </w:p>
    <w:p>
      <w:pPr>
        <w:pStyle w:val="TextBody"/>
        <w:spacing w:lineRule="auto" w:line="288" w:before="24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0205" w:type="dxa"/>
        <w:jc w:val="left"/>
        <w:tblInd w:w="0" w:type="dxa"/>
        <w:tblCellMar>
          <w:top w:w="28" w:type="dxa"/>
          <w:left w:w="28" w:type="dxa"/>
          <w:bottom w:w="28" w:type="dxa"/>
          <w:right w:w="28" w:type="dxa"/>
        </w:tblCellMar>
      </w:tblPr>
      <w:tblGrid>
        <w:gridCol w:w="1703"/>
        <w:gridCol w:w="1482"/>
        <w:gridCol w:w="1486"/>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55"/>
      </w:tblGrid>
      <w:tr>
        <w:trPr/>
        <w:tc>
          <w:tcPr>
            <w:tcW w:w="1703"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4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related to the real estate industry for the years ended December 31, 2021 and 2020 was $143.8 million and $109.7 million, respectively, an increase of $34.1 million, or 31%. For the years ended December 31, 2021 and 2020, expenditures to third-party service providers related to the delivery of our Value Added Services to the real estate industry increased $21.6 million, which was directly associated with the increased adoption and utilization of our Value Added Services, as evidenced by the $57.1 million increase in Value Added Services revenue to the real estate industry. Personnel-related costs, including performance-based compensation, necessary to support growth and key investments, increased $9.3 million. Allocated shared and other costs increased by $3.1 million primarily driven by an increase in software and other costs incurred in support of our overall growth.</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cost of revenue (exclusive of depreciation and amortization) fluctuates primarily based on the mix of Value Added Services revenue in the period, given the varying percentage of revenue we pay to third-party service providers. For the year ended December 31, 2021, cost of revenue (exclusive of depreciation and amortization), as a percentage of revenue, increased to 40.0% from 38.5% for the year ended December 31, 2020. We expect the cost of revenues (exclusive of depreciation and amortization) for the year ending December 31, 2022, to increase as a percentage of revenue, as we expect expenditures to third-party service providers related to the delivery of our Value Added Services revenues to increase at a faster rate than total revenues as a result of a higher growth rate related to our Value Added Services revenues.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750" w:type="dxa"/>
        <w:jc w:val="left"/>
        <w:tblInd w:w="0" w:type="dxa"/>
        <w:tblCellMar>
          <w:top w:w="28" w:type="dxa"/>
          <w:left w:w="28" w:type="dxa"/>
          <w:bottom w:w="28" w:type="dxa"/>
          <w:right w:w="28" w:type="dxa"/>
        </w:tblCellMar>
      </w:tblPr>
      <w:tblGrid>
        <w:gridCol w:w="1317"/>
        <w:gridCol w:w="1160"/>
        <w:gridCol w:w="1168"/>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1317"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related to the real estate industry for the years ended December 31, 2021 and 2020 was $73.1 million and $52.5 million, respectively, an increase of $20.6 million, or 39%. This increase was primarily due to a $12.6 million increase in personnel-related costs, including performance-based compensation, necessary to support growth and key investments in the business. Advertising and promotion costs increased by $6.3 million primarily due to increased advertising and promotion spending to support the growth and key investments in the business. In addition, there was an increase in allocated shared and other costs of $1.7 million primarily related to software and other costs incurred in support of our overall growth.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sales and marketing expense increased to 20.3% from 18.4% for the year ended December 31, 2021 compared to the year ended December 31, 2020. This increase was due in part to lower advertising and promotion costs in 2020 as a result of fewer events and lower online marketing spend, as well as increased spend in 2021 to support our growth.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8855" w:type="dxa"/>
        <w:jc w:val="left"/>
        <w:tblInd w:w="0" w:type="dxa"/>
        <w:tblCellMar>
          <w:top w:w="28" w:type="dxa"/>
          <w:left w:w="28" w:type="dxa"/>
          <w:bottom w:w="28" w:type="dxa"/>
          <w:right w:w="28" w:type="dxa"/>
        </w:tblCellMar>
      </w:tblPr>
      <w:tblGrid>
        <w:gridCol w:w="1321"/>
        <w:gridCol w:w="1159"/>
        <w:gridCol w:w="1165"/>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2"/>
        <w:gridCol w:w="234"/>
        <w:gridCol w:w="316"/>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product development expense related to the real estate industry for the years ended December 31, 2021 and 2020 was $65.9 million and $43.8 million, respectively, an increase of $22.1 million, or 50%. This increase was the result of an increase in personnel-related costs, including performance based compensation, net of capitalized software development costs, of $20.5 million due to investments in headcount growth within our research and product development organization. Allocated shared and other costs increased $1.6 million primarily related to software and other costs to support our growth. </w:t>
      </w:r>
    </w:p>
    <w:p>
      <w:pPr>
        <w:pStyle w:val="TextBody"/>
        <w:spacing w:lineRule="auto" w:line="288" w:before="24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8644" w:type="dxa"/>
        <w:jc w:val="left"/>
        <w:tblInd w:w="0" w:type="dxa"/>
        <w:tblCellMar>
          <w:top w:w="28" w:type="dxa"/>
          <w:left w:w="28" w:type="dxa"/>
          <w:bottom w:w="28" w:type="dxa"/>
          <w:right w:w="28" w:type="dxa"/>
        </w:tblCellMar>
      </w:tblPr>
      <w:tblGrid>
        <w:gridCol w:w="1321"/>
        <w:gridCol w:w="1160"/>
        <w:gridCol w:w="116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132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76"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related to the real estate industry and general corporate overhead expenses for the years ended December 31, 2021 and 2020 was $57.3 million and $46.1 million, respectively, an increase of $11.2 million, or 24%. The increase in general and administrative expense was primarily due to a $14.3 million increase in personnel-related costs for investments in headcount and an increase of $4.1 million in allocated shared and other costs for professional fees, education and training, insurance, software and other costs to support our growth. These increases were offset by a $1.9 million insurance recovery related to our previously disclosed settlement with the Federal Trade Commission (the "FTC") and a decrease in legal costs of $5.3 million related to our $4.3 million settlement with the FTC and a decrease in legal fees of $1.0 million related to the MyCase Transaction during the year ended December 31, 2020. </w:t>
      </w:r>
    </w:p>
    <w:p>
      <w:pPr>
        <w:pStyle w:val="TextBody"/>
        <w:spacing w:lineRule="auto" w:line="276"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7594" w:type="dxa"/>
        <w:jc w:val="left"/>
        <w:tblInd w:w="0" w:type="dxa"/>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related to the real estate industry for the years ended December 31, 2021 and 2020 was $30.8 million and $25.0 million, respectively, an increase of $5.8 million, or 23%. The increase in depreciation and amortization expense was primarily due to increased amortization expense associated with higher accumulated capitalized software development balances. </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6990" w:type="dxa"/>
        <w:jc w:val="center"/>
        <w:tblInd w:w="0" w:type="dxa"/>
        <w:tblCellMar>
          <w:top w:w="28" w:type="dxa"/>
          <w:left w:w="28" w:type="dxa"/>
          <w:bottom w:w="28" w:type="dxa"/>
          <w:right w:w="28" w:type="dxa"/>
        </w:tblCellMar>
      </w:tblPr>
      <w:tblGrid>
        <w:gridCol w:w="689"/>
        <w:gridCol w:w="607"/>
        <w:gridCol w:w="609"/>
        <w:gridCol w:w="211"/>
        <w:gridCol w:w="721"/>
        <w:gridCol w:w="271"/>
        <w:gridCol w:w="109"/>
        <w:gridCol w:w="109"/>
        <w:gridCol w:w="109"/>
        <w:gridCol w:w="211"/>
        <w:gridCol w:w="826"/>
        <w:gridCol w:w="271"/>
        <w:gridCol w:w="109"/>
        <w:gridCol w:w="109"/>
        <w:gridCol w:w="109"/>
        <w:gridCol w:w="211"/>
        <w:gridCol w:w="901"/>
        <w:gridCol w:w="109"/>
        <w:gridCol w:w="109"/>
        <w:gridCol w:w="109"/>
        <w:gridCol w:w="109"/>
        <w:gridCol w:w="109"/>
        <w:gridCol w:w="109"/>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188,897 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years ended December 31, 2021 and 2020 was $13.1 million and $188.9 million, respectively, a decrease of $175.8 million. The decrease in other income, net was primarily due to the gain of $187.6 million associated with the MyCase Transaction in September 2020. The decrease was offset by a gain of $12.8 million related to the sale of our investment in SecureDocs, a portion of which relates to the recovery of a $2.0 million note receivable which had been previously reserved.</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900" w:type="dxa"/>
        <w:jc w:val="center"/>
        <w:tblInd w:w="0" w:type="dxa"/>
        <w:tblCellMar>
          <w:top w:w="28" w:type="dxa"/>
          <w:left w:w="28" w:type="dxa"/>
          <w:bottom w:w="28" w:type="dxa"/>
          <w:right w:w="28" w:type="dxa"/>
        </w:tblCellMar>
      </w:tblPr>
      <w:tblGrid>
        <w:gridCol w:w="825"/>
        <w:gridCol w:w="726"/>
        <w:gridCol w:w="729"/>
        <w:gridCol w:w="211"/>
        <w:gridCol w:w="466"/>
        <w:gridCol w:w="271"/>
        <w:gridCol w:w="109"/>
        <w:gridCol w:w="109"/>
        <w:gridCol w:w="109"/>
        <w:gridCol w:w="211"/>
        <w:gridCol w:w="721"/>
        <w:gridCol w:w="271"/>
        <w:gridCol w:w="109"/>
        <w:gridCol w:w="109"/>
        <w:gridCol w:w="109"/>
        <w:gridCol w:w="211"/>
        <w:gridCol w:w="796"/>
        <w:gridCol w:w="109"/>
        <w:gridCol w:w="109"/>
        <w:gridCol w:w="109"/>
        <w:gridCol w:w="109"/>
        <w:gridCol w:w="109"/>
        <w:gridCol w:w="109"/>
        <w:gridCol w:w="154"/>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we recorded income tax expense of $0.7 million. The effective tax rate as compared to the U.S. federal statutory rate of 21% differs primarily due to the significance of the benefits associated with stock-based compensation expense, research and development tax credits, and the change in the valuation allowance against deferred taxes.</w:t>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For the year ended December 31, 2020 we recorded an income tax expense of $38.4 million. </w:t>
      </w:r>
      <w:r>
        <w:rPr>
          <w:rFonts w:ascii="Times New Roman;sans-serif" w:hAnsi="Times New Roman;sans-serif"/>
          <w:b w:val="false"/>
          <w:color w:val="202124"/>
          <w:sz w:val="20"/>
        </w:rPr>
        <w:t xml:space="preserve">The tax provision for the year ended </w:t>
      </w:r>
      <w:r>
        <w:rPr>
          <w:rFonts w:ascii="Times New Roman;sans-serif" w:hAnsi="Times New Roman;sans-serif"/>
          <w:b w:val="false"/>
          <w:color w:val="000000"/>
          <w:sz w:val="20"/>
        </w:rPr>
        <w:t xml:space="preserve">December 31, 2020 </w:t>
      </w:r>
      <w:r>
        <w:rPr>
          <w:rFonts w:ascii="Times New Roman;sans-serif" w:hAnsi="Times New Roman;sans-serif"/>
          <w:b w:val="false"/>
          <w:color w:val="202124"/>
          <w:sz w:val="20"/>
        </w:rPr>
        <w:t xml:space="preserve">includes tax expense of $51.3 million relating to the MyCase Transaction which includes </w:t>
      </w:r>
      <w:r>
        <w:rPr>
          <w:rFonts w:ascii="Times New Roman;sans-serif" w:hAnsi="Times New Roman;sans-serif"/>
          <w:b w:val="false"/>
          <w:color w:val="000000"/>
          <w:sz w:val="20"/>
        </w:rPr>
        <w:t xml:space="preserve">$52.3 million </w:t>
      </w:r>
      <w:r>
        <w:rPr>
          <w:rFonts w:ascii="Times New Roman;sans-serif" w:hAnsi="Times New Roman;sans-serif"/>
          <w:b w:val="false"/>
          <w:color w:val="202124"/>
          <w:sz w:val="20"/>
        </w:rPr>
        <w:t>of current tax expense on the gain on the sale of MyCase, less a $1.0 million benefit on the reversal of deferred tax liabilities relating to MyCase. For tax purposes, we filed an election to treat the transaction as a sale of assets. As such, the tax impact takes into consideration the tax basis of the assets on the date of sale and the availability of net operating losses and research and development tax credits.</w:t>
      </w:r>
      <w:r>
        <w:rPr>
          <w:color w:val="000000"/>
        </w:rPr>
        <w:t xml:space="preserve"> </w:t>
      </w:r>
      <w:r>
        <w:rPr>
          <w:rFonts w:ascii="Times New Roman;sans-serif" w:hAnsi="Times New Roman;sans-serif"/>
          <w:b w:val="false"/>
          <w:color w:val="000000"/>
          <w:sz w:val="20"/>
        </w:rPr>
        <w:t xml:space="preserve">The effective tax rate as compared to the U.S. federal statutory rate of 21% differs primarily due to state income taxes and the benefits associated with stock-based compensation expense and research and development tax credits.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composed of our cash, cash equivalents, and investment securities, as well as cash flows generated from our operations. At December 31, 2021, our cash and cash equivalents and investment securities had an aggregate balance of $183.5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spacing w:lineRule="auto" w:line="288" w:before="120" w:after="200"/>
        <w:ind w:left="0" w:right="0" w:firstLine="720"/>
        <w:jc w:val="both"/>
        <w:rPr/>
      </w:pPr>
      <w:r>
        <w:rPr>
          <w:rFonts w:ascii="Times New Roman;sans-serif" w:hAnsi="Times New Roman;sans-serif"/>
          <w:b w:val="false"/>
          <w:color w:val="000000"/>
          <w:sz w:val="20"/>
        </w:rPr>
        <w:t xml:space="preserve">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the timing and extent of our expansion into new or adjacent markets, the timing and extent of our investments across our organization, and the impact of the COVID-19 pandemic (and other actual or potential events outside of our control) on the customers we serve and on our business. Non-cancelable purchase commitments for business operations total $13.2 million as of December 31, 2021, due primarily over the next 3 years. Operating lease obligations totaling $66.6 million associated with leased facilities and have varying maturities with $24.3 million due over the next five years. In addition, we have in the past entered into, and may in the future enter into, arrangements to acquire or invest in new technologies or markets adjacent to those we serve today.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 (in thousands):</w:t>
      </w:r>
    </w:p>
    <w:tbl>
      <w:tblPr>
        <w:tblW w:w="6973" w:type="dxa"/>
        <w:jc w:val="left"/>
        <w:tblInd w:w="0" w:type="dxa"/>
        <w:tblCellMar>
          <w:top w:w="28" w:type="dxa"/>
          <w:left w:w="28" w:type="dxa"/>
          <w:bottom w:w="28" w:type="dxa"/>
          <w:right w:w="28" w:type="dxa"/>
        </w:tblCellMar>
      </w:tblPr>
      <w:tblGrid>
        <w:gridCol w:w="1375"/>
        <w:gridCol w:w="1205"/>
        <w:gridCol w:w="1214"/>
        <w:gridCol w:w="109"/>
        <w:gridCol w:w="109"/>
        <w:gridCol w:w="109"/>
        <w:gridCol w:w="211"/>
        <w:gridCol w:w="796"/>
        <w:gridCol w:w="109"/>
        <w:gridCol w:w="109"/>
        <w:gridCol w:w="109"/>
        <w:gridCol w:w="109"/>
        <w:gridCol w:w="211"/>
        <w:gridCol w:w="826"/>
        <w:gridCol w:w="109"/>
        <w:gridCol w:w="109"/>
        <w:gridCol w:w="154"/>
      </w:tblGrid>
      <w:tr>
        <w:trPr/>
        <w:tc>
          <w:tcPr>
            <w:tcW w:w="137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cash provided by operating activities was $35.4 million resulting from income of $1.0 million, non-cash charges of $36.7 million and a net decrease in our operating assets and liabilities of $2.4 million. The non-cash charges primarily consist of $29.0 million of depreciation and amortization costs, stock-based compensation expense, including as amortized, of $17.2 million, a decrease in deferred taxes of $0.3 million, and $3.2 million of amortization of operating lease right-of-use ("ROU") assets. The net decrease in our operating assets and liabilities was mostly attributable to a $9.0 million decrease in income taxes payable primarily driven by income taxes paid due to the MyCase Transaction, a $2.2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increase in prepaid expenses and other current assets primarily attributable to increases in tenant improvement allowance receivable, deferred commission costs and prepaid expenses to support our overall growth, a $2.1 million increase in accounts receivable primarily driven by growth of our Value Added Services, and a $1.8 million decrease in accrued expenses which was primarily due to a $4.3 million legal expense accrued during the year ended December 31, 2020 and paid in the three months ended March 31, 2021 related to our settlement with the FTC. These decreases were partially offset by an $11.3 million increase in accrued employee expenses-current primarily due to an increase in short-term incentive compensation, an increase in payroll expense and accrued paid time off due to an increase in headcount, a $1.3 million increase in operating lease liabilities, a $0.6 million increase in accrued employee expenses-noncurrent due to an increase in accrued long-term management bonuses, and a $0.5 million increase in accounts payable.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2020, cash provided by operating activities was $48.3 million resulting from our net income of $158.4 million, adjusted by the gain related to the MyCase Transaction of $187.7 million, non-cash charges of $68.6 million and a net increase in our operating assets and liabilities of $8.9 million. The non-cash charges primarily consist of a decrease in deferred taxes of $29.0 million, depreciation and amortization costs of $25.5 million, stock-based compensation expense, including as amortized, of $10.3 million, and amortization of operating lease right-of-use assets of $3.7 million. The net increase in our operating assets and liabilities was mostly attributable to a $9.4 million increase in other liabilities primarily driven by income taxes payable due to the MyCase Transaction, a $6.9 million increase in accrued expenses which includes a $4.3 million accrual related to legal loss reserves, a $2.8 million increase in accrued employee expenses related to an overall increase in personnel-related costs, and a $0.5 million increase in deferred revenue. These increases were partially offset by a $2.8 million increase in accounts receivable primarily driven by growth of our Value Added Services, an increase in prepaid expenses and other current assets of $5.9 million primarily driven by an increase in prepaid expenses to support the growth in our business, an increase in deposits held with a third party related to requirements to maintain collateral for our risk mitigation services, and an increase in deferred costs, and a $0.9 million decrease in accounts payable due to timing of payments.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(Used in) Provided by Investing Activities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investing activities is generally composed of purchases of investment securities, maturities and sales of investment securities, purchases of property and equipment, and additions to capitalized software development.</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investing activities used $110.5 million in cash primarily due to purchases of investment securities of $241.2 million, capitalized software development costs of $24.6 million and capital expenditures of $8.1 million to purchase property and equipment for the continued growth and expansion of our business. These uses of cash were partially offset by maturities and sales of investment securities of $107.4 million and $43.2 million, respectively, and proceeds from the sale of our equity-method investment of $12.5 million.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investing activities provided $146.5 million in cash primarily due to net proceeds from the MyCase Transaction of $191.4 million and the proceeds from maturities and sales of investment securities of $27.3 million and $16.7 million, respectively. These sources of cash were partially offset by purchases of investment securities of $43.9 million, capitalized software development costs of $26.0 million, and capital expenditures of $19.0 million to purchase property and equipment primarily related to the growth and expansion of our headquarters in Santa Barbara, CA, a portion of which was reimbursed through tenant improvement allowances.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Used in Financing Activities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comprised of net share settlements for employee tax withholdings associated with the vesting of restricted stock units ("RSUs"), the payment of contingent consideration under acquisition arrangements, activities associated with our former credit facility, activities related to the repurchase of our Class A common stock offset by proceeds from the exercise of stock options.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financing activities used $7.3 million in cash primarily as a result of net share settlements for employee tax withholdings associated with the vesting of RSUs of $10.0 million, offset by proceeds from stock option exercises of $2.6 million.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financing activities used $70.4 million in cash primarily as a result of the payment of all outstanding amounts due under the former credit facility of $99.6 million, net share settlements for employee tax withholdings associated with the vesting of RSUs of $12.2 million, payment of contingent consideration related to the 2019 acquisition of Dynasty Marketplace, Inc. of $6.0 million, and the repurchase of outstanding shares of Class A common stock in the amount of $4.2 million. These uses of cash were partially offset by proceeds from the Revolving Facility of $50.8 million.</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we did not have any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the related notes included elsewhere in this Annual Report are prepared in accordance with generally accepted accounting principles in the United States.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 </w:t>
      </w:r>
    </w:p>
    <w:p>
      <w:pPr>
        <w:pStyle w:val="TextBody"/>
        <w:spacing w:lineRule="auto" w:line="288" w:before="60" w:after="120"/>
        <w:ind w:left="0" w:right="0" w:firstLine="720"/>
        <w:jc w:val="both"/>
        <w:rPr/>
      </w:pPr>
      <w:r>
        <w:rPr>
          <w:rFonts w:ascii="Times New Roman;sans-serif" w:hAnsi="Times New Roman;sans-serif"/>
          <w:b w:val="false"/>
          <w:color w:val="000000"/>
          <w:sz w:val="20"/>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w:t>
      </w:r>
      <w:r>
        <w:rPr>
          <w:color w:val="000000"/>
        </w:rPr>
        <w:t xml:space="preserve">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of our Consolidated Financial Statements included elsewhere in this Annual Report. </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 </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two key estimates within the capitalized software balance, which are the determination of the useful life of the software and the determination of the amounts to be capitalized.</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pStyle w:val="TextBody"/>
        <w:spacing w:lineRule="auto" w:line="288" w:before="12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76" w:before="12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pStyle w:val="TextBody"/>
        <w:spacing w:lineRule="auto" w:line="276" w:before="12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to measure the amount of tax benefits that can be recognized associated with uncertain tax positions. 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with respect to uncertain tax positions, if any, in our provision for income taxes in the Consolidated Statements of Operations.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720"/>
        <w:jc w:val="both"/>
        <w:rPr/>
      </w:pPr>
      <w:r>
        <w:rPr>
          <w:rFonts w:ascii="Times New Roman;sans-serif" w:hAnsi="Times New Roman;sans-serif"/>
          <w:b w:val="false"/>
          <w:color w:val="000000"/>
          <w:sz w:val="20"/>
        </w:rPr>
        <w:t xml:space="preserve">For information regarding recent accounting pronouncements,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of our Consolidated Financial Statements included elsewhere in this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 ABOUT MARKET RISK </w:t>
      </w:r>
    </w:p>
    <w:p>
      <w:pPr>
        <w:pStyle w:val="TextBody"/>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cash and cash equivalents of $57.8 million consisting of bank deposits and money market funds, and $125.7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December 31, 2021, a hypothetical 100 basis point decrease in interest rates would have resulted in an increase in the fair value of our investment securities of approximately $0.7 million, and a hypothetical 100 basis point increase in interest rates would have resulted in a decrease in the fair value of our investment securities of approximately $1.2 million. This estimate is based on a sensitivity model which measured an instant change in interest rates by 100 basis points as of December 31, 2021.</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Inflation Risk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pStyle w:val="TextBody"/>
        <w:spacing w:lineRule="auto" w:line="288" w:before="60" w:after="120"/>
        <w:ind w:left="0" w:right="0" w:firstLine="720"/>
        <w:jc w:val="both"/>
        <w:rPr/>
      </w:pPr>
      <w:r>
        <w:rPr>
          <w:rFonts w:ascii="Times New Roman;sans-serif" w:hAnsi="Times New Roman;sans-serif"/>
          <w:b/>
          <w:i/>
          <w:color w:val="000000"/>
          <w:sz w:val="20"/>
        </w:rPr>
        <w:t>Foreign Currency Exchange Rate Risk</w:t>
      </w:r>
      <w:r>
        <w:rPr>
          <w:color w:val="000000"/>
        </w:rPr>
        <w:t xml:space="preserv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been exposed to, nor do we anticipate being exposed to, material risks relating to foreign currency exchange rate fluctuations.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4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24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55" w:type="dxa"/>
        <w:jc w:val="center"/>
        <w:tblInd w:w="0" w:type="dxa"/>
        <w:tblCellMar>
          <w:top w:w="28" w:type="dxa"/>
          <w:left w:w="28" w:type="dxa"/>
          <w:bottom w:w="28" w:type="dxa"/>
          <w:right w:w="28" w:type="dxa"/>
        </w:tblCellMar>
      </w:tblPr>
      <w:tblGrid>
        <w:gridCol w:w="2275"/>
        <w:gridCol w:w="1999"/>
        <w:gridCol w:w="2010"/>
        <w:gridCol w:w="167"/>
        <w:gridCol w:w="167"/>
        <w:gridCol w:w="237"/>
      </w:tblGrid>
      <w:tr>
        <w:trPr/>
        <w:tc>
          <w:tcPr>
            <w:tcW w:w="2275"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67">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2e64fdac788546218496b126acbfa85e_67">
              <w:r>
                <w:rPr>
                  <w:rStyle w:val="InternetLink"/>
                  <w:rFonts w:ascii="Times New Roman;sans-serif" w:hAnsi="Times New Roman;sans-serif"/>
                  <w:b w:val="false"/>
                  <w:color w:val="0000FF"/>
                  <w:sz w:val="20"/>
                  <w:u w:val="single"/>
                </w:rPr>
                <w:t>30</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70">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70">
              <w:r>
                <w:rPr>
                  <w:rStyle w:val="InternetLink"/>
                  <w:rFonts w:ascii="Times New Roman;sans-serif" w:hAnsi="Times New Roman;sans-serif"/>
                  <w:b w:val="false"/>
                  <w:color w:val="0000FF"/>
                  <w:sz w:val="20"/>
                  <w:u w:val="single"/>
                </w:rPr>
                <w:t>32</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73">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73">
              <w:r>
                <w:rPr>
                  <w:rStyle w:val="InternetLink"/>
                  <w:rFonts w:ascii="Times New Roman;sans-serif" w:hAnsi="Times New Roman;sans-serif"/>
                  <w:b w:val="false"/>
                  <w:color w:val="0000FF"/>
                  <w:sz w:val="20"/>
                  <w:u w:val="single"/>
                </w:rPr>
                <w:t>33</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76">
              <w:r>
                <w:rPr>
                  <w:rStyle w:val="InternetLink"/>
                  <w:rFonts w:ascii="Times New Roman;sans-serif" w:hAnsi="Times New Roman;sans-serif"/>
                  <w:b w:val="false"/>
                  <w:color w:val="0000FF"/>
                  <w:sz w:val="20"/>
                  <w:u w:val="single"/>
                </w:rPr>
                <w:t>Consolidated Statements of Comprehensive Income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76">
              <w:r>
                <w:rPr>
                  <w:rStyle w:val="InternetLink"/>
                  <w:rFonts w:ascii="Times New Roman;sans-serif" w:hAnsi="Times New Roman;sans-serif"/>
                  <w:b w:val="false"/>
                  <w:color w:val="0000FF"/>
                  <w:sz w:val="20"/>
                  <w:u w:val="single"/>
                </w:rPr>
                <w:t>34</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79">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79">
              <w:r>
                <w:rPr>
                  <w:rStyle w:val="InternetLink"/>
                  <w:rFonts w:ascii="Times New Roman;sans-serif" w:hAnsi="Times New Roman;sans-serif"/>
                  <w:b w:val="false"/>
                  <w:color w:val="0000FF"/>
                  <w:sz w:val="20"/>
                  <w:u w:val="single"/>
                </w:rPr>
                <w:t>35</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82">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82">
              <w:r>
                <w:rPr>
                  <w:rStyle w:val="InternetLink"/>
                  <w:rFonts w:ascii="Times New Roman;sans-serif" w:hAnsi="Times New Roman;sans-serif"/>
                  <w:b w:val="false"/>
                  <w:color w:val="0000FF"/>
                  <w:sz w:val="20"/>
                  <w:u w:val="single"/>
                </w:rPr>
                <w:t>36</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85">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e64fdac788546218496b126acbfa85e_85">
              <w:r>
                <w:rPr>
                  <w:rStyle w:val="InternetLink"/>
                  <w:rFonts w:ascii="Times New Roman;sans-serif" w:hAnsi="Times New Roman;sans-serif"/>
                  <w:b w:val="false"/>
                  <w:color w:val="0000FF"/>
                  <w:sz w:val="20"/>
                  <w:u w:val="single"/>
                </w:rPr>
                <w:t>38</w:t>
              </w:r>
            </w:hyperlink>
          </w:p>
        </w:tc>
      </w:tr>
      <w:tr>
        <w:trPr/>
        <w:tc>
          <w:tcPr>
            <w:tcW w:w="6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AppFolio, Inc.</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We have audited the accompanying consolidated balance sheets of AppFolio, Inc. and its subsidiaries (the “Company”) as of December 31, 2021 and 2020, and the related consolidated statements of operations, of comprehensive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(2013) issued by the Committee of Sponsoring Organizations of the Treadway Commission (COSO).</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 xml:space="preserve">(2013) issued by the COSO. </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 Tax Positions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13 to the consolidated financial statements, the Company has recorded reserves for unrecognized tax benefits from uncertain tax positions of $7.8 million as of December 31, 2021. Judgment is required to measure the amount of tax benefits that can be recognized associated with uncertain tax positions. Management recognizes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uncertain tax positions is a critical audit matter are (i) the significant judgment by management when determining uncertain tax positions and measuring the amount of reserve required to be recognized, (ii) the significant auditor judgment, subjectivity, and effort in performing procedures and evaluating audit evidence related to management’s identification of uncertain tax positions and measurement of the amount of tax benefits recognized associated with uncertain tax positions, and (iii) the audit effort involved the use of professionals with specialized skill and knowledge.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reserves for uncertain tax positions. These procedures also included, among others (i) evaluating management’s process for identifying uncertain tax positions and measuring the amount of the reserve required, (ii) testing the completeness of management’s assessment of the identification of uncertain tax positions, and (iii) testing the reasonableness of management’s assessment of the technical merits of the tax positions and estimates of the amount of tax benefit expected to be realized. Professionals with specialized skill and knowledge were used to assist in the evaluation of the Company’s uncertain tax positions related to the application of relevant tax laws.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spacing w:before="0" w:after="0"/>
        <w:jc w:val="both"/>
        <w:rPr/>
      </w:pPr>
      <w:r>
        <w:rPr/>
      </w:r>
    </w:p>
    <w:p>
      <w:pPr>
        <w:pStyle w:val="TextBody"/>
        <w:spacing w:before="0" w:after="0"/>
        <w:rPr/>
      </w:pPr>
      <w:r>
        <w:rPr/>
      </w:r>
    </w:p>
    <w:p>
      <w:pPr>
        <w:pStyle w:val="TextBody"/>
        <w:spacing w:lineRule="auto" w:line="288" w:before="240" w:after="283"/>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64"/>
        <w:gridCol w:w="2298"/>
        <w:gridCol w:w="2260"/>
        <w:gridCol w:w="109"/>
        <w:gridCol w:w="109"/>
        <w:gridCol w:w="109"/>
        <w:gridCol w:w="196"/>
        <w:gridCol w:w="736"/>
        <w:gridCol w:w="109"/>
        <w:gridCol w:w="109"/>
        <w:gridCol w:w="109"/>
        <w:gridCol w:w="109"/>
        <w:gridCol w:w="196"/>
        <w:gridCol w:w="736"/>
        <w:gridCol w:w="156"/>
      </w:tblGrid>
      <w:tr>
        <w:trPr/>
        <w:tc>
          <w:tcPr>
            <w:tcW w:w="2864"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25,000 shares authorized and no shares issued and outstanding as of December 31, 2021 and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250,000 shares authorized as of December 31, 2021 and December 31, 2020; 19,836 and 19,148 shares issued as of December 31, 2021 and December 31, 2020, respectively; 19,417 and 18,729 shares outstanding as of December 31, 2021 and December 31,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50,000 shares authorized as of December 31, 2021 and December 31, 2020; 15,408 and 15,659 shares issued and outstanding as of December 31, 2021 and December 31,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419 shares of Class A common stock as of December 31, 2021 and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rPr>
          <w:color w:val="000000"/>
        </w:rPr>
      </w:pPr>
      <w:r>
        <w:rPr>
          <w:color w:val="000000"/>
        </w:rPr>
        <w:t> </w:t>
      </w:r>
    </w:p>
    <w:tbl>
      <w:tblPr>
        <w:tblW w:w="9176" w:type="dxa"/>
        <w:jc w:val="left"/>
        <w:tblInd w:w="0" w:type="dxa"/>
        <w:tblCellMar>
          <w:top w:w="28" w:type="dxa"/>
          <w:left w:w="28" w:type="dxa"/>
          <w:bottom w:w="28" w:type="dxa"/>
          <w:right w:w="28" w:type="dxa"/>
        </w:tblCellMar>
      </w:tblPr>
      <w:tblGrid>
        <w:gridCol w:w="1817"/>
        <w:gridCol w:w="1606"/>
        <w:gridCol w:w="1616"/>
        <w:gridCol w:w="211"/>
        <w:gridCol w:w="826"/>
        <w:gridCol w:w="109"/>
        <w:gridCol w:w="109"/>
        <w:gridCol w:w="109"/>
        <w:gridCol w:w="109"/>
        <w:gridCol w:w="211"/>
        <w:gridCol w:w="826"/>
        <w:gridCol w:w="109"/>
        <w:gridCol w:w="109"/>
        <w:gridCol w:w="109"/>
        <w:gridCol w:w="109"/>
        <w:gridCol w:w="211"/>
        <w:gridCol w:w="826"/>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(benefit from)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9131" w:type="dxa"/>
        <w:jc w:val="center"/>
        <w:tblInd w:w="0" w:type="dxa"/>
        <w:tblCellMar>
          <w:top w:w="28" w:type="dxa"/>
          <w:left w:w="28" w:type="dxa"/>
          <w:bottom w:w="28" w:type="dxa"/>
          <w:right w:w="28" w:type="dxa"/>
        </w:tblCellMar>
      </w:tblPr>
      <w:tblGrid>
        <w:gridCol w:w="1922"/>
        <w:gridCol w:w="1686"/>
        <w:gridCol w:w="1701"/>
        <w:gridCol w:w="211"/>
        <w:gridCol w:w="616"/>
        <w:gridCol w:w="109"/>
        <w:gridCol w:w="109"/>
        <w:gridCol w:w="109"/>
        <w:gridCol w:w="109"/>
        <w:gridCol w:w="211"/>
        <w:gridCol w:w="826"/>
        <w:gridCol w:w="109"/>
        <w:gridCol w:w="109"/>
        <w:gridCol w:w="109"/>
        <w:gridCol w:w="109"/>
        <w:gridCol w:w="211"/>
        <w:gridCol w:w="721"/>
        <w:gridCol w:w="154"/>
      </w:tblGrid>
      <w:tr>
        <w:trPr/>
        <w:tc>
          <w:tcPr>
            <w:tcW w:w="1922"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(losses) gains on investment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949" w:type="dxa"/>
        <w:jc w:val="center"/>
        <w:tblInd w:w="0" w:type="dxa"/>
        <w:tblCellMar>
          <w:top w:w="28" w:type="dxa"/>
          <w:left w:w="28" w:type="dxa"/>
          <w:bottom w:w="28" w:type="dxa"/>
          <w:right w:w="28" w:type="dxa"/>
        </w:tblCellMar>
      </w:tblPr>
      <w:tblGrid>
        <w:gridCol w:w="634"/>
        <w:gridCol w:w="268"/>
        <w:gridCol w:w="269"/>
        <w:gridCol w:w="109"/>
        <w:gridCol w:w="109"/>
        <w:gridCol w:w="109"/>
        <w:gridCol w:w="153"/>
        <w:gridCol w:w="153"/>
        <w:gridCol w:w="361"/>
        <w:gridCol w:w="285"/>
        <w:gridCol w:w="154"/>
        <w:gridCol w:w="109"/>
        <w:gridCol w:w="109"/>
        <w:gridCol w:w="109"/>
        <w:gridCol w:w="248"/>
        <w:gridCol w:w="305"/>
        <w:gridCol w:w="138"/>
        <w:gridCol w:w="109"/>
        <w:gridCol w:w="109"/>
        <w:gridCol w:w="109"/>
        <w:gridCol w:w="323"/>
        <w:gridCol w:w="323"/>
        <w:gridCol w:w="196"/>
        <w:gridCol w:w="109"/>
        <w:gridCol w:w="109"/>
        <w:gridCol w:w="109"/>
        <w:gridCol w:w="247"/>
        <w:gridCol w:w="303"/>
        <w:gridCol w:w="141"/>
        <w:gridCol w:w="109"/>
        <w:gridCol w:w="109"/>
        <w:gridCol w:w="109"/>
        <w:gridCol w:w="228"/>
        <w:gridCol w:w="859"/>
        <w:gridCol w:w="129"/>
        <w:gridCol w:w="109"/>
        <w:gridCol w:w="109"/>
        <w:gridCol w:w="109"/>
        <w:gridCol w:w="277"/>
        <w:gridCol w:w="618"/>
        <w:gridCol w:w="156"/>
        <w:gridCol w:w="109"/>
        <w:gridCol w:w="109"/>
        <w:gridCol w:w="109"/>
        <w:gridCol w:w="225"/>
        <w:gridCol w:w="760"/>
        <w:gridCol w:w="126"/>
        <w:gridCol w:w="109"/>
        <w:gridCol w:w="109"/>
        <w:gridCol w:w="109"/>
        <w:gridCol w:w="196"/>
        <w:gridCol w:w="736"/>
        <w:gridCol w:w="109"/>
        <w:gridCol w:w="109"/>
        <w:gridCol w:w="109"/>
        <w:gridCol w:w="109"/>
        <w:gridCol w:w="196"/>
        <w:gridCol w:w="736"/>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413" w:type="dxa"/>
            <w:gridSpan w:val="6"/>
            <w:tcBorders/>
            <w:shd w:fill="auto" w:val="clea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157,898 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stock to Class A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stock to Class A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stock to Class A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171,930 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APPFOLIO, INC.</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CASH FLOWS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9400" w:type="dxa"/>
        <w:jc w:val="center"/>
        <w:tblInd w:w="0" w:type="dxa"/>
        <w:tblCellMar>
          <w:top w:w="28" w:type="dxa"/>
          <w:left w:w="28" w:type="dxa"/>
          <w:bottom w:w="28" w:type="dxa"/>
          <w:right w:w="28" w:type="dxa"/>
        </w:tblCellMar>
      </w:tblPr>
      <w:tblGrid>
        <w:gridCol w:w="2097"/>
        <w:gridCol w:w="1839"/>
        <w:gridCol w:w="1854"/>
        <w:gridCol w:w="211"/>
        <w:gridCol w:w="599"/>
        <w:gridCol w:w="109"/>
        <w:gridCol w:w="109"/>
        <w:gridCol w:w="109"/>
        <w:gridCol w:w="109"/>
        <w:gridCol w:w="196"/>
        <w:gridCol w:w="736"/>
        <w:gridCol w:w="109"/>
        <w:gridCol w:w="109"/>
        <w:gridCol w:w="109"/>
        <w:gridCol w:w="109"/>
        <w:gridCol w:w="196"/>
        <w:gridCol w:w="646"/>
        <w:gridCol w:w="154"/>
      </w:tblGrid>
      <w:tr>
        <w:trPr/>
        <w:tc>
          <w:tcPr>
            <w:tcW w:w="2097"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equity-method investment and recovery of note receivable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expenses—current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expenses—noncurrent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equipment and intangible assets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in business acquisition, net of cash acquired</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net of cash divested</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equity-method investment and recovery of note receivable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debt</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408"/>
        <w:gridCol w:w="2068"/>
        <w:gridCol w:w="2085"/>
        <w:gridCol w:w="196"/>
        <w:gridCol w:w="646"/>
        <w:gridCol w:w="109"/>
        <w:gridCol w:w="109"/>
        <w:gridCol w:w="109"/>
        <w:gridCol w:w="109"/>
        <w:gridCol w:w="196"/>
        <w:gridCol w:w="736"/>
        <w:gridCol w:w="109"/>
        <w:gridCol w:w="109"/>
        <w:gridCol w:w="109"/>
        <w:gridCol w:w="109"/>
        <w:gridCol w:w="196"/>
        <w:gridCol w:w="646"/>
        <w:gridCol w:w="156"/>
      </w:tblGrid>
      <w:tr>
        <w:trPr/>
        <w:tc>
          <w:tcPr>
            <w:tcW w:w="2408"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APPFOLIO, INC.</w:t>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CASH FLOWS </w:t>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included in operating cash flows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 included in accrued expenses and accrued employee expenses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capitalized for software development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consideration for acquisitions included in other current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6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56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56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56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6561"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The following table presents a reconciliation of cash, cash equivalents and restricted cash reported within the Consolidated Balance Sheets to the total of the same such amounts shown above (in thousands):</w:t>
      </w:r>
    </w:p>
    <w:tbl>
      <w:tblPr>
        <w:tblW w:w="7076" w:type="dxa"/>
        <w:jc w:val="center"/>
        <w:tblInd w:w="0" w:type="dxa"/>
        <w:tblCellMar>
          <w:top w:w="28" w:type="dxa"/>
          <w:left w:w="28" w:type="dxa"/>
          <w:bottom w:w="28" w:type="dxa"/>
          <w:right w:w="28" w:type="dxa"/>
        </w:tblCellMar>
      </w:tblPr>
      <w:tblGrid>
        <w:gridCol w:w="1245"/>
        <w:gridCol w:w="1091"/>
        <w:gridCol w:w="1098"/>
        <w:gridCol w:w="196"/>
        <w:gridCol w:w="646"/>
        <w:gridCol w:w="109"/>
        <w:gridCol w:w="109"/>
        <w:gridCol w:w="109"/>
        <w:gridCol w:w="109"/>
        <w:gridCol w:w="196"/>
        <w:gridCol w:w="736"/>
        <w:gridCol w:w="109"/>
        <w:gridCol w:w="109"/>
        <w:gridCol w:w="109"/>
        <w:gridCol w:w="109"/>
        <w:gridCol w:w="196"/>
        <w:gridCol w:w="646"/>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AUDITED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(the "Company," "we," "us" or "our") is a leading provider of cloud business management solutions for the real estate industry. Our solutions enable our customers to digitally transform their businesses, automate and streamline critical business operations and deliver a better customer experience. We were founded in 2006 with the vision to revolutionize vertical industry businesses by providing great software and services. Our mission is even more relevant today, digital transformation is effectively a requirement for business success in the modern world, and the way we work and live today requires powerful software solutions to enable a more seamless experience.</w:t>
      </w:r>
    </w:p>
    <w:p>
      <w:pPr>
        <w:pStyle w:val="TextBody"/>
        <w:spacing w:lineRule="auto" w:line="276" w:before="60" w:after="120"/>
        <w:ind w:left="0" w:right="0" w:firstLine="720"/>
        <w:jc w:val="both"/>
        <w:rPr/>
      </w:pPr>
      <w:r>
        <w:rPr>
          <w:rFonts w:ascii="Times New Roman;sans-serif" w:hAnsi="Times New Roman;sans-serif"/>
          <w:b w:val="false"/>
          <w:color w:val="000000"/>
          <w:sz w:val="20"/>
        </w:rPr>
        <w:t xml:space="preserve">During the years ended December 31, 2020 and 2019, we also provided cloud-based solutions and services to the legal industry via MyCase, a solution primarily designed for small and mid-sized law firms. As previously disclosed, we completed our divestiture of MyCase, Inc. on September 30, 2020. For additional details, see Note 3, </w:t>
      </w:r>
      <w:r>
        <w:rPr>
          <w:rFonts w:ascii="Times New Roman;sans-serif" w:hAnsi="Times New Roman;sans-serif"/>
          <w:b w:val="false"/>
          <w:i/>
          <w:color w:val="000000"/>
          <w:sz w:val="20"/>
        </w:rPr>
        <w:t>Divestitures</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were prepared in accordance with accounting principles generally accepted in the United States of America (“GAAP”).</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Consolidated Statements of Cash Flows within the cash flows from operating activities section in the prior year to conform to the current year's presentation.</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operations of AppFolio, Inc. and its wholly owned subsidiaries. All intercompany balances and transactions have been eliminated in consolidation.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Our investment in SecureDocs, Inc. (“SecureDocs”) is accounted for under the equity method of accounting as we have the ability to exert significant influence, but do not control and are not the primary beneficiary of the entity. Our investment in SecureDocs is not material and any income (loss) activity is not material individually or in the aggregate to our Consolidated Financial Statements for any period presented. In December 2021, we sold our interest in SecureDocs. Refer to Note 4,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valuation and assumptions underlying stock-based compensation and other equity instruments. Actual results could differ from those estimates and any such differences may have a material impact on our Consolidated Financial Statements.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Information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operating decision maker reviews financial information presented on an aggregated and consolidated basis, together with revenue information for our core solutions, Value Added Services, and other service offerings, principally to make decisions about how to allocate resources and to measure our performance. Accordingly, we have determined that we have one reportable and operating segment.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credit risk consist principally of cash, cash equivalents, restricted cash, accounts receivable, investment securities and notes receivable. We maintain cash balances at financial institutions in excess of amounts insured by United States government agencies or payable by the United States government directly. We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place our cash with high credit, quality financial institutions. We invest in investment securities with a minimum rating of A by Standard &amp; Poor's or A-1 by Moody's and regularly monitor our investment security portfolio for changes in credit ratings.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Concentrations of credit risk with respect to accounts receivable and revenue are limited due to a large, diverse customer base. No individual customer represented 10% or more of accounts receivable at December 31, 2021 and 2020 or revenue for the years ended December 31, 2021, 2020 and 2019.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We use a fair value hierarchy based on three levels of inputs, of which the first two are considered observable and the last unobservable, that may be used to measure fair value, which are the following: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 xml:space="preserve">- Quoted prices in active markets for identical assets or liabilities.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 xml:space="preserve">- Inputs other than Level 1 that are observable, either directly or indirectly, in the marketplace.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 xml:space="preserve">- Unobservable inputs that are supported by little or no market activity.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Restricted Cash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currently consist of corporate bonds, United States government agency securities and treasury securities. We classify investment securities as available-for-sale at the time of purchase and reevaluate such classification at each balance sheet date. All investments are recorded at estimated fair value and investments with original maturities of less than one year at the time of purchase are classified as short-term. Unrealized gains and losses for available-for-sale investment securities are included in accumulated other comprehensive income, a component of stockholders' equity.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2021 and 2020.</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At December 31, 2021 and 2020, our allowance for credit losses was not material.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is stated at cost net of accumulated depreciation. Depreciation is calculated using the straight-line method over the estimated useful lives of assets as follows: </w:t>
      </w:r>
    </w:p>
    <w:tbl>
      <w:tblPr>
        <w:tblW w:w="6237" w:type="dxa"/>
        <w:jc w:val="center"/>
        <w:tblInd w:w="0" w:type="dxa"/>
        <w:tblCellMar>
          <w:top w:w="28" w:type="dxa"/>
          <w:left w:w="28" w:type="dxa"/>
          <w:bottom w:w="28" w:type="dxa"/>
          <w:right w:w="28" w:type="dxa"/>
        </w:tblCellMar>
      </w:tblPr>
      <w:tblGrid>
        <w:gridCol w:w="781"/>
        <w:gridCol w:w="688"/>
        <w:gridCol w:w="691"/>
        <w:gridCol w:w="109"/>
        <w:gridCol w:w="109"/>
        <w:gridCol w:w="109"/>
        <w:gridCol w:w="1099"/>
        <w:gridCol w:w="1099"/>
        <w:gridCol w:w="1552"/>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Depreciation Period</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remaining life of lease or asset life</w:t>
            </w:r>
          </w:p>
        </w:tc>
      </w:tr>
    </w:tbl>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and Intangible Assets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tested for impairment at least annually at the reporting unit level or at other times if an event occurs or circumstances change that would more likely than not reduce the fair value of a reporting unit below its carrying amount. A qualitative assessment is performed to determine whether it is more likely than not that the fair value of its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for goodwill impairment annually during the fourth quarter of the calendar year. Based on the assessment performed at November 1, 2021, we determined it was unlikely that our reporting unit fair value was less than its carrying value and no quantitative impairment test assessment was required. No impairment losses were recorded for goodwill during the years ended December 31, 2021, 2020 and 2019.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primarily consist of acquired database and technology, non-compete agreements, customer and partner relationships, trademarks and trade names,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There were no impairment charges related to the identified long-lived assets for the years ended December 31, 2021, 2020 and 2019.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We generate revenue from our customers primarily for subscriptions to access our core solutions and Value Added Services.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We do not disclose the value of unsatisfied performance obligations for contracts with an original expected term of one year or less. We recognize revenue in proportion to the amount we have the right to invoice for certain core solutions and Value Added Services revenue, as that amount corresponds directly with our performance completed to date. Refer to Note 14, </w:t>
      </w:r>
      <w:r>
        <w:rPr>
          <w:rFonts w:ascii="Times New Roman;sans-serif" w:hAnsi="Times New Roman;sans-serif"/>
          <w:b w:val="false"/>
          <w:i/>
          <w:color w:val="000000"/>
          <w:sz w:val="20"/>
        </w:rPr>
        <w:t>Revenue and Other Information</w:t>
      </w:r>
      <w:r>
        <w:rPr>
          <w:color w:val="000000"/>
        </w:rPr>
        <w:t xml:space="preserve"> </w:t>
      </w:r>
      <w:r>
        <w:rPr>
          <w:rFonts w:ascii="Times New Roman;sans-serif" w:hAnsi="Times New Roman;sans-serif"/>
          <w:b w:val="false"/>
          <w:color w:val="000000"/>
          <w:sz w:val="20"/>
        </w:rPr>
        <w:t xml:space="preserve">for the disaggregated breakdown of revenue between Core solutions, Value Added Services and Other revenue.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Core Solutions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our customers on a subscription basis for our core solutions. Our subscription fees are designed to scale to the size of our customers' businesses. Subscription fees for our core solutions are charged on a per-unit per-month basis for our property management software solution and on a per-user per-month basis for our legal software solution. Our customers do not have rights to the underlying software code of our solutions, and, accordingly, we recognize subscription revenue over time on a straight-line basis over the contract term beginning on the date that our service is made available to the customer. The term of our core solutions subscription agreements typically ranges from one month to one year. We typically invoice our customers for subscription services in monthly or annual installments, in advance of the subscription period. </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Value Added Services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our customers on a subscription or usage basis for our Value Added Services. Subscription-based fees are charged on a per-unit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customers for usage-based services on a monthly basis for services rendered in the preceding month. In addition, some subscription or usage-based Value Added Services, such as fees for electronic payment services, are paid by either our customers or clients of our customers at the time the services are rendered.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third-party partners to provide certain of our Value Added Services. For these Value Added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not recognized until the core solution is accessible and fully functional for our customer's use. Other services are billed when the services rendered are completed and delivered to the customer or billed in advance and deferred over the subscription period.</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deferred revenue when cash payments are received in advance of our performance. During the twelve months ended December 31, 2021 and 2020, we recognized revenue of $2.2 million and $4.5 million, respectively, that were included in the deferred revenue balances at December 31, 2020 and 2019, respectively.</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Costs </w:t>
      </w:r>
    </w:p>
    <w:p>
      <w:pPr>
        <w:pStyle w:val="TextBody"/>
        <w:spacing w:lineRule="auto" w:line="288" w:before="60" w:after="120"/>
        <w:ind w:left="0" w:right="0" w:firstLine="720"/>
        <w:jc w:val="both"/>
        <w:rPr/>
      </w:pPr>
      <w:r>
        <w:rPr>
          <w:rFonts w:ascii="Times New Roman;sans-serif" w:hAnsi="Times New Roman;sans-serif"/>
          <w:b w:val="false"/>
          <w:color w:val="000000"/>
          <w:sz w:val="20"/>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the deferred costs is allocated based on the employee's department and included within</w:t>
      </w:r>
      <w:r>
        <w:rPr>
          <w:color w:val="000000"/>
        </w:rPr>
        <w:t xml:space="preserve"> </w:t>
      </w:r>
      <w:r>
        <w:rPr>
          <w:rFonts w:ascii="Times New Roman;sans-serif" w:hAnsi="Times New Roman;sans-serif"/>
          <w:b w:val="false"/>
          <w:color w:val="000000"/>
          <w:sz w:val="20"/>
        </w:rPr>
        <w:t xml:space="preserve">sales and marketing expense in the accompanying Consolidated Statements of Operations.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Deferred costs were $12.4 million and $10.3 million at December 31, 2021 and 2020, respectively, of which $6.4 million and $5.5 million, respectively, are 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 xml:space="preserve">and $6.0 million and $4.8 million, respectively, are included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in the accompanying Consolidated Balance Sheets. Amortization expense for deferred costs was $6.8 million, $5.8 million, and $4.2 million for the years ended December 31, 2021, 2020, and 2019, respectively. For the years ended December 31, 2021 and 2020, no impairments were identified in relation to the costs capitalized for the periods presented.</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 related services to support our electronic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consists of personnel-related costs (including salaries, sales commissions, performance-based compensation, benefits, and stock-based compensation) for our employees focused on sales and marketing,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Added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 Advertising expenses were $9.4 million, $7.0 million and $5.8 million for each of the years ended December 31, 2021, 2020 and 2019, respectively, and are expensed as incurred.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Product Development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expense consists of personnel-related costs (including salaries, performance-based compensation, benefits, and stock-based compensation) for our employees focused on research and product development, fees for third-party development resources, and allocated shared and other costs. Our research and product development efforts are focused on enhancing functionality and the ease of use of our existing software solutions by adding new core functionality, Value Added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of personnel-related costs (including salaries, a majority of total performance-based compensation, benefits, and stock-based compensation) for employees in our executive, finance, information technology, human resources, legal, compliance, corporate development and administrative organizations.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restricted stock awards ("RSAs") and restricted stock units ("RSUs") with only service conditions on a straight-line basis over the requisite service period. For RSUs with both service and performance conditions (performance-based RSUs or performance share units ("PSUs")), compensation cost is recorded on a graded-vesting method, if it is probable that the performance condition will be achieved. Adjustments to compensation expense are made each period based on changes in our estimate of the number of PSUs that are probable of vesting. PSUs will vest upon achievement of the relevant performance metric once such calculation is reviewed and approved by our Board of Directors. We estimate a forfeiture rate to calculate our stock-based compensation expense for our stock-based awards.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per Common Share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includes no dilution and is computed by dividing net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tbl>
      <w:tblPr>
        <w:tblW w:w="10205" w:type="dxa"/>
        <w:jc w:val="left"/>
        <w:tblInd w:w="0" w:type="dxa"/>
        <w:tblCellMar>
          <w:top w:w="28" w:type="dxa"/>
          <w:left w:w="28" w:type="dxa"/>
          <w:bottom w:w="28" w:type="dxa"/>
          <w:right w:w="28" w:type="dxa"/>
        </w:tblCellMar>
      </w:tblPr>
      <w:tblGrid>
        <w:gridCol w:w="2472"/>
        <w:gridCol w:w="2151"/>
        <w:gridCol w:w="2156"/>
        <w:gridCol w:w="360"/>
        <w:gridCol w:w="361"/>
        <w:gridCol w:w="156"/>
        <w:gridCol w:w="122"/>
        <w:gridCol w:w="122"/>
        <w:gridCol w:w="122"/>
        <w:gridCol w:w="360"/>
        <w:gridCol w:w="361"/>
        <w:gridCol w:w="156"/>
        <w:gridCol w:w="122"/>
        <w:gridCol w:w="122"/>
        <w:gridCol w:w="122"/>
        <w:gridCol w:w="360"/>
        <w:gridCol w:w="361"/>
        <w:gridCol w:w="219"/>
      </w:tblGrid>
      <w:tr>
        <w:trPr/>
        <w:tc>
          <w:tcPr>
            <w:tcW w:w="2472"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6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Weighted average options, restricted stock units and restricted shares used to compute diluted net income per common share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2020 and 2019, an aggregate of 181,000, 79,000 and 187,000 shares, respectively, underlying performance-based stock options and PSUs were not included in the computations of diluted and anti-dilutive shares as they are considered contingently issuable upon satisfaction of pre-defined performance measures and their respective performance measures have not been met. RSUs with an anti-dilutive effect were excluded from the calculation of weighted average number of shares used to compute diluted net income per common share and they were not material for the years ended December 31, 2021, 2020 and 2019.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Adopted in 2021</w:t>
      </w:r>
    </w:p>
    <w:p>
      <w:pPr>
        <w:pStyle w:val="TextBody"/>
        <w:spacing w:lineRule="auto" w:line="276" w:before="60" w:after="283"/>
        <w:ind w:left="0" w:right="0" w:firstLine="720"/>
        <w:jc w:val="both"/>
        <w:rPr/>
      </w:pPr>
      <w:r>
        <w:rPr>
          <w:rFonts w:ascii="Times New Roman;sans-serif" w:hAnsi="Times New Roman;sans-serif"/>
          <w:b w:val="false"/>
          <w:color w:val="000000"/>
          <w:sz w:val="20"/>
        </w:rPr>
        <w:t>In December 2019, the FASB issued ASU No. 2019-12, </w:t>
      </w:r>
      <w:r>
        <w:rPr>
          <w:rFonts w:ascii="Times New Roman;sans-serif" w:hAnsi="Times New Roman;sans-serif"/>
          <w:b w:val="false"/>
          <w:i/>
          <w:color w:val="000000"/>
          <w:sz w:val="20"/>
        </w:rPr>
        <w:t>Income Taxes (Topic 740): Simplifying the Accounting for Income Taxes </w:t>
      </w:r>
      <w:r>
        <w:rPr>
          <w:rFonts w:ascii="Times New Roman;sans-serif" w:hAnsi="Times New Roman;sans-serif"/>
          <w:b w:val="false"/>
          <w:color w:val="000000"/>
          <w:sz w:val="20"/>
        </w:rPr>
        <w:t>("ASU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We adopted ASU 2019-12 on January 1, 2021. The adoption of this guidance did not have a material impact on our financial condition, results of operations, cash flows or disclosures.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lineRule="auto" w:line="276" w:before="60" w:after="283"/>
        <w:ind w:left="0" w:right="0" w:firstLine="720"/>
        <w:jc w:val="both"/>
        <w:rPr/>
      </w:pPr>
      <w:r>
        <w:rPr>
          <w:rFonts w:ascii="Times New Roman;sans-serif" w:hAnsi="Times New Roman;sans-serif"/>
          <w:b w:val="false"/>
          <w:color w:val="000000"/>
          <w:sz w:val="20"/>
        </w:rPr>
        <w:t>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contract assets and contract liabilities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if the acquirer had originated the contracts. ASU 2021-08 is effective for fiscal years and interim reporting periods within those fiscal years beginning after December 15, 2022. We will adopt ASU 2021-08 on January 1, 2023 on a prospective basis to business combinations that occur on or after the adoption date. The Company is currently evaluating the effect, if any, the adoption of this guidance will have on our financial condition, results of operations, cash flows and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3. Divestitures</w:t>
      </w:r>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Divestiture of MyCase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2020, we completed our divestiture of 100% of our issued and outstanding equity interests of MyCase, Inc. ("MyCase"), a former wholly owned subsidiary that provided legal practice and case management software solutions to our legal customers, for $193.0 million, consisting of $192.2 million of cash proceeds, plus a $2.2 million employee retention bonus pool funded by us, less cash divested of $0.8 million and a preliminary working capital adjustment of $0.6 million (the "MyCase Transaction"). The retention bonus pool was refundable to the Company to the extent that MyCase employees were terminated prior to the retention period, which was one year from the closing date of the MyCase Transaction.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We recognized a pre-tax gain on the sale of $188.0 million on the MyCase Transaction, consisting of cash proceeds of $192.2 million, less net assets divested of $4.6 million, plus an adjustment in the employee retention bonus pool of $0.4 million. Net assets divested is primarily comprised of capitalized software of $3.9 million, deferred revenue of $2.8 million and goodwill allocated to MyCase of $2.3 million. The gain on the sale was recorded within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Income received during the twelve months ended December 31, 2021 and 2020 in relation to the transition services provided by us to MyCase was $2.4 million and $1.1 million, respectively, and is included within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our Consolidated Statements of Operations.</w:t>
      </w:r>
    </w:p>
    <w:p>
      <w:pPr>
        <w:pStyle w:val="TextBody"/>
        <w:spacing w:before="6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4. Investments and Fair Value Measurements</w:t>
      </w:r>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spacing w:lineRule="auto" w:line="288" w:before="6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at December 31, 2021 and 2020 (in thousands):</w:t>
      </w:r>
    </w:p>
    <w:tbl>
      <w:tblPr>
        <w:tblW w:w="10205" w:type="dxa"/>
        <w:jc w:val="center"/>
        <w:tblInd w:w="0" w:type="dxa"/>
        <w:tblCellMar>
          <w:top w:w="28" w:type="dxa"/>
          <w:left w:w="28" w:type="dxa"/>
          <w:bottom w:w="28" w:type="dxa"/>
          <w:right w:w="28" w:type="dxa"/>
        </w:tblCellMar>
      </w:tblPr>
      <w:tblGrid>
        <w:gridCol w:w="1177"/>
        <w:gridCol w:w="1033"/>
        <w:gridCol w:w="1014"/>
        <w:gridCol w:w="224"/>
        <w:gridCol w:w="880"/>
        <w:gridCol w:w="115"/>
        <w:gridCol w:w="109"/>
        <w:gridCol w:w="109"/>
        <w:gridCol w:w="109"/>
        <w:gridCol w:w="461"/>
        <w:gridCol w:w="888"/>
        <w:gridCol w:w="240"/>
        <w:gridCol w:w="109"/>
        <w:gridCol w:w="109"/>
        <w:gridCol w:w="109"/>
        <w:gridCol w:w="420"/>
        <w:gridCol w:w="974"/>
        <w:gridCol w:w="218"/>
        <w:gridCol w:w="109"/>
        <w:gridCol w:w="109"/>
        <w:gridCol w:w="109"/>
        <w:gridCol w:w="278"/>
        <w:gridCol w:w="1091"/>
        <w:gridCol w:w="211"/>
      </w:tblGrid>
      <w:tr>
        <w:trPr/>
        <w:tc>
          <w:tcPr>
            <w:tcW w:w="117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0" w:type="dxa"/>
            <w:gridSpan w:val="3"/>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85"/>
        <w:gridCol w:w="1041"/>
        <w:gridCol w:w="1022"/>
        <w:gridCol w:w="242"/>
        <w:gridCol w:w="829"/>
        <w:gridCol w:w="125"/>
        <w:gridCol w:w="109"/>
        <w:gridCol w:w="109"/>
        <w:gridCol w:w="109"/>
        <w:gridCol w:w="494"/>
        <w:gridCol w:w="847"/>
        <w:gridCol w:w="258"/>
        <w:gridCol w:w="109"/>
        <w:gridCol w:w="109"/>
        <w:gridCol w:w="109"/>
        <w:gridCol w:w="579"/>
        <w:gridCol w:w="743"/>
        <w:gridCol w:w="300"/>
        <w:gridCol w:w="109"/>
        <w:gridCol w:w="109"/>
        <w:gridCol w:w="109"/>
        <w:gridCol w:w="301"/>
        <w:gridCol w:w="1031"/>
        <w:gridCol w:w="227"/>
      </w:tblGrid>
      <w:tr>
        <w:trPr/>
        <w:tc>
          <w:tcPr>
            <w:tcW w:w="118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48"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35,026 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the contractual maturities of our investments did not exceed 36 months. The fair values of available-for-sale investments, by remaining contractual maturity, are as follows (in thousands):</w:t>
      </w:r>
    </w:p>
    <w:tbl>
      <w:tblPr>
        <w:tblW w:w="10205" w:type="dxa"/>
        <w:jc w:val="left"/>
        <w:tblInd w:w="0" w:type="dxa"/>
        <w:tblCellMar>
          <w:top w:w="28" w:type="dxa"/>
          <w:left w:w="28" w:type="dxa"/>
          <w:bottom w:w="28" w:type="dxa"/>
          <w:right w:w="28" w:type="dxa"/>
        </w:tblCellMar>
      </w:tblPr>
      <w:tblGrid>
        <w:gridCol w:w="1336"/>
        <w:gridCol w:w="1096"/>
        <w:gridCol w:w="1103"/>
        <w:gridCol w:w="227"/>
        <w:gridCol w:w="890"/>
        <w:gridCol w:w="117"/>
        <w:gridCol w:w="109"/>
        <w:gridCol w:w="109"/>
        <w:gridCol w:w="109"/>
        <w:gridCol w:w="293"/>
        <w:gridCol w:w="1151"/>
        <w:gridCol w:w="152"/>
        <w:gridCol w:w="109"/>
        <w:gridCol w:w="109"/>
        <w:gridCol w:w="109"/>
        <w:gridCol w:w="247"/>
        <w:gridCol w:w="847"/>
        <w:gridCol w:w="127"/>
        <w:gridCol w:w="109"/>
        <w:gridCol w:w="109"/>
        <w:gridCol w:w="109"/>
        <w:gridCol w:w="316"/>
        <w:gridCol w:w="1083"/>
        <w:gridCol w:w="239"/>
      </w:tblGrid>
      <w:tr>
        <w:trPr/>
        <w:tc>
          <w:tcPr>
            <w:tcW w:w="133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three years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35,026 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and 2020, we had sales and maturities (which include calls) of investment securities, as follows (in thousands):</w:t>
      </w:r>
    </w:p>
    <w:tbl>
      <w:tblPr>
        <w:tblW w:w="10205" w:type="dxa"/>
        <w:jc w:val="left"/>
        <w:tblInd w:w="0" w:type="dxa"/>
        <w:tblCellMar>
          <w:top w:w="28" w:type="dxa"/>
          <w:left w:w="28" w:type="dxa"/>
          <w:bottom w:w="28" w:type="dxa"/>
          <w:right w:w="28" w:type="dxa"/>
        </w:tblCellMar>
      </w:tblPr>
      <w:tblGrid>
        <w:gridCol w:w="577"/>
        <w:gridCol w:w="507"/>
        <w:gridCol w:w="510"/>
        <w:gridCol w:w="464"/>
        <w:gridCol w:w="894"/>
        <w:gridCol w:w="239"/>
        <w:gridCol w:w="109"/>
        <w:gridCol w:w="109"/>
        <w:gridCol w:w="109"/>
        <w:gridCol w:w="472"/>
        <w:gridCol w:w="910"/>
        <w:gridCol w:w="244"/>
        <w:gridCol w:w="109"/>
        <w:gridCol w:w="109"/>
        <w:gridCol w:w="109"/>
        <w:gridCol w:w="407"/>
        <w:gridCol w:w="1394"/>
        <w:gridCol w:w="210"/>
        <w:gridCol w:w="109"/>
        <w:gridCol w:w="109"/>
        <w:gridCol w:w="109"/>
        <w:gridCol w:w="422"/>
        <w:gridCol w:w="1657"/>
        <w:gridCol w:w="317"/>
      </w:tblGrid>
      <w:tr>
        <w:trPr/>
        <w:tc>
          <w:tcPr>
            <w:tcW w:w="57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4"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6" w:type="dxa"/>
            <w:gridSpan w:val="3"/>
            <w:tcBorders/>
            <w:shd w:fill="auto" w:val="clear"/>
            <w:vAlign w:val="center"/>
          </w:tcPr>
          <w:p>
            <w:pPr>
              <w:pStyle w:val="TableContents"/>
              <w:spacing w:before="0" w:after="283"/>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107,354 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580"/>
        <w:gridCol w:w="509"/>
        <w:gridCol w:w="512"/>
        <w:gridCol w:w="496"/>
        <w:gridCol w:w="851"/>
        <w:gridCol w:w="258"/>
        <w:gridCol w:w="109"/>
        <w:gridCol w:w="109"/>
        <w:gridCol w:w="109"/>
        <w:gridCol w:w="475"/>
        <w:gridCol w:w="915"/>
        <w:gridCol w:w="245"/>
        <w:gridCol w:w="109"/>
        <w:gridCol w:w="109"/>
        <w:gridCol w:w="109"/>
        <w:gridCol w:w="400"/>
        <w:gridCol w:w="1372"/>
        <w:gridCol w:w="207"/>
        <w:gridCol w:w="109"/>
        <w:gridCol w:w="109"/>
        <w:gridCol w:w="109"/>
        <w:gridCol w:w="465"/>
        <w:gridCol w:w="1591"/>
        <w:gridCol w:w="348"/>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1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1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1"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19,830 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1"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27,330 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SecureDocs</w:t>
      </w:r>
    </w:p>
    <w:p>
      <w:pPr>
        <w:pStyle w:val="TextBody"/>
        <w:spacing w:lineRule="auto" w:line="288" w:before="200" w:after="120"/>
        <w:ind w:left="0" w:right="0" w:firstLine="720"/>
        <w:jc w:val="both"/>
        <w:rPr/>
      </w:pPr>
      <w:r>
        <w:rPr>
          <w:rFonts w:ascii="Times New Roman;sans-serif" w:hAnsi="Times New Roman;sans-serif"/>
          <w:b w:val="false"/>
          <w:color w:val="000000"/>
          <w:sz w:val="20"/>
        </w:rPr>
        <w:t xml:space="preserve">In December 2021, we sold all of our interest in SecureDocs. A gain of $12.8 million was recognized within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our Consolidated Statements of Operations, a portion of which relates to the recovery of a $2.0 million note receivable which had been previously reserved. </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our financial assets and liabilities measured at fair value on a recurring basis at December 31, 2021 and 2020, by level within the fair value hierarchy (in thousands):</w:t>
      </w:r>
    </w:p>
    <w:tbl>
      <w:tblPr>
        <w:tblW w:w="8370" w:type="dxa"/>
        <w:jc w:val="center"/>
        <w:tblInd w:w="0" w:type="dxa"/>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475" w:type="dxa"/>
        <w:jc w:val="center"/>
        <w:tblInd w:w="0" w:type="dxa"/>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equivalents, restricted cash, accounts receivable, accounts payable and accrued liabilities approximate fair value because of the short maturity of these items.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valuation techniques used to measure asset and liability fair values on a recurring basis during the year ended December 31, 2021. The valuation techniques for the financial assets in the tables above are as follows:</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cash equivalents include cash invested in money market funds and treasury securities with a maturity of three months or less. Fair value is based on market prices for identical assets.</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 Securities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pStyle w:val="TextBody"/>
        <w:spacing w:before="6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5349" w:type="dxa"/>
        <w:jc w:val="left"/>
        <w:tblInd w:w="0" w:type="dxa"/>
        <w:tblCellMar>
          <w:top w:w="28" w:type="dxa"/>
          <w:left w:w="28" w:type="dxa"/>
          <w:bottom w:w="28" w:type="dxa"/>
          <w:right w:w="28" w:type="dxa"/>
        </w:tblCellMar>
      </w:tblPr>
      <w:tblGrid>
        <w:gridCol w:w="1049"/>
        <w:gridCol w:w="919"/>
        <w:gridCol w:w="927"/>
        <w:gridCol w:w="211"/>
        <w:gridCol w:w="721"/>
        <w:gridCol w:w="109"/>
        <w:gridCol w:w="109"/>
        <w:gridCol w:w="109"/>
        <w:gridCol w:w="109"/>
        <w:gridCol w:w="211"/>
        <w:gridCol w:w="721"/>
        <w:gridCol w:w="154"/>
      </w:tblGrid>
      <w:tr>
        <w:trPr/>
        <w:tc>
          <w:tcPr>
            <w:tcW w:w="104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property and equipment totaled $4.7 million, $4.0 million, and $3.1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6. Capitalized Software Development Costs, net</w:t>
      </w:r>
    </w:p>
    <w:p>
      <w:pPr>
        <w:pStyle w:val="TextBody"/>
        <w:spacing w:lineRule="auto" w:line="288" w:before="20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 were as follows (in thousands):</w:t>
      </w:r>
    </w:p>
    <w:tbl>
      <w:tblPr>
        <w:tblW w:w="6741" w:type="dxa"/>
        <w:jc w:val="left"/>
        <w:tblInd w:w="0" w:type="dxa"/>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721"/>
        <w:gridCol w:w="154"/>
      </w:tblGrid>
      <w:tr>
        <w:trPr/>
        <w:tc>
          <w:tcPr>
            <w:tcW w:w="1398"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$27.2 million, $27.3 million and $23.6 million for the years ended December 31, 2021, 2020 and 2019, respectively. Amortization expense with respect to software development costs totaled $21.5 million, $17.9 million and $14.0 million for the years ended December 31, 2021, 2020 and 2019, respectively. During the year ended December 31, 2021, we disposed of $8.8 million of fully amortized capitalized software development costs. </w:t>
      </w:r>
    </w:p>
    <w:p>
      <w:pPr>
        <w:pStyle w:val="TextBody"/>
        <w:spacing w:lineRule="auto" w:line="288" w:before="6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amortization expense with respect to capitalized software development costs at December 31, 2021 is estimated as follows (in thousands): </w:t>
      </w:r>
    </w:p>
    <w:tbl>
      <w:tblPr>
        <w:tblW w:w="3782" w:type="dxa"/>
        <w:jc w:val="left"/>
        <w:tblInd w:w="0" w:type="dxa"/>
        <w:tblCellMar>
          <w:top w:w="28" w:type="dxa"/>
          <w:left w:w="28" w:type="dxa"/>
          <w:bottom w:w="28" w:type="dxa"/>
          <w:right w:w="28" w:type="dxa"/>
        </w:tblCellMar>
      </w:tblPr>
      <w:tblGrid>
        <w:gridCol w:w="858"/>
        <w:gridCol w:w="753"/>
        <w:gridCol w:w="758"/>
        <w:gridCol w:w="109"/>
        <w:gridCol w:w="109"/>
        <w:gridCol w:w="109"/>
        <w:gridCol w:w="211"/>
        <w:gridCol w:w="721"/>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7. Intangible Assets, net</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(in thousands, except years):</w:t>
      </w:r>
    </w:p>
    <w:tbl>
      <w:tblPr>
        <w:tblW w:w="8426" w:type="dxa"/>
        <w:jc w:val="center"/>
        <w:tblInd w:w="0" w:type="dxa"/>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19"/>
        <w:gridCol w:w="748"/>
        <w:gridCol w:w="114"/>
        <w:gridCol w:w="109"/>
        <w:gridCol w:w="109"/>
        <w:gridCol w:w="109"/>
        <w:gridCol w:w="369"/>
        <w:gridCol w:w="369"/>
        <w:gridCol w:w="523"/>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Useful</w:t>
              <w:br/>
              <w:t>Life in Years</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tbl>
      <w:tblPr>
        <w:tblW w:w="8426" w:type="dxa"/>
        <w:jc w:val="left"/>
        <w:tblInd w:w="0" w:type="dxa"/>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19"/>
        <w:gridCol w:w="748"/>
        <w:gridCol w:w="114"/>
        <w:gridCol w:w="109"/>
        <w:gridCol w:w="109"/>
        <w:gridCol w:w="109"/>
        <w:gridCol w:w="369"/>
        <w:gridCol w:w="369"/>
        <w:gridCol w:w="523"/>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Useful</w:t>
              <w:br/>
              <w:t>Life in Years</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with respect to intangible assets totaled $4.6 million, $4.9 million and $5.3 million for the years ended December 31, 2021, 2020 and 2019, respectively. Future amortization expense with respect to intangible assets is estimated as follows (in thousands): </w:t>
      </w:r>
    </w:p>
    <w:tbl>
      <w:tblPr>
        <w:tblW w:w="3782" w:type="dxa"/>
        <w:jc w:val="center"/>
        <w:tblInd w:w="0" w:type="dxa"/>
        <w:tblCellMar>
          <w:top w:w="28" w:type="dxa"/>
          <w:left w:w="28" w:type="dxa"/>
          <w:bottom w:w="28" w:type="dxa"/>
          <w:right w:w="28" w:type="dxa"/>
        </w:tblCellMar>
      </w:tblPr>
      <w:tblGrid>
        <w:gridCol w:w="858"/>
        <w:gridCol w:w="753"/>
        <w:gridCol w:w="758"/>
        <w:gridCol w:w="109"/>
        <w:gridCol w:w="109"/>
        <w:gridCol w:w="109"/>
        <w:gridCol w:w="211"/>
        <w:gridCol w:w="721"/>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40" w:after="12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Accrued Employee Expenses</w:t>
      </w:r>
    </w:p>
    <w:p>
      <w:pPr>
        <w:pStyle w:val="TextBody"/>
        <w:spacing w:lineRule="auto" w:line="288" w:before="20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6636" w:type="dxa"/>
        <w:jc w:val="left"/>
        <w:tblInd w:w="0" w:type="dxa"/>
        <w:tblCellMar>
          <w:top w:w="28" w:type="dxa"/>
          <w:left w:w="28" w:type="dxa"/>
          <w:bottom w:w="28" w:type="dxa"/>
          <w:right w:w="28" w:type="dxa"/>
        </w:tblCellMar>
      </w:tblPr>
      <w:tblGrid>
        <w:gridCol w:w="1395"/>
        <w:gridCol w:w="1228"/>
        <w:gridCol w:w="1232"/>
        <w:gridCol w:w="109"/>
        <w:gridCol w:w="109"/>
        <w:gridCol w:w="109"/>
        <w:gridCol w:w="211"/>
        <w:gridCol w:w="721"/>
        <w:gridCol w:w="109"/>
        <w:gridCol w:w="109"/>
        <w:gridCol w:w="109"/>
        <w:gridCol w:w="109"/>
        <w:gridCol w:w="211"/>
        <w:gridCol w:w="721"/>
        <w:gridCol w:w="154"/>
      </w:tblGrid>
      <w:tr>
        <w:trPr/>
        <w:tc>
          <w:tcPr>
            <w:tcW w:w="1395"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taxes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the Company is responsible, including common area maintenance, which are expensed as incurred. </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Consolidated Statements of Operations were as follows (in thousands):</w:t>
      </w:r>
    </w:p>
    <w:tbl>
      <w:tblPr>
        <w:tblW w:w="5262" w:type="dxa"/>
        <w:jc w:val="left"/>
        <w:tblInd w:w="0" w:type="dxa"/>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Lease-related assets and liabilities were as follows (in thousands, except years and %): </w:t>
      </w:r>
    </w:p>
    <w:tbl>
      <w:tblPr>
        <w:tblW w:w="6693" w:type="dxa"/>
        <w:jc w:val="center"/>
        <w:tblInd w:w="0" w:type="dxa"/>
        <w:tblCellMar>
          <w:top w:w="28" w:type="dxa"/>
          <w:left w:w="28" w:type="dxa"/>
          <w:bottom w:w="28" w:type="dxa"/>
          <w:right w:w="28" w:type="dxa"/>
        </w:tblCellMar>
      </w:tblPr>
      <w:tblGrid>
        <w:gridCol w:w="1413"/>
        <w:gridCol w:w="1244"/>
        <w:gridCol w:w="1258"/>
        <w:gridCol w:w="211"/>
        <w:gridCol w:w="721"/>
        <w:gridCol w:w="271"/>
        <w:gridCol w:w="109"/>
        <w:gridCol w:w="109"/>
        <w:gridCol w:w="109"/>
        <w:gridCol w:w="211"/>
        <w:gridCol w:w="721"/>
        <w:gridCol w:w="316"/>
      </w:tblGrid>
      <w:tr>
        <w:trPr/>
        <w:tc>
          <w:tcPr>
            <w:tcW w:w="1413"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Future minimum lease payments under non-cancellable leases as of December 31, 2021 were as follows (in thousands): </w:t>
      </w:r>
    </w:p>
    <w:tbl>
      <w:tblPr>
        <w:tblW w:w="4266" w:type="dxa"/>
        <w:jc w:val="center"/>
        <w:tblInd w:w="0" w:type="dxa"/>
        <w:tblCellMar>
          <w:top w:w="28" w:type="dxa"/>
          <w:left w:w="28" w:type="dxa"/>
          <w:bottom w:w="28" w:type="dxa"/>
          <w:right w:w="28" w:type="dxa"/>
        </w:tblCellMar>
      </w:tblPr>
      <w:tblGrid>
        <w:gridCol w:w="1151"/>
        <w:gridCol w:w="1011"/>
        <w:gridCol w:w="1018"/>
        <w:gridCol w:w="211"/>
        <w:gridCol w:w="721"/>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2022</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2023</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2024</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Future minimum lease payments for the years ending December 31, 2022, 2023 and 2024 are presented net of tenant improvement allowances of $6.0 million, $0.8 million, and $0.2 million, respectively.</w:t>
      </w:r>
    </w:p>
    <w:p>
      <w:pPr>
        <w:pStyle w:val="TextBody"/>
        <w:spacing w:lineRule="auto" w:line="28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Total future minimum lease payments include the current portion of lease liabilities recorded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 xml:space="preserve">of $4.9 million on our Consolidated Balance Sheets, which relates to certain of our leases for which the lease incentives to be received exceed the minimum lease payments to be paid over the next twelve months.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Liability to Landlord Insurance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December 31, 2021 and 2020 was $1.7 million and $1.5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Consolidated Balance Sheets.</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December 31, 2021 and 2020 are $3.0 million and $2.7 million, respectively, of deposits held with a third party related to requirements to maintain collateral for this risk mitigation service.</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would have a material adverse effect on our business, operating results, cash flows or financial condition should such proceedings be resolved unfavorably.</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11. Stockholders’ Equity </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Amended and Restated Certificate of Incorporation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effectiveness of our Amended and Restated Certificate of Incorporation on June 25, 2015, the number of shares of capital stock that is authorized to be issued was increased to 325,000,000 shares, of which 250,000,000 shares are Class A common stock, 50,000,000 shares are Class B common stock and 25,000,000 are undesignated preferred stock. The Class A common stock, Class B common stock and preferred stock have a par value of $0.0001 per share.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Class A Common Stock and Class B Common Stock </w:t>
      </w:r>
    </w:p>
    <w:p>
      <w:pPr>
        <w:pStyle w:val="TextBody"/>
        <w:spacing w:lineRule="auto" w:line="288" w:before="60" w:after="120"/>
        <w:ind w:left="0" w:right="0" w:firstLine="720"/>
        <w:jc w:val="both"/>
        <w:rPr/>
      </w:pPr>
      <w:r>
        <w:rPr>
          <w:rFonts w:ascii="Times New Roman;sans-serif" w:hAnsi="Times New Roman;sans-serif"/>
          <w:b w:val="false"/>
          <w:color w:val="000000"/>
          <w:sz w:val="20"/>
        </w:rPr>
        <w:t>Except for voting rights, or as otherwise required by applicable law, the shares of our Class A common stock and Class B common stock have the same powers, preferences and rights and rank equally, share ratably and are identical in all respects as to all matters. The rights and preferences are as follows:</w:t>
      </w:r>
      <w:r>
        <w:rPr>
          <w:color w:val="000000"/>
        </w:rPr>
        <w:t xml:space="preserve"> </w:t>
      </w:r>
    </w:p>
    <w:p>
      <w:pPr>
        <w:pStyle w:val="TextBody"/>
        <w:spacing w:lineRule="auto" w:line="288" w:before="60" w:after="120"/>
        <w:ind w:left="0" w:right="0" w:firstLine="720"/>
        <w:jc w:val="both"/>
        <w:rPr/>
      </w:pPr>
      <w:r>
        <w:rPr>
          <w:rFonts w:ascii="Times New Roman;sans-serif" w:hAnsi="Times New Roman;sans-serif"/>
          <w:b w:val="false"/>
          <w:i/>
          <w:color w:val="000000"/>
          <w:sz w:val="20"/>
        </w:rPr>
        <w:t>Dividend Rights</w:t>
      </w:r>
      <w:r>
        <w:rPr>
          <w:rFonts w:ascii="Times New Roman;sans-serif" w:hAnsi="Times New Roman;sans-serif"/>
          <w:b w:val="false"/>
          <w:color w:val="000000"/>
          <w:sz w:val="20"/>
        </w:rPr>
        <w:t xml:space="preserve">. Subject to preferences that may apply to any shares of preferred stock outstanding at the time, the holders of outstanding shares of our Class A common stock and Class B common stock are entitled to receive dividends out of funds legally available at the times and in the amounts that our Board of Directors may determine. </w:t>
      </w:r>
    </w:p>
    <w:p>
      <w:pPr>
        <w:pStyle w:val="TextBody"/>
        <w:spacing w:lineRule="auto" w:line="288" w:before="60" w:after="120"/>
        <w:ind w:left="0" w:right="0" w:firstLine="720"/>
        <w:jc w:val="both"/>
        <w:rPr/>
      </w:pPr>
      <w:r>
        <w:rPr>
          <w:rFonts w:ascii="Times New Roman;sans-serif" w:hAnsi="Times New Roman;sans-serif"/>
          <w:b w:val="false"/>
          <w:i/>
          <w:color w:val="000000"/>
          <w:sz w:val="20"/>
        </w:rPr>
        <w:t>Voting Rights</w:t>
      </w:r>
      <w:r>
        <w:rPr>
          <w:rFonts w:ascii="Times New Roman;sans-serif" w:hAnsi="Times New Roman;sans-serif"/>
          <w:b w:val="false"/>
          <w:color w:val="000000"/>
          <w:sz w:val="20"/>
        </w:rPr>
        <w:t xml:space="preserve">. The holders of our Class A common stock are entitled to one vote per share, and holders of our Class B common stock are entitled to 10 votes per share. The holders of our Class A common stock and Class B common stock will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addition, our amended and restated certificate of incorporation requires the approval of the holders of at least a majority of the outstanding shares of our Class B common stock, voting as a separate class to approve a change-in-control transaction. </w:t>
      </w:r>
    </w:p>
    <w:p>
      <w:pPr>
        <w:pStyle w:val="TextBody"/>
        <w:spacing w:lineRule="auto" w:line="288" w:before="60" w:after="120"/>
        <w:ind w:left="0" w:right="0" w:firstLine="720"/>
        <w:jc w:val="both"/>
        <w:rPr/>
      </w:pPr>
      <w:r>
        <w:rPr>
          <w:rFonts w:ascii="Times New Roman;sans-serif" w:hAnsi="Times New Roman;sans-serif"/>
          <w:b w:val="false"/>
          <w:i/>
          <w:color w:val="000000"/>
          <w:sz w:val="20"/>
        </w:rPr>
        <w:t>Conversion</w:t>
      </w:r>
      <w:r>
        <w:rPr>
          <w:rFonts w:ascii="Times New Roman;sans-serif" w:hAnsi="Times New Roman;sans-serif"/>
          <w:b w:val="false"/>
          <w:color w:val="000000"/>
          <w:sz w:val="20"/>
        </w:rPr>
        <w:t xml:space="preserve">. Upon the closing of our initial public offering ("IPO"), all shares of our convertible preferred stock and common stock held prior to the offering were converted into shares of Class B common stock. Currently, each share of our Class B common stock is convertible at any time at the option of the holder into one share of our Class A common stock. In addition, each share of our Class B common stock will convert into one share of our Class A common stock upon any transfer, whether or not for value, except for certain transfers described in our amended and restated certificate of incorporation, including, without limitation, (i) a transfer by a partnership or limited liability company that was a registered holder of our Class B common stock at the “effective time,” as defined in our amended and restated certificate of incorporation, to a partner or member thereof at the effective time or (ii) a transfer to a “qualified recipient,” as defined in our amended and restated certificate of incorporation.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the outstanding shares of our Class B common stock will convert automatically into shares of our Class A common stock upon the date when the number of outstanding shares of our Class B common stock represents less than 10% of all outstanding shares of our Class A common stock and Class B common stock. Once converted into our Class A common stock, our Class B common stock may not be reissued. </w:t>
      </w:r>
    </w:p>
    <w:p>
      <w:pPr>
        <w:pStyle w:val="TextBody"/>
        <w:spacing w:lineRule="auto" w:line="288" w:before="60" w:after="120"/>
        <w:ind w:left="0" w:right="0" w:firstLine="720"/>
        <w:jc w:val="both"/>
        <w:rPr/>
      </w:pPr>
      <w:r>
        <w:rPr>
          <w:rFonts w:ascii="Times New Roman;sans-serif" w:hAnsi="Times New Roman;sans-serif"/>
          <w:b w:val="false"/>
          <w:i/>
          <w:color w:val="000000"/>
          <w:sz w:val="20"/>
        </w:rPr>
        <w:t>Right to Receive Liquidation Distributions</w:t>
      </w:r>
      <w:r>
        <w:rPr>
          <w:rFonts w:ascii="Times New Roman;sans-serif" w:hAnsi="Times New Roman;sans-serif"/>
          <w:b w:val="false"/>
          <w:color w:val="000000"/>
          <w:sz w:val="20"/>
        </w:rPr>
        <w:t xml:space="preserve">. 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Preferred Stock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authorized, subject to limitations prescribed by Delaware law, to issue up to 25,000,000 shares of our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The number of authorized shares of any series of preferred stock may be increased or decreased, but not below the number of shares of that series then outstanding, by the affirmative vote of the holders of a majority of the voting power of our outstanding capital stock entitled to vote thereon, or such other vote as may be required by the certificate of designation establishing the series.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120" w:after="12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in privately negotiated transactions at a repurchase price that the members of the committee unanimously believe is below intrinsic value conservatively determined. The Share Repurchase Program does not obligate us to repurchase any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120" w:after="120"/>
        <w:jc w:val="both"/>
        <w:rPr/>
      </w:pPr>
      <w:r>
        <w:rPr>
          <w:rFonts w:ascii="Times New Roman;sans-serif" w:hAnsi="Times New Roman;sans-serif"/>
          <w:b w:val="false"/>
          <w:color w:val="000000"/>
          <w:sz w:val="20"/>
          <w:highlight w:val="white"/>
        </w:rPr>
        <w:t>specific dollar amount or number of shares, there is no expiration date for the Share Repurchase Program, which</w:t>
      </w:r>
      <w:r>
        <w:rPr>
          <w:color w:val="000000"/>
        </w:rPr>
        <w:t xml:space="preserve"> </w:t>
      </w:r>
      <w:r>
        <w:rPr>
          <w:rFonts w:ascii="Times New Roman;sans-serif" w:hAnsi="Times New Roman;sans-serif"/>
          <w:b w:val="false"/>
          <w:color w:val="000000"/>
          <w:sz w:val="20"/>
        </w:rPr>
        <w:t xml:space="preserve">may be modified, suspended or terminated at any time and for any reason.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During the year ended December 31, 2020, we repurchased a total of 48,002 shares of our Class A common stock through open market repurchases, and recorded a $4.2 million reduction to stockholders' equity, which includes broker commissions. We have not made any other repurchases under the </w:t>
      </w:r>
      <w:r>
        <w:rPr>
          <w:rFonts w:ascii="Times New Roman;sans-serif" w:hAnsi="Times New Roman;sans-serif"/>
          <w:b w:val="false"/>
          <w:color w:val="000000"/>
          <w:sz w:val="20"/>
          <w:highlight w:val="white"/>
        </w:rPr>
        <w:t xml:space="preserve">Share Repurchase </w:t>
      </w:r>
      <w:r>
        <w:rPr>
          <w:rFonts w:ascii="Times New Roman;sans-serif" w:hAnsi="Times New Roman;sans-serif"/>
          <w:b w:val="false"/>
          <w:color w:val="000000"/>
          <w:sz w:val="20"/>
        </w:rPr>
        <w:t xml:space="preserve">Program.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spacing w:lineRule="auto" w:line="288" w:before="20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2015 Stock Incentive Plan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our IPO in 2015, our Board of Directors and stockholders adopted the 2015 Stock Incentive Plan (the "2015 Plan"). Upon adoption of the 2015 Plan, 2,000,000 shares of our Class A common stock were reserved and available for grant and issuance. On January 1 of each subsequent calendar year, the number of shares available for grant and issuance under the 2015 Plan increase by the lesser of (i) the number of shares of our Class A common stock subject to awards granted under the 2015 Plan during the preceding calendar year and (ii) such lesser number of shares of our Class A common stock determined by our Board of Directors. At December 31, 2021, we have reserved an aggregate of 4,026,493 shares of our Class A common stock for grant and issuance under the 2015 Plan. The number of shares of our Class A common stock is also subject to adjustment in the event of a recapitalization, stock split, reclassification, stock dividend or other change in our capitalization. The 2015 Plan authorizes the award of stock options, stock appreciation rights, RSAs, RSUs, performance awards and stock bonuses. The 2015 Plan provides for the grant of awards to our employees, directors, consultants and independent contractors, subject to certain exceptions. RSUs, PSUs, and RSAs have been issued during 2021 pursuant to the 2015 Plan.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may vest based on the passage of time or the achievement of performance conditions at the discretion of our compensation committee. Our compensation committee may provide for stock options to be exercised only as they vest or to be immediately exercisable with any shares issued on exercise being subject to our right of repurchase that lapses as the shares vest. The maximum term of stock options granted under the 2015 Plan is 10 years.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and PSUs represent the right on the part of the holder to receive shares of our Class A common stock at a specified date in the future or the achievement of performance conditions at the discretion of our compensation committee, subject to forfeiture of that right due to termination of employment. If an RSU or PSU has not been forfeited, then, on the specified date, we will deliver to the holder of the RSU or PSU shares of our Class A common stock. </w:t>
      </w:r>
    </w:p>
    <w:p>
      <w:pPr>
        <w:pStyle w:val="TextBody"/>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2007 Stock Incentive Plan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2007, our Board of Directors adopted the 2007 Stock Incentive Plan (the “2007 Plan”). Following our IPO, our Board of Directors determined not to make any further awards under the 2007 Plan. The 2007 Plan expired on February 14, 2017. The 2007 Plan will continue to govern outstanding awards granted under the 2007 Plan.</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year ended December 31, 2021 is as follows (number of shares in thousands):</w:t>
      </w:r>
    </w:p>
    <w:tbl>
      <w:tblPr>
        <w:tblW w:w="10205" w:type="dxa"/>
        <w:jc w:val="left"/>
        <w:tblInd w:w="0" w:type="dxa"/>
        <w:tblCellMar>
          <w:top w:w="28" w:type="dxa"/>
          <w:left w:w="28" w:type="dxa"/>
          <w:bottom w:w="28" w:type="dxa"/>
          <w:right w:w="28" w:type="dxa"/>
        </w:tblCellMar>
      </w:tblPr>
      <w:tblGrid>
        <w:gridCol w:w="973"/>
        <w:gridCol w:w="855"/>
        <w:gridCol w:w="857"/>
        <w:gridCol w:w="109"/>
        <w:gridCol w:w="109"/>
        <w:gridCol w:w="109"/>
        <w:gridCol w:w="404"/>
        <w:gridCol w:w="392"/>
        <w:gridCol w:w="394"/>
        <w:gridCol w:w="109"/>
        <w:gridCol w:w="109"/>
        <w:gridCol w:w="109"/>
        <w:gridCol w:w="534"/>
        <w:gridCol w:w="1562"/>
        <w:gridCol w:w="277"/>
        <w:gridCol w:w="109"/>
        <w:gridCol w:w="109"/>
        <w:gridCol w:w="109"/>
        <w:gridCol w:w="870"/>
        <w:gridCol w:w="870"/>
        <w:gridCol w:w="1236"/>
      </w:tblGrid>
      <w:tr>
        <w:trPr/>
        <w:tc>
          <w:tcPr>
            <w:tcW w:w="97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in Years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3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3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for stock options were not material for all periods presented.</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stock options were granted during the years ended December 31, 2021, 2020 or 2019.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in 2021, 2020 and 2019 was $39.1 million, $17.9 million, and $11.5 million, respectively. This intrinsic value represents the difference between the fair value of our common stock on the date of exercise and the exercise price of each option. Based on the fair value of our common stock at December 31, 2021, the total intrinsic value of all outstanding options, exercisable options, and options vested and expected to vest was $91.3 million. </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6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RSUs for the year ended December 31, 2021 is as follows (number of shares in thousands):</w:t>
      </w:r>
    </w:p>
    <w:tbl>
      <w:tblPr>
        <w:tblW w:w="8948" w:type="dxa"/>
        <w:jc w:val="left"/>
        <w:tblInd w:w="0" w:type="dxa"/>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62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Unvested RSUs as of December 31, 2021 were comprised of 0.6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December 31, 2021, 0.1 million are subject to vesting based on the achievement of pre-established performance metrics for the year ending December 31, 2022 and will vest over a three year period, assuming continued employment throughout the performance period. The actual number of shares to be issued at the end of the performance period will range from 0% to 150% of the target number of shares depending on achievement relative to the performance metric over the applicable period. The remaining 0.1 million PSUs unvested as of December 31, 2021 are subject to vesting based on the achievement of pre-established performance metrics for the years ending December 31, 2021, 2022 and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stock-based compensation expense for the RSUs and PSUs of $17.3 million, $10.4 million and $8.3 million for the years ended December 31, 2021, 2020 and 2019, respectively. Excluded from stock-based compensation expense is capitalized software development costs of $2.7 million, $2.1 million, and $1.8 million for the years ended December 31, 2021, 2020 and 2019, respectively. As of December 31, 2021, the total estimated remaining stock-based compensation expense for the aforementioned RSUs and PSUs was $76.5 million, which is expected to be recognized over a weighted average period of 2.7 years. The total fair value of RSUs and PSUs vested during the years ended December 31, 2021, 2020 and 2019 was approximately $26.6 million, $32.0 million and $16.3 million, respectively. </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spacing w:lineRule="auto" w:line="288" w:before="6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RSAs for the year ended December 31, 2021 is as follows (number of shares in thousands):</w:t>
      </w:r>
    </w:p>
    <w:tbl>
      <w:tblPr>
        <w:tblW w:w="9007" w:type="dxa"/>
        <w:jc w:val="left"/>
        <w:tblInd w:w="0" w:type="dxa"/>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79"/>
        <w:gridCol w:w="2669"/>
        <w:gridCol w:w="571"/>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151.10 </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repurchase any unvested RSAs subject to certain conditions. Restricted stock awards vest over a one-year period. We recognized stock-based compensation expense for restricted stock awards of $0.7 million and for each of the years ended December 31, 2021, and 2020 and $0.3 million for the ended December 31, 2019. During 2021, the grant date fair value of the shares vested was $0.7 million.</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total estimated remaining stock-based compensation expense for unvested restricted stock awards with a repurchase right was $0.3 million, which is expected to be recognized over a weighted average period of 0.5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as compared to the U.S. federal statutory rate of 21% differs primarily due to the significance of the benefits associated with stock-based compensation expense, research and development tax credits, and the change in the valuation allowance against deferred taxes.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a reconciliation of the components that caused our provision for (benefit from) income taxes to differ from amounts computed by applying the United States federal statutory rate :</w:t>
      </w:r>
    </w:p>
    <w:tbl>
      <w:tblPr>
        <w:tblW w:w="7197" w:type="dxa"/>
        <w:jc w:val="center"/>
        <w:tblInd w:w="0" w:type="dxa"/>
        <w:tblCellMar>
          <w:top w:w="28" w:type="dxa"/>
          <w:left w:w="28" w:type="dxa"/>
          <w:bottom w:w="28" w:type="dxa"/>
          <w:right w:w="28" w:type="dxa"/>
        </w:tblCellMar>
      </w:tblPr>
      <w:tblGrid>
        <w:gridCol w:w="1518"/>
        <w:gridCol w:w="1338"/>
        <w:gridCol w:w="1343"/>
        <w:gridCol w:w="268"/>
        <w:gridCol w:w="272"/>
        <w:gridCol w:w="271"/>
        <w:gridCol w:w="109"/>
        <w:gridCol w:w="109"/>
        <w:gridCol w:w="109"/>
        <w:gridCol w:w="202"/>
        <w:gridCol w:w="204"/>
        <w:gridCol w:w="271"/>
        <w:gridCol w:w="109"/>
        <w:gridCol w:w="109"/>
        <w:gridCol w:w="109"/>
        <w:gridCol w:w="268"/>
        <w:gridCol w:w="272"/>
        <w:gridCol w:w="316"/>
      </w:tblGrid>
      <w:tr>
        <w:trPr/>
        <w:tc>
          <w:tcPr>
            <w:tcW w:w="1518"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98"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Meals and entertainment</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 consists of the following (in thousands):</w:t>
      </w:r>
    </w:p>
    <w:tbl>
      <w:tblPr>
        <w:tblW w:w="6819" w:type="dxa"/>
        <w:jc w:val="center"/>
        <w:tblInd w:w="0" w:type="dxa"/>
        <w:tblCellMar>
          <w:top w:w="28" w:type="dxa"/>
          <w:left w:w="28" w:type="dxa"/>
          <w:bottom w:w="28" w:type="dxa"/>
          <w:right w:w="28" w:type="dxa"/>
        </w:tblCellMar>
      </w:tblPr>
      <w:tblGrid>
        <w:gridCol w:w="1105"/>
        <w:gridCol w:w="971"/>
        <w:gridCol w:w="983"/>
        <w:gridCol w:w="247"/>
        <w:gridCol w:w="548"/>
        <w:gridCol w:w="109"/>
        <w:gridCol w:w="109"/>
        <w:gridCol w:w="109"/>
        <w:gridCol w:w="109"/>
        <w:gridCol w:w="211"/>
        <w:gridCol w:w="721"/>
        <w:gridCol w:w="109"/>
        <w:gridCol w:w="109"/>
        <w:gridCol w:w="109"/>
        <w:gridCol w:w="109"/>
        <w:gridCol w:w="211"/>
        <w:gridCol w:w="796"/>
        <w:gridCol w:w="154"/>
      </w:tblGrid>
      <w:tr>
        <w:trPr/>
        <w:tc>
          <w:tcPr>
            <w:tcW w:w="110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deferred tax assets (liabilities) were as follows (in thousands): </w:t>
      </w:r>
    </w:p>
    <w:tbl>
      <w:tblPr>
        <w:tblW w:w="6293" w:type="dxa"/>
        <w:jc w:val="left"/>
        <w:tblInd w:w="0" w:type="dxa"/>
        <w:tblCellMar>
          <w:top w:w="28" w:type="dxa"/>
          <w:left w:w="28" w:type="dxa"/>
          <w:bottom w:w="28" w:type="dxa"/>
          <w:right w:w="28" w:type="dxa"/>
        </w:tblCellMar>
      </w:tblPr>
      <w:tblGrid>
        <w:gridCol w:w="1404"/>
        <w:gridCol w:w="1230"/>
        <w:gridCol w:w="1235"/>
        <w:gridCol w:w="211"/>
        <w:gridCol w:w="721"/>
        <w:gridCol w:w="109"/>
        <w:gridCol w:w="109"/>
        <w:gridCol w:w="109"/>
        <w:gridCol w:w="109"/>
        <w:gridCol w:w="211"/>
        <w:gridCol w:w="691"/>
        <w:gridCol w:w="154"/>
      </w:tblGrid>
      <w:tr>
        <w:trPr/>
        <w:tc>
          <w:tcPr>
            <w:tcW w:w="1404"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December 31,</w:t>
            </w:r>
            <w:r>
              <w:rPr>
                <w:color w:val="000000"/>
              </w:rPr>
              <w:t xml:space="preserve"> </w:t>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federal and state net operating loss carryforwards of $23.8 million and $69.6 million, respectively. The federal net operating loss carryovers do not expire and the state net operating losses will begin to expire in 2028. At December 31, 2021, we also had federal and state research and development credit carryforwards of $8.5 million and $15.2 million, respectively. The federal credit carryforwards will begin to expire in 2040, while the state credit carryforwards apply indefinitely.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Code of 1986, as amended (“IRC”), imposes substantial restrictions on the utilization of tax attributes in the event of an “ownership change” of a corporation. Accordingly, a company’s ability to use pre-change tax attributes may be limited as prescribed under IRC Section 382. Events which may cause limitations in the amount of the tax attributes that we utilize in any one year include, but are not limited to, a cumulative ownership change of more than 50% over a rolling three-year period. We have undertaken an IRC Section 382 analysis and have determined that there are no limitations on the tax attributes at December 31, 2021.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have approximately $1.7 million of net deferred tax liabilities. During the fourth quarter of 2021, to assess the need for a valuation allowance against deferred tax assets, we evaluated all available positive and negative evidence. Due to the amount of negative evidence, particularly the expected increase in forecasted expenses, at this time, we consider it more likely than not that we may not have sufficient taxable income in the future that will allow us to realize all of our deferred tax assets. As a result,we determined a valuation allowance was necessary against all of the net deferred income tax assets, which primarily consist of state R&amp;D tax credit carryforwards, effective December 31, 2021.</w:t>
      </w:r>
    </w:p>
    <w:p>
      <w:pPr>
        <w:pStyle w:val="TextBody"/>
        <w:spacing w:before="0" w:after="0"/>
        <w:ind w:left="0" w:right="0" w:firstLine="72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valuation allowance are as follows (in thousands): </w:t>
      </w:r>
    </w:p>
    <w:tbl>
      <w:tblPr>
        <w:tblW w:w="7047" w:type="dxa"/>
        <w:jc w:val="left"/>
        <w:tblInd w:w="0" w:type="dxa"/>
        <w:tblCellMar>
          <w:top w:w="28" w:type="dxa"/>
          <w:left w:w="28" w:type="dxa"/>
          <w:bottom w:w="28" w:type="dxa"/>
          <w:right w:w="28" w:type="dxa"/>
        </w:tblCellMar>
      </w:tblPr>
      <w:tblGrid>
        <w:gridCol w:w="1283"/>
        <w:gridCol w:w="1125"/>
        <w:gridCol w:w="1132"/>
        <w:gridCol w:w="211"/>
        <w:gridCol w:w="721"/>
        <w:gridCol w:w="109"/>
        <w:gridCol w:w="109"/>
        <w:gridCol w:w="109"/>
        <w:gridCol w:w="109"/>
        <w:gridCol w:w="211"/>
        <w:gridCol w:w="406"/>
        <w:gridCol w:w="109"/>
        <w:gridCol w:w="109"/>
        <w:gridCol w:w="109"/>
        <w:gridCol w:w="109"/>
        <w:gridCol w:w="211"/>
        <w:gridCol w:w="721"/>
        <w:gridCol w:w="154"/>
      </w:tblGrid>
      <w:tr>
        <w:trPr/>
        <w:tc>
          <w:tcPr>
            <w:tcW w:w="128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the total amounts of reserves for unrecognized tax benefits from uncertain tax positions (in thousands): </w:t>
      </w:r>
    </w:p>
    <w:tbl>
      <w:tblPr>
        <w:tblW w:w="7167" w:type="dxa"/>
        <w:jc w:val="left"/>
        <w:tblInd w:w="0" w:type="dxa"/>
        <w:tblCellMar>
          <w:top w:w="28" w:type="dxa"/>
          <w:left w:w="28" w:type="dxa"/>
          <w:bottom w:w="28" w:type="dxa"/>
          <w:right w:w="28" w:type="dxa"/>
        </w:tblCellMar>
      </w:tblPr>
      <w:tblGrid>
        <w:gridCol w:w="1326"/>
        <w:gridCol w:w="1164"/>
        <w:gridCol w:w="1170"/>
        <w:gridCol w:w="211"/>
        <w:gridCol w:w="616"/>
        <w:gridCol w:w="109"/>
        <w:gridCol w:w="109"/>
        <w:gridCol w:w="109"/>
        <w:gridCol w:w="109"/>
        <w:gridCol w:w="211"/>
        <w:gridCol w:w="616"/>
        <w:gridCol w:w="109"/>
        <w:gridCol w:w="109"/>
        <w:gridCol w:w="109"/>
        <w:gridCol w:w="109"/>
        <w:gridCol w:w="211"/>
        <w:gridCol w:w="616"/>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Increases-tax positions in current year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are recorded as a reduction to the deferred tax assets and liabilities.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and 2020, we had no accrued interest and penalties related to uncertain income tax positions. We do not anticipate that the amount of unrecognized tax benefits will significantly increase or decrease within the next twelve months.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taxation in the United States and various states. Due to the net operating loss carryforwards, our federal and state returns are open to examination by the Internal Revenue Service and state jurisdictions for all years since inception. We are under audit only by the State of New York.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14. Revenue and Other Information</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categories (in thousands):</w:t>
      </w:r>
    </w:p>
    <w:tbl>
      <w:tblPr>
        <w:tblW w:w="6369" w:type="dxa"/>
        <w:jc w:val="left"/>
        <w:tblInd w:w="0" w:type="dxa"/>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United States customers. All of our property and equipment is located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15. Retirement Plans </w:t>
      </w:r>
    </w:p>
    <w:p>
      <w:pPr>
        <w:pStyle w:val="TextBody"/>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401(k) retirement and savings plan made available to all employees. We may, at our discretion, make matching contributions to the 401(k) plan. Cash contributions to the plan were $4.0 million, $3.2 million, and $2.5 million for the years ended December 31, 2021, 2020 and 2019,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40"/>
        <w:ind w:left="0" w:right="0" w:hanging="144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200" w:after="240"/>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at December 31, 2021, the last day of the period covered by this Annual Report. Disclosure controls and procedures include, without limitation, controls and other procedures designed to provide reasonable assurance that information required to be disclosed by a company in the reports that it files or submits under the Exchange Act is recorded, processed, summarized and reported within the time periods specified by the SEC’s rules and forms and that such information is accumulated and communicated to its management, including its principal executive officer and principal financial officer, as appropriate, to allow timely decisions regarding required disclosure. Based on our management's evaluation, our principal executive officer and principal financial officer have concluded that, at December 31, 2021, our disclosure controls and procedures were effective at the reasonable assurance level.</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As of December 31, 2021, our management assessed the effectiveness of our internal control over financial reporting using the criteria set forth in the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2021.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2021.</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Rules 13(a)-15(d) and 15d-15(d) under the Exchange Act that occurred during the quarter ended December 31, 2021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 THAT PREVENT INSPECTIONS</w:t>
      </w:r>
    </w:p>
    <w:p>
      <w:pPr>
        <w:pStyle w:val="TextBody"/>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2021, and is incorporated herein by reference.</w:t>
      </w:r>
    </w:p>
    <w:p>
      <w:pPr>
        <w:pStyle w:val="TextBody"/>
        <w:spacing w:before="100" w:after="1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100" w:after="100"/>
        <w:jc w:val="both"/>
        <w:rPr/>
      </w:pPr>
      <w:r>
        <w:rPr>
          <w:rFonts w:ascii="Times New Roman;sans-serif" w:hAnsi="Times New Roman;sans-serif"/>
          <w:b/>
          <w:color w:val="000000"/>
          <w:sz w:val="20"/>
        </w:rPr>
        <w:t>ITEM 11.     EXECUTIVE COMPENSATION</w:t>
      </w:r>
      <w:r>
        <w:rPr>
          <w:color w:val="000000"/>
        </w:rPr>
        <w:t>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2021,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2021,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2021,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2021,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STATEMENTS SCHEDULES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w:t>
      </w:r>
    </w:p>
    <w:p>
      <w:pPr>
        <w:pStyle w:val="TextBody"/>
        <w:spacing w:before="0" w:after="0"/>
        <w:rPr/>
      </w:pPr>
      <w:r>
        <w:rPr/>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w:t>
      </w:r>
    </w:p>
    <w:p>
      <w:pPr>
        <w:pStyle w:val="TextBody"/>
        <w:spacing w:before="0" w:after="0"/>
        <w:jc w:val="both"/>
        <w:rPr/>
      </w:pPr>
      <w:r>
        <w:rPr/>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required or are not applicable, or the required information is shown in our Consolidated Financial Statements or the notes thereto.</w:t>
      </w:r>
    </w:p>
    <w:p>
      <w:pPr>
        <w:pStyle w:val="TextBody"/>
        <w:spacing w:before="0" w:after="0"/>
        <w:rPr/>
      </w:pPr>
      <w:r>
        <w:rPr/>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documents listed in the Exhibit Index of this Annual Report are filed or furnished with, or incorporated by reference into, this Annual Report, in each case as indicated therein.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376"/>
        <w:gridCol w:w="329"/>
        <w:gridCol w:w="331"/>
        <w:gridCol w:w="109"/>
        <w:gridCol w:w="109"/>
        <w:gridCol w:w="109"/>
        <w:gridCol w:w="1146"/>
        <w:gridCol w:w="1056"/>
        <w:gridCol w:w="1060"/>
        <w:gridCol w:w="109"/>
        <w:gridCol w:w="109"/>
        <w:gridCol w:w="109"/>
        <w:gridCol w:w="195"/>
        <w:gridCol w:w="195"/>
        <w:gridCol w:w="196"/>
        <w:gridCol w:w="110"/>
        <w:gridCol w:w="110"/>
        <w:gridCol w:w="110"/>
        <w:gridCol w:w="280"/>
        <w:gridCol w:w="265"/>
        <w:gridCol w:w="210"/>
        <w:gridCol w:w="110"/>
        <w:gridCol w:w="110"/>
        <w:gridCol w:w="110"/>
        <w:gridCol w:w="245"/>
        <w:gridCol w:w="245"/>
        <w:gridCol w:w="246"/>
        <w:gridCol w:w="110"/>
        <w:gridCol w:w="110"/>
        <w:gridCol w:w="110"/>
        <w:gridCol w:w="253"/>
        <w:gridCol w:w="253"/>
        <w:gridCol w:w="254"/>
        <w:gridCol w:w="109"/>
        <w:gridCol w:w="109"/>
        <w:gridCol w:w="109"/>
        <w:gridCol w:w="319"/>
        <w:gridCol w:w="319"/>
        <w:gridCol w:w="461"/>
      </w:tblGrid>
      <w:tr>
        <w:trPr/>
        <w:tc>
          <w:tcPr>
            <w:tcW w:w="37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the registrant as currently in effect.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36"/>
        <w:gridCol w:w="294"/>
        <w:gridCol w:w="296"/>
        <w:gridCol w:w="109"/>
        <w:gridCol w:w="109"/>
        <w:gridCol w:w="109"/>
        <w:gridCol w:w="1341"/>
        <w:gridCol w:w="1068"/>
        <w:gridCol w:w="1071"/>
        <w:gridCol w:w="109"/>
        <w:gridCol w:w="109"/>
        <w:gridCol w:w="109"/>
        <w:gridCol w:w="195"/>
        <w:gridCol w:w="195"/>
        <w:gridCol w:w="196"/>
        <w:gridCol w:w="109"/>
        <w:gridCol w:w="109"/>
        <w:gridCol w:w="109"/>
        <w:gridCol w:w="340"/>
        <w:gridCol w:w="275"/>
        <w:gridCol w:w="184"/>
        <w:gridCol w:w="109"/>
        <w:gridCol w:w="109"/>
        <w:gridCol w:w="109"/>
        <w:gridCol w:w="245"/>
        <w:gridCol w:w="245"/>
        <w:gridCol w:w="246"/>
        <w:gridCol w:w="109"/>
        <w:gridCol w:w="109"/>
        <w:gridCol w:w="109"/>
        <w:gridCol w:w="230"/>
        <w:gridCol w:w="230"/>
        <w:gridCol w:w="231"/>
        <w:gridCol w:w="109"/>
        <w:gridCol w:w="109"/>
        <w:gridCol w:w="109"/>
        <w:gridCol w:w="296"/>
        <w:gridCol w:w="296"/>
        <w:gridCol w:w="433"/>
      </w:tblGrid>
      <w:tr>
        <w:trPr/>
        <w:tc>
          <w:tcPr>
            <w:tcW w:w="33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the registrant as currently in effect.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Specimen Certificate for Class A Common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Amended and Restated Investor Rights Agreement, by and among the registrant and the investors named therein, dated November 26, 2013.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Description of Capital Stock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Pr>
                <w:t xml:space="preserve">Industrial Lease, by and between the registrant and </w:t>
              </w:r>
            </w:hyperlink>
            <w:hyperlink r:id="rId10">
              <w:r>
                <w:rPr>
                  <w:rStyle w:val="InternetLink"/>
                </w:rPr>
                <w:t>50 Castilian Drive, LLC, effective December 6, 2019 (50 Castilian Drive, Goleta, CA 93117)</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Pr>
                <w:t>Industrial</w:t>
              </w:r>
            </w:hyperlink>
            <w:hyperlink r:id="rId12">
              <w:r>
                <w:rPr>
                  <w:rStyle w:val="InternetLink"/>
                </w:rPr>
                <w:t xml:space="preserve"> Lease, by and between the registrant and </w:t>
              </w:r>
            </w:hyperlink>
            <w:hyperlink r:id="rId13">
              <w:r>
                <w:rPr>
                  <w:rStyle w:val="InternetLink"/>
                </w:rPr>
                <w:t>50 Castilian Drive, LLC, effective December 6, 2019 (70 Castilian Drive, Goleta, CA 93117)</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Pr>
                <w:t xml:space="preserve">Industrial Lease, by and between the registrant and </w:t>
              </w:r>
            </w:hyperlink>
            <w:hyperlink r:id="rId15">
              <w:r>
                <w:rPr>
                  <w:rStyle w:val="InternetLink"/>
                </w:rPr>
                <w:t>50 Castilian Drive, LLC, effective December 6, 2019 (90 Castilian Drive, Goleta, CA 93117)</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4-50castilianfi.htm">
              <w:r>
                <w:rPr>
                  <w:rStyle w:val="InternetLink"/>
                </w:rPr>
                <w:t xml:space="preserve">First Amendment to </w:t>
              </w:r>
            </w:hyperlink>
            <w:hyperlink w:anchor="a123121ex104-50castilianfi.htm">
              <w:r>
                <w:rPr>
                  <w:rStyle w:val="InternetLink"/>
                </w:rPr>
                <w:t>Industrial</w:t>
              </w:r>
            </w:hyperlink>
            <w:hyperlink w:anchor="a123121ex104-50castilianfi.htm">
              <w:r>
                <w:rPr>
                  <w:rStyle w:val="InternetLink"/>
                </w:rPr>
                <w:t xml:space="preserve"> Lease, by and between the registrant and </w:t>
              </w:r>
            </w:hyperlink>
            <w:hyperlink w:anchor="a123121ex104-50castilianfi.htm">
              <w:r>
                <w:rPr>
                  <w:rStyle w:val="InternetLink"/>
                </w:rPr>
                <w:t>50 Castilian Drive, LLC, effective February 10, 2022 (50 Castilian Drive, Goleta, CA 93117).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5-70castilianfi.htm">
              <w:r>
                <w:rPr>
                  <w:rStyle w:val="InternetLink"/>
                </w:rPr>
                <w:t>First</w:t>
              </w:r>
            </w:hyperlink>
            <w:hyperlink w:anchor="a123121ex105-70castilianfi.htm">
              <w:r>
                <w:rPr>
                  <w:rStyle w:val="InternetLink"/>
                </w:rPr>
                <w:t xml:space="preserve"> Amendment to </w:t>
              </w:r>
            </w:hyperlink>
            <w:hyperlink w:anchor="a123121ex105-70castilianfi.htm">
              <w:r>
                <w:rPr>
                  <w:rStyle w:val="InternetLink"/>
                </w:rPr>
                <w:t>Industrial</w:t>
              </w:r>
            </w:hyperlink>
            <w:hyperlink w:anchor="a123121ex105-70castilianfi.htm">
              <w:r>
                <w:rPr>
                  <w:rStyle w:val="InternetLink"/>
                </w:rPr>
                <w:t xml:space="preserve"> Lease, by and between the registrant and </w:t>
              </w:r>
            </w:hyperlink>
            <w:hyperlink w:anchor="a123121ex105-70castilianfi.htm">
              <w:r>
                <w:rPr>
                  <w:rStyle w:val="InternetLink"/>
                </w:rPr>
                <w:t>50 Castilian Drive, LLC, effective</w:t>
              </w:r>
            </w:hyperlink>
            <w:hyperlink w:anchor="a123121ex105-70castilianfi.htm">
              <w:r>
                <w:rPr>
                  <w:rStyle w:val="InternetLink"/>
                </w:rPr>
                <w:t xml:space="preserve"> February </w:t>
              </w:r>
            </w:hyperlink>
            <w:hyperlink w:anchor="a123121ex105-70castilianfi.htm">
              <w:r>
                <w:rPr>
                  <w:rStyle w:val="InternetLink"/>
                </w:rPr>
                <w:t>10, 2022 (70 Castilian Drive, Goleta, CA 93117).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6-90castilianfi.htm">
              <w:r>
                <w:rPr>
                  <w:rStyle w:val="InternetLink"/>
                </w:rPr>
                <w:t>First</w:t>
              </w:r>
            </w:hyperlink>
            <w:hyperlink w:anchor="a123121ex106-90castilianfi.htm">
              <w:r>
                <w:rPr>
                  <w:rStyle w:val="InternetLink"/>
                </w:rPr>
                <w:t xml:space="preserve"> Amendment to </w:t>
              </w:r>
            </w:hyperlink>
            <w:hyperlink w:anchor="a123121ex106-90castilianfi.htm">
              <w:r>
                <w:rPr>
                  <w:rStyle w:val="InternetLink"/>
                </w:rPr>
                <w:t xml:space="preserve">Industrial </w:t>
              </w:r>
            </w:hyperlink>
            <w:hyperlink w:anchor="a123121ex106-90castilianfi.htm">
              <w:r>
                <w:rPr>
                  <w:rStyle w:val="InternetLink"/>
                </w:rPr>
                <w:t xml:space="preserve">Lease, by and between the registrant and </w:t>
              </w:r>
            </w:hyperlink>
            <w:hyperlink w:anchor="a123121ex106-90castilianfi.htm">
              <w:r>
                <w:rPr>
                  <w:rStyle w:val="InternetLink"/>
                </w:rPr>
                <w:t>50 Castilian Drive, LLC, effective February 10, 2022 (90 Castilian Drive, Goleta, CA 93117).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7-umbrellatermi.htm">
              <w:r>
                <w:rPr>
                  <w:rStyle w:val="InternetLink"/>
                </w:rPr>
                <w:t>Umbrella Termination Agreement,</w:t>
              </w:r>
            </w:hyperlink>
            <w:hyperlink w:anchor="a123121ex107-umbrellatermi.htm">
              <w:r>
                <w:rPr>
                  <w:rStyle w:val="InternetLink"/>
                </w:rPr>
                <w:t xml:space="preserve"> by and between the registrant and </w:t>
              </w:r>
            </w:hyperlink>
            <w:hyperlink w:anchor="a123121ex107-umbrellatermi.htm">
              <w:r>
                <w:rPr>
                  <w:rStyle w:val="InternetLink"/>
                </w:rPr>
                <w:t>Castilian 90, LLC, Castilian 70, LLC and Castilian 50, LLC, effective February 10,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Separation Agreement and General Release, dated June 4, 2021, by and between Ida Kane and the registrant</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2007 Stock Incentive Plan, as amended, and related form agreements.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2015 Stock Incentive Plan and related form agreements.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2015 Employee Stock Purchase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Long-Term Cash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Form of Long-Term Cash Incentive Award Offer.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1014.htm">
              <w:r>
                <w:rPr>
                  <w:rStyle w:val="InternetLink"/>
                  <w:rFonts w:ascii="Times New Roman;sans-serif" w:hAnsi="Times New Roman;sans-serif"/>
                  <w:b w:val="false"/>
                  <w:color w:val="0000FF"/>
                  <w:sz w:val="20"/>
                  <w:u w:val="single"/>
                </w:rPr>
                <w:t>Form of Indemnification Agreement by and between the registrant and each of its executive officers and directors.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Employment agreement between the Company and Fay Sien Goon</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62015rsugranta.htm">
              <w:r>
                <w:rPr>
                  <w:rStyle w:val="InternetLink"/>
                  <w:rFonts w:ascii="Times New Roman;sans-serif" w:hAnsi="Times New Roman;sans-serif"/>
                  <w:b w:val="false"/>
                  <w:color w:val="0000FF"/>
                  <w:sz w:val="20"/>
                  <w:u w:val="single"/>
                </w:rPr>
                <w:t>Form of Restricted Stock Unit Award Agreement (New Hire) under 2015 Stock Incentive Plan</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38"/>
        <w:gridCol w:w="297"/>
        <w:gridCol w:w="298"/>
        <w:gridCol w:w="109"/>
        <w:gridCol w:w="109"/>
        <w:gridCol w:w="109"/>
        <w:gridCol w:w="1418"/>
        <w:gridCol w:w="1173"/>
        <w:gridCol w:w="1177"/>
        <w:gridCol w:w="109"/>
        <w:gridCol w:w="109"/>
        <w:gridCol w:w="109"/>
        <w:gridCol w:w="195"/>
        <w:gridCol w:w="195"/>
        <w:gridCol w:w="196"/>
        <w:gridCol w:w="109"/>
        <w:gridCol w:w="109"/>
        <w:gridCol w:w="109"/>
        <w:gridCol w:w="165"/>
        <w:gridCol w:w="165"/>
        <w:gridCol w:w="166"/>
        <w:gridCol w:w="109"/>
        <w:gridCol w:w="109"/>
        <w:gridCol w:w="109"/>
        <w:gridCol w:w="245"/>
        <w:gridCol w:w="245"/>
        <w:gridCol w:w="246"/>
        <w:gridCol w:w="109"/>
        <w:gridCol w:w="109"/>
        <w:gridCol w:w="109"/>
        <w:gridCol w:w="231"/>
        <w:gridCol w:w="231"/>
        <w:gridCol w:w="232"/>
        <w:gridCol w:w="109"/>
        <w:gridCol w:w="109"/>
        <w:gridCol w:w="109"/>
        <w:gridCol w:w="297"/>
        <w:gridCol w:w="297"/>
        <w:gridCol w:w="436"/>
      </w:tblGrid>
      <w:tr>
        <w:trPr/>
        <w:tc>
          <w:tcPr>
            <w:tcW w:w="338"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72015rsugranta.htm">
              <w:r>
                <w:rPr>
                  <w:rStyle w:val="InternetLink"/>
                  <w:rFonts w:ascii="Times New Roman;sans-serif" w:hAnsi="Times New Roman;sans-serif"/>
                  <w:b w:val="false"/>
                  <w:color w:val="0000FF"/>
                  <w:sz w:val="20"/>
                  <w:u w:val="single"/>
                </w:rPr>
                <w:t>Form of Restricted Stock Unit Award Agreement (Refresh) under 2015 Stock Incentive Plan</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82015appfoliop.htm">
              <w:r>
                <w:rPr>
                  <w:rStyle w:val="InternetLink"/>
                  <w:rFonts w:ascii="Times New Roman;sans-serif" w:hAnsi="Times New Roman;sans-serif"/>
                  <w:b w:val="false"/>
                  <w:color w:val="0000FF"/>
                  <w:sz w:val="20"/>
                  <w:u w:val="single"/>
                </w:rPr>
                <w:t>Form of Restricted Stock Unit Award Agreement (PSU) under 2015 Stock Incentive Plan</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9nonemployeedi.htm">
              <w:r>
                <w:rPr>
                  <w:rStyle w:val="InternetLink"/>
                  <w:rFonts w:ascii="Times New Roman;sans-serif" w:hAnsi="Times New Roman;sans-serif"/>
                  <w:b w:val="false"/>
                  <w:color w:val="0000FF"/>
                  <w:sz w:val="20"/>
                  <w:u w:val="single"/>
                </w:rPr>
                <w:t>Nonemployee Director Deferred Compensation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202022deferrale.htm">
              <w:r>
                <w:rPr>
                  <w:rStyle w:val="InternetLink"/>
                  <w:rFonts w:ascii="Times New Roman;sans-serif" w:hAnsi="Times New Roman;sans-serif"/>
                  <w:b w:val="false"/>
                  <w:color w:val="0000FF"/>
                  <w:sz w:val="20"/>
                  <w:u w:val="single"/>
                </w:rPr>
                <w:t>Related form of Deferral Election under Nonemployee Director Deferred Compensation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211.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231.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e64fdac788546218496b126acbfa85e_166">
              <w:r>
                <w:rPr>
                  <w:rStyle w:val="InternetLink"/>
                  <w:rFonts w:ascii="Times New Roman;sans-serif" w:hAnsi="Times New Roman;sans-serif"/>
                  <w:b w:val="false"/>
                  <w:color w:val="0000FF"/>
                  <w:sz w:val="20"/>
                  <w:u w:val="single"/>
                </w:rPr>
                <w:t>Power of Attorney (included on the signature page of this report).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12.htm">
              <w:r>
                <w:rPr>
                  <w:rStyle w:val="InternetLink"/>
                  <w:rFonts w:ascii="Times New Roman;sans-serif" w:hAnsi="Times New Roman;sans-serif"/>
                  <w:b w:val="false"/>
                  <w:color w:val="0000FF"/>
                  <w:sz w:val="20"/>
                  <w:u w:val="single"/>
                </w:rPr>
                <w:t>Certification of Chief Financial Officer pursuant to Rule 13a-14(a) or Rule 15d-14(a) promulgated under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center"/>
        <w:tblInd w:w="0" w:type="dxa"/>
        <w:tblCellMar>
          <w:top w:w="28" w:type="dxa"/>
          <w:left w:w="28" w:type="dxa"/>
          <w:bottom w:w="28" w:type="dxa"/>
          <w:right w:w="28" w:type="dxa"/>
        </w:tblCellMar>
      </w:tblPr>
      <w:tblGrid>
        <w:gridCol w:w="124"/>
        <w:gridCol w:w="109"/>
        <w:gridCol w:w="109"/>
        <w:gridCol w:w="2962"/>
        <w:gridCol w:w="2857"/>
        <w:gridCol w:w="40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2"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40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tc>
      </w:tr>
    </w:tbl>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100" w:after="10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00" w:after="1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Annual Report to be signed on its behalf by the undersigned thereunto duly authorized. </w:t>
      </w:r>
    </w:p>
    <w:tbl>
      <w:tblPr>
        <w:tblW w:w="5729" w:type="dxa"/>
        <w:jc w:val="center"/>
        <w:tblInd w:w="0" w:type="dxa"/>
        <w:tblCellMar>
          <w:top w:w="28" w:type="dxa"/>
          <w:left w:w="28" w:type="dxa"/>
          <w:bottom w:w="28" w:type="dxa"/>
          <w:right w:w="28" w:type="dxa"/>
        </w:tblCellMar>
      </w:tblPr>
      <w:tblGrid>
        <w:gridCol w:w="200"/>
        <w:gridCol w:w="177"/>
        <w:gridCol w:w="178"/>
        <w:gridCol w:w="529"/>
        <w:gridCol w:w="529"/>
        <w:gridCol w:w="531"/>
        <w:gridCol w:w="216"/>
        <w:gridCol w:w="216"/>
        <w:gridCol w:w="216"/>
        <w:gridCol w:w="847"/>
        <w:gridCol w:w="847"/>
        <w:gridCol w:w="871"/>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AppFolio,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Randall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Wilson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Wilson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Accounting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240" w:after="240"/>
        <w:jc w:val="center"/>
        <w:rPr/>
      </w:pPr>
      <w:r>
        <w:rPr/>
      </w:r>
    </w:p>
    <w:tbl>
      <w:tblPr>
        <w:tblW w:w="8362" w:type="dxa"/>
        <w:jc w:val="center"/>
        <w:tblInd w:w="0" w:type="dxa"/>
        <w:tblCellMar>
          <w:top w:w="28" w:type="dxa"/>
          <w:left w:w="28" w:type="dxa"/>
          <w:bottom w:w="28" w:type="dxa"/>
          <w:right w:w="28" w:type="dxa"/>
        </w:tblCellMar>
      </w:tblPr>
      <w:tblGrid>
        <w:gridCol w:w="782"/>
        <w:gridCol w:w="688"/>
        <w:gridCol w:w="689"/>
        <w:gridCol w:w="109"/>
        <w:gridCol w:w="109"/>
        <w:gridCol w:w="109"/>
        <w:gridCol w:w="1299"/>
        <w:gridCol w:w="1299"/>
        <w:gridCol w:w="1316"/>
        <w:gridCol w:w="109"/>
        <w:gridCol w:w="109"/>
        <w:gridCol w:w="109"/>
        <w:gridCol w:w="477"/>
        <w:gridCol w:w="477"/>
        <w:gridCol w:w="681"/>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SIGNATURE</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Randall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 Wilson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Accounting</w:t>
              <w:b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 Wilson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Andreas von Blottnitz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Andreas von Blottnitz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Bliss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Bliss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Agnes Bundy Scanlan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Agnes Bundy Scanlan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Janet Kerr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Kerr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Klaus Schauser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Klaus Schauser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Winifred Webb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Alexander Wolf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Alexander Wolf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4" w:after="198"/>
        <w:ind w:left="0" w:right="0" w:firstLine="540"/>
        <w:jc w:val="both"/>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10.4</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8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FIRST AMENDMENT TO INDUSTRIAL LEASE</w:t>
      </w:r>
    </w:p>
    <w:p>
      <w:pPr>
        <w:pStyle w:val="TextBody"/>
        <w:spacing w:before="0" w:after="0"/>
        <w:rPr/>
      </w:pPr>
      <w:r>
        <w:rPr/>
      </w:r>
    </w:p>
    <w:p>
      <w:pPr>
        <w:pStyle w:val="TextBody"/>
        <w:spacing w:before="0" w:after="0"/>
        <w:rPr/>
      </w:pPr>
      <w:r>
        <w:rPr/>
      </w:r>
    </w:p>
    <w:p>
      <w:pPr>
        <w:pStyle w:val="TextBody"/>
        <w:spacing w:lineRule="auto" w:line="240" w:before="92" w:after="283"/>
        <w:ind w:left="0" w:right="0" w:firstLine="874"/>
        <w:rPr/>
      </w:pPr>
      <w:r>
        <w:rPr>
          <w:rFonts w:ascii="Times New Roman;sans-serif" w:hAnsi="Times New Roman;sans-serif"/>
          <w:b w:val="false"/>
          <w:color w:val="000000"/>
          <w:sz w:val="22"/>
        </w:rPr>
        <w:t>This First Amendment to Industrial Lease (this "</w:t>
      </w:r>
      <w:r>
        <w:rPr>
          <w:rFonts w:ascii="Times New Roman;sans-serif" w:hAnsi="Times New Roman;sans-serif"/>
          <w:b/>
          <w:color w:val="000000"/>
          <w:sz w:val="22"/>
        </w:rPr>
        <w:t>Amendment</w:t>
      </w:r>
      <w:r>
        <w:rPr>
          <w:rFonts w:ascii="Times New Roman;sans-serif" w:hAnsi="Times New Roman;sans-serif"/>
          <w:b w:val="false"/>
          <w:color w:val="000000"/>
          <w:sz w:val="22"/>
        </w:rPr>
        <w:t>")is made and entered into as of February 10, 2022 (the “</w:t>
      </w:r>
      <w:r>
        <w:rPr>
          <w:rFonts w:ascii="Times New Roman;sans-serif" w:hAnsi="Times New Roman;sans-serif"/>
          <w:b/>
          <w:color w:val="000000"/>
          <w:sz w:val="22"/>
        </w:rPr>
        <w:t>Amendment Effective Date</w:t>
      </w:r>
      <w:r>
        <w:rPr>
          <w:color w:val="000000"/>
        </w:rPr>
        <w:t>”</w:t>
      </w:r>
      <w:r>
        <w:rPr>
          <w:rFonts w:ascii="Times New Roman;sans-serif" w:hAnsi="Times New Roman;sans-serif"/>
          <w:b w:val="false"/>
          <w:color w:val="000000"/>
          <w:sz w:val="22"/>
        </w:rPr>
        <w:t>) ,by and between CASTILIAN 50, LLC, a Delaware limited liability company ("</w:t>
      </w:r>
      <w:r>
        <w:rPr>
          <w:rFonts w:ascii="Times New Roman;sans-serif" w:hAnsi="Times New Roman;sans-serif"/>
          <w:b/>
          <w:color w:val="000000"/>
          <w:sz w:val="22"/>
        </w:rPr>
        <w:t>Landlord</w:t>
      </w:r>
      <w:r>
        <w:rPr>
          <w:rFonts w:ascii="Times New Roman;sans-serif" w:hAnsi="Times New Roman;sans-serif"/>
          <w:b w:val="false"/>
          <w:color w:val="000000"/>
          <w:sz w:val="22"/>
        </w:rPr>
        <w:t>") , and APPFOLIO, INC., a Delaware corporation ("</w:t>
      </w:r>
      <w:r>
        <w:rPr>
          <w:rFonts w:ascii="Times New Roman;sans-serif" w:hAnsi="Times New Roman;sans-serif"/>
          <w:b/>
          <w:color w:val="000000"/>
          <w:sz w:val="22"/>
        </w:rPr>
        <w:t>Tenant</w:t>
      </w:r>
      <w:r>
        <w:rPr>
          <w:rFonts w:ascii="Times New Roman;sans-serif" w:hAnsi="Times New Roman;sans-serif"/>
          <w:b w:val="false"/>
          <w:color w:val="000000"/>
          <w:sz w:val="22"/>
        </w:rPr>
        <w:t>") .</w:t>
      </w:r>
    </w:p>
    <w:p>
      <w:pPr>
        <w:pStyle w:val="TextBody"/>
        <w:spacing w:before="8" w:after="283"/>
        <w:rPr/>
      </w:pPr>
      <w:r>
        <w:rPr/>
      </w:r>
    </w:p>
    <w:p>
      <w:pPr>
        <w:pStyle w:val="TextBody"/>
        <w:spacing w:lineRule="auto" w:line="2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2" w:after="283"/>
        <w:rPr/>
      </w:pPr>
      <w:r>
        <w:rPr/>
      </w:r>
    </w:p>
    <w:p>
      <w:pPr>
        <w:pStyle w:val="TextBody"/>
        <w:spacing w:lineRule="auto" w:line="240" w:before="0" w:after="0"/>
        <w:ind w:left="0" w:right="0" w:firstLine="1440"/>
        <w:rPr/>
      </w:pPr>
      <w:r>
        <w:rPr>
          <w:rFonts w:ascii="Times New Roman;sans-serif" w:hAnsi="Times New Roman;sans-serif"/>
          <w:b w:val="false"/>
          <w:color w:val="000000"/>
          <w:sz w:val="22"/>
        </w:rPr>
        <w:t>A.Landlord, as successor-in-interest to 50 Castilian Drive, LLC (“</w:t>
      </w:r>
      <w:r>
        <w:rPr>
          <w:rFonts w:ascii="Times New Roman;sans-serif" w:hAnsi="Times New Roman;sans-serif"/>
          <w:b/>
          <w:color w:val="000000"/>
          <w:sz w:val="22"/>
        </w:rPr>
        <w:t>Prior Landlord</w:t>
      </w:r>
      <w:r>
        <w:rPr>
          <w:color w:val="000000"/>
        </w:rPr>
        <w:t>”</w:t>
      </w:r>
      <w:r>
        <w:rPr>
          <w:rFonts w:ascii="Times New Roman;sans-serif" w:hAnsi="Times New Roman;sans-serif"/>
          <w:b w:val="false"/>
          <w:color w:val="000000"/>
          <w:sz w:val="22"/>
        </w:rPr>
        <w:t>) , and Tenant are parties to that certain Industrial Lease dated December 6, 2019 (the “</w:t>
      </w:r>
      <w:r>
        <w:rPr>
          <w:rFonts w:ascii="Times New Roman;sans-serif" w:hAnsi="Times New Roman;sans-serif"/>
          <w:b/>
          <w:color w:val="000000"/>
          <w:sz w:val="22"/>
        </w:rPr>
        <w:t>Original Lease</w:t>
      </w:r>
      <w:r>
        <w:rPr>
          <w:color w:val="000000"/>
        </w:rPr>
        <w:t>”</w:t>
      </w:r>
      <w:r>
        <w:rPr>
          <w:rFonts w:ascii="Times New Roman;sans-serif" w:hAnsi="Times New Roman;sans-serif"/>
          <w:b w:val="false"/>
          <w:color w:val="000000"/>
          <w:sz w:val="22"/>
        </w:rPr>
        <w:t>) . Landlord, as successor-in-interest to Prior Landlord, and Tenant are also parties to that certain Umbrella Agreement dated December 6, 2019 among Landlord, Castilian 90, LLC (“</w:t>
      </w:r>
      <w:r>
        <w:rPr>
          <w:rFonts w:ascii="Times New Roman;sans-serif" w:hAnsi="Times New Roman;sans-serif"/>
          <w:b/>
          <w:color w:val="000000"/>
          <w:sz w:val="22"/>
        </w:rPr>
        <w:t>Castilian 90</w:t>
      </w:r>
      <w:r>
        <w:rPr>
          <w:color w:val="000000"/>
        </w:rPr>
        <w:t>”</w:t>
      </w:r>
      <w:r>
        <w:rPr>
          <w:rFonts w:ascii="Times New Roman;sans-serif" w:hAnsi="Times New Roman;sans-serif"/>
          <w:b w:val="false"/>
          <w:color w:val="000000"/>
          <w:sz w:val="22"/>
        </w:rPr>
        <w:t>) , successor-in- interest to Prior Landlord, and Castilian 70, LLC (“</w:t>
      </w:r>
      <w:r>
        <w:rPr>
          <w:rFonts w:ascii="Times New Roman;sans-serif" w:hAnsi="Times New Roman;sans-serif"/>
          <w:b/>
          <w:color w:val="000000"/>
          <w:sz w:val="22"/>
        </w:rPr>
        <w:t>Castilian 70</w:t>
      </w:r>
      <w:r>
        <w:rPr>
          <w:color w:val="000000"/>
        </w:rPr>
        <w:t>”</w:t>
      </w:r>
      <w:r>
        <w:rPr>
          <w:rFonts w:ascii="Times New Roman;sans-serif" w:hAnsi="Times New Roman;sans-serif"/>
          <w:b w:val="false"/>
          <w:color w:val="000000"/>
          <w:sz w:val="22"/>
        </w:rPr>
        <w:t>) , successor-in-interest to Prior Landlord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 , and that certain letter agreement dated as of October 18, 2020 (relating to improvement allowances) among Landlord, Castilian 90, successor-in-interest to Prior Landlord, and Castilian 70, successor-in-interest to Prior Landlord (the “</w:t>
      </w:r>
      <w:r>
        <w:rPr>
          <w:rFonts w:ascii="Times New Roman;sans-serif" w:hAnsi="Times New Roman;sans-serif"/>
          <w:b/>
          <w:color w:val="000000"/>
          <w:sz w:val="22"/>
        </w:rPr>
        <w:t>Allowance Letter Agreement</w:t>
      </w:r>
      <w:r>
        <w:rPr>
          <w:color w:val="000000"/>
        </w:rPr>
        <w:t>”</w:t>
      </w:r>
      <w:r>
        <w:rPr>
          <w:rFonts w:ascii="Times New Roman;sans-serif" w:hAnsi="Times New Roman;sans-serif"/>
          <w:b w:val="false"/>
          <w:color w:val="000000"/>
          <w:sz w:val="22"/>
        </w:rPr>
        <w:t>) .</w:t>
      </w:r>
    </w:p>
    <w:p>
      <w:pPr>
        <w:pStyle w:val="TextBody"/>
        <w:spacing w:before="10" w:after="283"/>
        <w:rPr/>
      </w:pPr>
      <w:r>
        <w:rPr/>
      </w:r>
    </w:p>
    <w:p>
      <w:pPr>
        <w:pStyle w:val="TextBody"/>
        <w:spacing w:lineRule="auto" w:line="240" w:before="0" w:after="0"/>
        <w:ind w:left="0" w:right="0" w:firstLine="1440"/>
        <w:rPr/>
      </w:pPr>
      <w:r>
        <w:rPr>
          <w:rFonts w:ascii="Times New Roman;sans-serif" w:hAnsi="Times New Roman;sans-serif"/>
          <w:b w:val="false"/>
          <w:color w:val="000000"/>
          <w:sz w:val="22"/>
        </w:rPr>
        <w:t>B.Pursuant to the Original Lease, Tenant leases from Landlord certain premises (the "</w:t>
      </w:r>
      <w:r>
        <w:rPr>
          <w:rFonts w:ascii="Times New Roman;sans-serif" w:hAnsi="Times New Roman;sans-serif"/>
          <w:b/>
          <w:color w:val="000000"/>
          <w:sz w:val="22"/>
        </w:rPr>
        <w:t>Premises</w:t>
      </w:r>
      <w:r>
        <w:rPr>
          <w:rFonts w:ascii="Times New Roman;sans-serif" w:hAnsi="Times New Roman;sans-serif"/>
          <w:b w:val="false"/>
          <w:color w:val="000000"/>
          <w:sz w:val="22"/>
        </w:rPr>
        <w:t>") consisting of 43,655 rentable square feet in that certain building commonly known as 50 Castilian Drive, in the City of Goleta, County of Santa Barbara, State of California (the “</w:t>
      </w:r>
      <w:r>
        <w:rPr>
          <w:rFonts w:ascii="Times New Roman;sans-serif" w:hAnsi="Times New Roman;sans-serif"/>
          <w:b/>
          <w:color w:val="000000"/>
          <w:sz w:val="22"/>
        </w:rPr>
        <w:t>Building</w:t>
      </w:r>
      <w:r>
        <w:rPr>
          <w:color w:val="000000"/>
        </w:rPr>
        <w:t>”</w:t>
      </w:r>
      <w:r>
        <w:rPr>
          <w:rFonts w:ascii="Times New Roman;sans-serif" w:hAnsi="Times New Roman;sans-serif"/>
          <w:b w:val="false"/>
          <w:color w:val="000000"/>
          <w:sz w:val="22"/>
        </w:rPr>
        <w:t>) . The Premises is part of that certain project (the “</w:t>
      </w:r>
      <w:r>
        <w:rPr>
          <w:rFonts w:ascii="Times New Roman;sans-serif" w:hAnsi="Times New Roman;sans-serif"/>
          <w:b/>
          <w:color w:val="000000"/>
          <w:sz w:val="22"/>
        </w:rPr>
        <w:t>Project</w:t>
      </w:r>
      <w:r>
        <w:rPr>
          <w:color w:val="000000"/>
        </w:rPr>
        <w:t>”</w:t>
      </w:r>
      <w:r>
        <w:rPr>
          <w:rFonts w:ascii="Times New Roman;sans-serif" w:hAnsi="Times New Roman;sans-serif"/>
          <w:b w:val="false"/>
          <w:color w:val="000000"/>
          <w:sz w:val="22"/>
        </w:rPr>
        <w:t>) , consisting of the Building, the parcel of land on which the Building is located (the “</w:t>
      </w:r>
      <w:r>
        <w:rPr>
          <w:rFonts w:ascii="Times New Roman;sans-serif" w:hAnsi="Times New Roman;sans-serif"/>
          <w:b/>
          <w:color w:val="000000"/>
          <w:sz w:val="22"/>
        </w:rPr>
        <w:t>50 Parcel</w:t>
      </w:r>
      <w:r>
        <w:rPr>
          <w:color w:val="000000"/>
        </w:rPr>
        <w:t>”</w:t>
      </w:r>
      <w:r>
        <w:rPr>
          <w:rFonts w:ascii="Times New Roman;sans-serif" w:hAnsi="Times New Roman;sans-serif"/>
          <w:b w:val="false"/>
          <w:color w:val="000000"/>
          <w:sz w:val="22"/>
        </w:rPr>
        <w:t>) , the improved parcel of land at 70 Castilian Drive, Goleta, California (the “</w:t>
      </w:r>
      <w:r>
        <w:rPr>
          <w:rFonts w:ascii="Times New Roman;sans-serif" w:hAnsi="Times New Roman;sans-serif"/>
          <w:b/>
          <w:color w:val="000000"/>
          <w:sz w:val="22"/>
        </w:rPr>
        <w:t>70 Parcel</w:t>
      </w:r>
      <w:r>
        <w:rPr>
          <w:color w:val="000000"/>
        </w:rPr>
        <w:t>”</w:t>
      </w:r>
      <w:r>
        <w:rPr>
          <w:rFonts w:ascii="Times New Roman;sans-serif" w:hAnsi="Times New Roman;sans-serif"/>
          <w:b w:val="false"/>
          <w:color w:val="000000"/>
          <w:sz w:val="22"/>
        </w:rPr>
        <w:t>) , and the improved parcel of land at 90 Castilian Drive, Goleta, California (the “</w:t>
      </w:r>
      <w:r>
        <w:rPr>
          <w:rFonts w:ascii="Times New Roman;sans-serif" w:hAnsi="Times New Roman;sans-serif"/>
          <w:b/>
          <w:color w:val="000000"/>
          <w:sz w:val="22"/>
        </w:rPr>
        <w:t>90 Parcel</w:t>
      </w:r>
      <w:r>
        <w:rPr>
          <w:color w:val="000000"/>
        </w:rPr>
        <w:t>”</w:t>
      </w:r>
      <w:r>
        <w:rPr>
          <w:rFonts w:ascii="Times New Roman;sans-serif" w:hAnsi="Times New Roman;sans-serif"/>
          <w:b w:val="false"/>
          <w:color w:val="000000"/>
          <w:sz w:val="22"/>
        </w:rPr>
        <w:t xml:space="preserve">) , as more particularly described in the Original Lease. The 50 Parcel, the 70 Parcel and the 90 Parcel are each depicted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C.Landlord and Tenant now desire to, among other things, (i) terminate the Umbrella Agreement and the “Existing Lease” (as defined in the Original Lease) , in their entirety; and (ii) clarify and stipulate as to certain matters relating to the non-existence of Project common areas, Project property taxes, and Project Operating Expenses, and the remaining improvement allowance for the Building, all upon the terms and conditions set forth in this Amendment.</w:t>
      </w:r>
    </w:p>
    <w:p>
      <w:pPr>
        <w:pStyle w:val="TextBody"/>
        <w:spacing w:before="4"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D.All capitalized terms used but not defined in this Amendment shall have the meanings ascribed to such terms in the Original Lease. The Original Lease, as amended by this Amendment, shall herein be referred to as the "</w:t>
      </w:r>
      <w:r>
        <w:rPr>
          <w:rFonts w:ascii="Times New Roman;sans-serif" w:hAnsi="Times New Roman;sans-serif"/>
          <w:b/>
          <w:color w:val="000000"/>
          <w:sz w:val="22"/>
        </w:rPr>
        <w:t>Lease</w:t>
      </w:r>
      <w:r>
        <w:rPr>
          <w:rFonts w:ascii="Times New Roman;sans-serif" w:hAnsi="Times New Roman;sans-serif"/>
          <w:b w:val="false"/>
          <w:color w:val="000000"/>
          <w:sz w:val="22"/>
        </w:rPr>
        <w:t>." All references in the Lease to the "Lease" shall herein refer to the Original Lease, as amended by this Amendment.</w:t>
      </w:r>
    </w:p>
    <w:p>
      <w:pPr>
        <w:pStyle w:val="TextBody"/>
        <w:spacing w:before="0" w:after="0"/>
        <w:rPr/>
      </w:pPr>
      <w:r>
        <w:rPr/>
      </w:r>
    </w:p>
    <w:p>
      <w:pPr>
        <w:pStyle w:val="TextBody"/>
        <w:spacing w:before="10"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10" w:after="283"/>
        <w:rPr/>
      </w:pPr>
      <w:r>
        <w:rPr/>
      </w:r>
    </w:p>
    <w:p>
      <w:pPr>
        <w:pStyle w:val="TextBody"/>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and in consideration of the sum of One Hundred Dollars ($100) and other good and valuable consideration, the receipt and sufficiency of which are hereby acknowledged, Landlord and Tenant hereby agree as follows:</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Termination of Umbrella Agreement</w:t>
      </w:r>
      <w:r>
        <w:rPr>
          <w:rFonts w:ascii="Times New Roman;sans-serif" w:hAnsi="Times New Roman;sans-serif"/>
          <w:b w:val="false"/>
          <w:color w:val="000000"/>
          <w:sz w:val="22"/>
        </w:rPr>
        <w:t>. Tenant hereby acknowledges and agrees that Landlord has satisfied all of its obligations under the Umbrella Agreement and the Existing Lease, to Tenant’s satisfaction. Effective as of the Amendment Effective Date, the Umbrella Agreement and the Existing Lease shall immediately and automatically terminate in their entirety, and shall be null and void, with no force or effect, and, Landlord shall not have any obligations or liabilities whatsoever under or in</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287780"/>
                <wp:effectExtent l="0" t="0" r="0" b="0"/>
                <wp:wrapNone/>
                <wp:docPr id="67" name="Frame65"/>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40" w:before="81" w:after="283"/>
        <w:jc w:val="both"/>
        <w:rPr/>
      </w:pPr>
      <w:r>
        <w:rPr>
          <w:rFonts w:ascii="Times New Roman;sans-serif" w:hAnsi="Times New Roman;sans-serif"/>
          <w:b w:val="false"/>
          <w:color w:val="000000"/>
          <w:sz w:val="22"/>
        </w:rPr>
        <w:t xml:space="preserve">connection with the Umbrella Agreement or the Existing Lease. For the avoidance of any doubt, no provision of the Umbrella Agreement or the Existing Lease shall survive (or otherwise be effective) from and after the Amendment Effective Date. Effective as of the Amendment Effective Date, all references in the Original Lease to the Umbrella Agreement (including, without limitation, references to the “MAC Surviving Liabilities” under the Umbrella Agreement) and all references in the Original Lease to the Existing Lease shall be null and void, with no force or effect. Concurrently with its execution of this Amendment, each of Landlord and Tenant shall execute and deliver a Termination of Umbrella Agreement, in the form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among Landlord, Tenant, Castilian 70 and Castilian 90 (the “</w:t>
      </w:r>
      <w:r>
        <w:rPr>
          <w:rFonts w:ascii="Times New Roman;sans-serif" w:hAnsi="Times New Roman;sans-serif"/>
          <w:b/>
          <w:color w:val="000000"/>
          <w:sz w:val="22"/>
        </w:rPr>
        <w:t>Umbrella Termination</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0" w:after="0"/>
        <w:ind w:left="0" w:right="0" w:hanging="721"/>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Signage</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91"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2.1Tenant hereby agrees that, notwithstanding anything to the contrary in the Original Lease, all of Tenant’s signage rights in the Original Lease shall relate solely to the 50 Parcel, and Tenant shall not have any right under the Lease to place, keep or maintain any of its signage in the 70 Parcel or the 90 Parcel.</w:t>
      </w:r>
    </w:p>
    <w:p>
      <w:pPr>
        <w:pStyle w:val="TextBody"/>
        <w:spacing w:before="3" w:after="283"/>
        <w:rPr/>
      </w:pPr>
      <w:r>
        <w:rPr/>
      </w:r>
    </w:p>
    <w:p>
      <w:pPr>
        <w:pStyle w:val="TextBody"/>
        <w:spacing w:lineRule="auto" w:line="240"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2.2Landlord and Tenant acknowledge that there is currently one (1) monument sign located solely within the 50 Parcel, and Tenant shall have the right, at its sole cost and expense, subject to City and any other required governmental approvals, to place its commercially reasonable identification signage on such monument sign located solely within the 50 Parcel. Tenant shall not have the right to use or place its signage on, or otherwise use, any other monument sign under the Lease.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Parking</w:t>
      </w:r>
      <w:r>
        <w:rPr>
          <w:rFonts w:ascii="Times New Roman;sans-serif" w:hAnsi="Times New Roman;sans-serif"/>
          <w:b w:val="false"/>
          <w:color w:val="000000"/>
          <w:sz w:val="22"/>
        </w:rPr>
        <w:t xml:space="preserve">. Effective on the Amendment Effective Date, </w:t>
      </w:r>
      <w:r>
        <w:rPr>
          <w:rFonts w:ascii="Times New Roman;sans-serif" w:hAnsi="Times New Roman;sans-serif"/>
          <w:b w:val="false"/>
          <w:color w:val="000000"/>
          <w:sz w:val="22"/>
          <w:u w:val="single"/>
        </w:rPr>
        <w:t>Section C(2)</w:t>
      </w:r>
      <w:r>
        <w:rPr>
          <w:color w:val="000000"/>
        </w:rPr>
        <w:t xml:space="preserve"> </w:t>
      </w:r>
      <w:r>
        <w:rPr>
          <w:rFonts w:ascii="Times New Roman;sans-serif" w:hAnsi="Times New Roman;sans-serif"/>
          <w:b w:val="false"/>
          <w:color w:val="000000"/>
          <w:sz w:val="22"/>
        </w:rPr>
        <w:t xml:space="preserve">of the Basic Provisions in the Original Lease (Parking) is hereby deleted in its entirety, and replaced with the following provisions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w:t>
      </w:r>
    </w:p>
    <w:p>
      <w:pPr>
        <w:pStyle w:val="TextBody"/>
        <w:spacing w:before="1" w:after="283"/>
        <w:rPr/>
      </w:pPr>
      <w:r>
        <w:rPr/>
      </w:r>
    </w:p>
    <w:p>
      <w:pPr>
        <w:pStyle w:val="TextBody"/>
        <w:spacing w:lineRule="auto" w:line="240" w:before="92" w:after="283"/>
        <w:ind w:left="0" w:right="0" w:firstLine="2160"/>
        <w:jc w:val="both"/>
        <w:rPr/>
      </w:pPr>
      <w:r>
        <w:rPr>
          <w:rFonts w:ascii="Times New Roman;sans-serif" w:hAnsi="Times New Roman;sans-serif"/>
          <w:b w:val="false"/>
          <w:color w:val="000000"/>
          <w:sz w:val="22"/>
        </w:rPr>
        <w:t>3.1From and after the Amendment Effective Date, Tenant shall have the exclusive use of a maximum total of one hundred seventy-five (175) unreserved parking spaces (the “Maximum Number of Parking Spaces”) located in the Parking Lot (as defined in Section 3.2 below), except to the extent such amount of spaces is required by applicable law or any governmental authority having 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subject, however, to the provisions below regarding the allocation of spaces to the building commonly known as 70 Castilian Drive in the Project, or to allocate, authorize, or allow others to use the Parking Lot in any way that decreases the Maximum Number of Parking Spaces exclusively available to the tenants of the Building. Subject to the provisions below regarding the allocation of spaces to 70 Castilian Drive, Landlord shall not authorize any other person, firm, organization or entity to use or reserve parking spaces in, and shall not allow any other person, firm, organization or entity to authorize the use of (or the reservation of parking spaces in), the Parking Lot. Notwithstanding the foregoing or anything to the contrary herein, Tenant acknowledges and agrees that, as of Amendment Effective Date, twenty-seven (27) parking spaces in the Parking Lot are allocated and designated for the exclusive use of the tenant at the building commonly known as 70 Castilian Drive (and its officers, directors, affiliates, partners, members, employees, agents, shareholders, representatives, subtenants, successors, assigns, visitors, licensees and invitees) (the “</w:t>
      </w:r>
      <w:r>
        <w:rPr>
          <w:rFonts w:ascii="Times New Roman;sans-serif" w:hAnsi="Times New Roman;sans-serif"/>
          <w:b/>
          <w:color w:val="000000"/>
          <w:sz w:val="22"/>
        </w:rPr>
        <w:t>70 Spaces</w:t>
      </w:r>
      <w:r>
        <w:rPr>
          <w:color w:val="000000"/>
        </w:rPr>
        <w:t>”</w:t>
      </w:r>
      <w:r>
        <w:rPr>
          <w:rFonts w:ascii="Times New Roman;sans-serif" w:hAnsi="Times New Roman;sans-serif"/>
          <w:b w:val="false"/>
          <w:color w:val="000000"/>
          <w:sz w:val="22"/>
        </w:rPr>
        <w:t>), and Tenant (and its officers, directors, affiliates, partners, members, employees, agents, shareholders, representatives, subtenants, successors, assigns, visitors, licensees and invitees, and Tenant Users, as defined in Section 3.2 below) shall not park in any of the 70 Spaces. If parking available to Tenant in the Parking Lot is being substantially limited by the use of third parties other than the users of the 70 Spaces so that the Parking Lot does not meet Tenant’s normal parking needs (which comply with the terms of the Lease), Landlord and Tenant shall cooperate with one another to establish procedures and</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287780"/>
                <wp:effectExtent l="0" t="0" r="0" b="0"/>
                <wp:wrapNone/>
                <wp:docPr id="68" name="Frame66"/>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40" w:before="81"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mechanisms that will prevent unauthorized parking by others in the Parking Lot (other than the users of the 70 Spaces). Subject to the terms of this Section 3 (including, without limitation, the Maximum Number of Parking Spaces, and users of the 70 Spaces), Tenant shall have the exclusive use of the Parking Lot without additional parking charges during the remaining Term of the Lease.</w:t>
      </w:r>
    </w:p>
    <w:p>
      <w:pPr>
        <w:pStyle w:val="TextBody"/>
        <w:spacing w:before="9"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2"/>
        </w:rPr>
        <w:t xml:space="preserve">3.2All parking spaces under the Lease (i.e., all of the Maximum Number of Parking Spaces) shall be located only in the parking lot depicted on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color w:val="000000"/>
          <w:sz w:val="22"/>
        </w:rPr>
        <w:t>Parking Lot</w:t>
      </w:r>
      <w:r>
        <w:rPr>
          <w:color w:val="000000"/>
        </w:rPr>
        <w:t>”</w:t>
      </w:r>
      <w:r>
        <w:rPr>
          <w:rFonts w:ascii="Times New Roman;sans-serif" w:hAnsi="Times New Roman;sans-serif"/>
          <w:b w:val="false"/>
          <w:color w:val="000000"/>
          <w:sz w:val="22"/>
        </w:rPr>
        <w:t>), which Parking Lot is located solely within the 50 Parcel. Notwithstanding anything to the contrary in the Lease, except to the extent otherwise designated by Landlord in writing (if at all), Tenant shall not (and shall ensure its officers, directors, affiliates, partners, members, employees, agents, shareholders, representatives, subtenants, successors, assigns, visitors, licensees and invitees do not) park or use any parking area anywhere in the Project other than the Parking Lot. Landlord acknowledges that, so long as Tenant leases space in one or more other buildings at the Project (other than the Building), Tenant may, subject to the terms and conditions of this Section 3, allow its employees, agents, representatives and visitors at such other building(s) (“</w:t>
      </w:r>
      <w:r>
        <w:rPr>
          <w:rFonts w:ascii="Times New Roman;sans-serif" w:hAnsi="Times New Roman;sans-serif"/>
          <w:b/>
          <w:color w:val="000000"/>
          <w:sz w:val="22"/>
        </w:rPr>
        <w:t>Tenant Users</w:t>
      </w:r>
      <w:r>
        <w:rPr>
          <w:color w:val="000000"/>
        </w:rPr>
        <w:t>”</w:t>
      </w:r>
      <w:r>
        <w:rPr>
          <w:rFonts w:ascii="Times New Roman;sans-serif" w:hAnsi="Times New Roman;sans-serif"/>
          <w:b w:val="false"/>
          <w:color w:val="000000"/>
          <w:sz w:val="22"/>
        </w:rPr>
        <w:t>) to use Tenant’s unreserved parking spaces in the Parking Lot that are allocated to Tenant hereunder, provided that the amount of parking allocated to Tenant shall not be increased as a result thereof, and Tenant shall not (and shall ensure its officers, directors, affiliates, partners, members, employees, agents, shareholders, representatives, subtenants, successors, assigns, visitors, licensees and invitees, and Tenant Users, do not) use a combined aggregate total amount of parking spaces in excess of the Maximum Number of Parking Spaces.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3.3In the event that Tenant assigns the Lease or subleases all or a portion of the Premises as permitted under the Lease, Tenant shall have the right to grant to the assignee or sublessee, as the case may be, the use of some or all of the parking spaces allotted to Tenant under the Lease, which such number of assigned or sublet spaces within such allotment shall be at Tenant’s sole discretion (subject to the Maximum Number of Parking Spaces limitations).</w:t>
      </w:r>
    </w:p>
    <w:p>
      <w:pPr>
        <w:pStyle w:val="TextBody"/>
        <w:spacing w:before="4"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No Common Areas</w:t>
      </w:r>
      <w:r>
        <w:rPr>
          <w:rFonts w:ascii="Times New Roman;sans-serif" w:hAnsi="Times New Roman;sans-serif"/>
          <w:b w:val="false"/>
          <w:color w:val="000000"/>
          <w:sz w:val="22"/>
        </w:rPr>
        <w:t xml:space="preserve">. Landlord and Tenant hereby acknowledge, agree and stipulate that, notwithstanding anything to the contrary in the Lease, from and after the Amendment Effective Date, there are not, and shall not be, any Common Areas under the Lease and there shall be no Project Operating Expenses under </w:t>
      </w:r>
      <w:r>
        <w:rPr>
          <w:rFonts w:ascii="Times New Roman;sans-serif" w:hAnsi="Times New Roman;sans-serif"/>
          <w:b w:val="false"/>
          <w:color w:val="000000"/>
          <w:sz w:val="22"/>
          <w:u w:val="single"/>
        </w:rPr>
        <w:t>Section 7.2.3</w:t>
      </w:r>
      <w:r>
        <w:rPr>
          <w:color w:val="000000"/>
        </w:rPr>
        <w:t xml:space="preserve"> </w:t>
      </w:r>
      <w:r>
        <w:rPr>
          <w:rFonts w:ascii="Times New Roman;sans-serif" w:hAnsi="Times New Roman;sans-serif"/>
          <w:b w:val="false"/>
          <w:color w:val="000000"/>
          <w:sz w:val="22"/>
        </w:rPr>
        <w:t xml:space="preserve">of the Original Lease (but without limiting Building Operating Expenses payable by Tenant). Accordingly,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of the Original Lease (Common Areas), and references to “Common Area” in the Original Lease, are hereby deleted. Except for the tenants at the 70 Parcel and the</w:t>
      </w:r>
    </w:p>
    <w:p>
      <w:pPr>
        <w:pStyle w:val="TextBody"/>
        <w:spacing w:lineRule="auto" w:line="240" w:before="0" w:after="0"/>
        <w:jc w:val="both"/>
        <w:rPr/>
      </w:pPr>
      <w:r>
        <w:rPr>
          <w:rFonts w:ascii="Times New Roman;sans-serif" w:hAnsi="Times New Roman;sans-serif"/>
          <w:b w:val="false"/>
          <w:color w:val="000000"/>
          <w:sz w:val="22"/>
        </w:rPr>
        <w:t xml:space="preserve">90 Parcel (and their respective officers, directors, affiliates, partners, members, employees, agents, shareholders, representatives, subtenants, successors, assigns, visitors, licensees and invitees), Tenant shall have the exclusive right to use easements (if any) designated by Landlord from time to time for ingress and egress as are necessary for Tenant's use and occupancy of the Premises. With respect to the Parking Lot, and walkways and landscaping within the 50 Parcel alone, Landlord shall keep the same in good order and repair; provided, however, all costs and expenses incurred by Landlord relating to the Parking Lot (other than costs and expenses incurred with respect to the 70 Spaces) and such walkways and landscaping (including, without limitation, those for maintenance and repair) shall be included and paid for by Tenant as part of Building Operating Expenses, subject to any exclusions therefrom set forth in the Original Lease (without limiting any other Building Operating Expenses). Without limiting the foregoing, “Building Operating Expenses” shall include all reasonable and necessary costs and expenses incurred by Landlord in the operation, maintenance, repair and management of the 50 Parcel (including, without limitation, the Building), including, but not limited to the costs and expenses set forth in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of the Original Lease. Notwithstanding anything to the contrary in the Lease, Tenant shall not have the right to use any area within the 70 Parcel or the 90 Parcel (including, without limitation the parking lots serving the same), and the occupants of the 70 Parcel and 90 Parcel shall not be permitted to use any area within the 50 Parcel (subject to use of the 70 Spaces as set forth above). From and after the Amendment Effective Date, Tenant shall not be obligated to pay Project Operating Expenses (including property taxes) for the 70 Parcel or 90 Parcel,</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287780"/>
                <wp:effectExtent l="0" t="0" r="0" b="0"/>
                <wp:wrapNone/>
                <wp:docPr id="69" name="Frame67"/>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40" w:before="8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Landlord and Tenant shall not have any obligations, costs, or expenses related to portions of the Project that do not pertain to any of the 50 Parcel (including, but not limited to, the Building); provided, however, Tenant shall be required to pay all Building Operating Expenses relating to the 50 Parcel (including, without limitation, the Building) based on Tenant’s proportionate share of the Building set forth in the Original Lease. It is the intent of Landlord and Tenant that the 50 Parcel shall be separate from, and shall not have any public or other areas in common with, the 70 Parcel or the 90 Parcel.</w:t>
      </w:r>
    </w:p>
    <w:p>
      <w:pPr>
        <w:pStyle w:val="TextBody"/>
        <w:spacing w:before="0" w:after="0"/>
        <w:rPr/>
      </w:pPr>
      <w:r>
        <w:rPr/>
      </w:r>
    </w:p>
    <w:p>
      <w:pPr>
        <w:pStyle w:val="TextBody"/>
        <w:spacing w:lineRule="auto" w:line="240" w:before="0" w:after="0"/>
        <w:ind w:left="0" w:right="0" w:hanging="721"/>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Undisbursed Improvement Allowance</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92" w:after="283"/>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5.1As of the Amendment Effective Date, the total aggregate outstanding undisbursed improvement allowance under the Lease (i.e., the remaining total aggregate undisbursed 50 Premises Tenant Improvement Allowance) is Two Million Four Hundred and Forty-Six Thousand and Eight Hundred and Twenty-Five Dollars and Fifty-Two Cents ($2,446,825.52), the entirety of which is comprised of the remaining “Exterior Improvement Allowance”. Notwithstanding anything to the contrary in the Lease (or the Umbrella Agreement, the Existing Lease or the Allowance Letter Agreement), (a) Tenant is not entitled to any other improvement or construction contribution, reimbursement or allowance (or any credit for any unused contribution, reimbursement or allowance) under or in connection with the Lease (or the Umbrella Agreement, the Existing Lease or the Allowance Letter Agreement) or otherwise (including, without limitation, any 50/90 TI Allowance), and (b) Tenant shall not have any further rights or remedies whatsoever, and Landlord shall not have any further obligations whatsoever, under the Allowance Letter Agreement.</w:t>
      </w:r>
    </w:p>
    <w:p>
      <w:pPr>
        <w:pStyle w:val="TextBody"/>
        <w:spacing w:before="11" w:after="283"/>
        <w:rPr/>
      </w:pPr>
      <w:r>
        <w:rPr/>
      </w:r>
    </w:p>
    <w:p>
      <w:pPr>
        <w:pStyle w:val="TextBody"/>
        <w:spacing w:lineRule="auto" w:line="240"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5.2Section 2.2.4 of Exhibit B to the Original Lease is amended by replacing the language “three (3) years following the Commencement Date” with “four (4) years following the Commencement Date”.</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Estoppel</w:t>
      </w:r>
      <w:r>
        <w:rPr>
          <w:rFonts w:ascii="Times New Roman;sans-serif" w:hAnsi="Times New Roman;sans-serif"/>
          <w:b w:val="false"/>
          <w:color w:val="000000"/>
          <w:sz w:val="22"/>
        </w:rPr>
        <w:t>. Tenant warrants, represents and certifies to Landlord that as of the date of this Amendment, to Tenant’s actual knowledge, (a) Landlord is not in breach or default under the Lease, and no event has occurred which, with the giving of notice or the passage of time, would constitute a breach or default by Landlord, and (b) Tenant does not have any defenses or offsets to payment of rent or other amounts or performance of its obligations under the Lease as and when same becomes due. Landlord warrants, represents and certifies to Tenant that as of the date of this Amendment, to Landlord’s actual knowledge, (i) Tenant is not in breach or default under the Lease, and no event has occurred which, with the giving of notice or the passage of time, would constitute a breach or default by Tenant, and (ii) Landlord does not have any defenses or offsets to payment of rent amounts or performance of its obligations under the Lease as and when same becomes due. Additionally, Section 3(c) of Exhibit L to the Original Lease is hereby deleted and replaced with the following: “(c) To the actual knowledge of Tenant, no party is in breach or default under the Lease. To the actual knowledge of Tenant, no event has occurred which, with the giving of notice or passage of time, or both, would constitute such a breach or default.”</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Tenant represents and warrants to Landlord that it has not dealt with any broker with respect to this Amendment. If Tenant has dealt with any broker or agent, Tenant shall be solely responsible for the payment of all fees and commissions due said broker or agent and Tenant shall protect, indemnify, hold harmless and defend Landlord from all liability in respect thereto. Landlord represents and warrants to Tenant that it has not dealt with any broker with respect to this Amendment. If Landlord has dealt with any broker or agent, Landlord shall be solely responsible for the payment of all fees and commissions due said broker or agent and Landlord shall protect, indemnify, hold harmless and defend Tenant from all liability in respect thereto. The provisions of this Section 7 shall survive any expiration or termination of the Lease.</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287780"/>
                <wp:effectExtent l="0" t="0" r="0" b="0"/>
                <wp:wrapNone/>
                <wp:docPr id="70" name="Frame68"/>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lineRule="auto" w:line="240" w:before="81" w:after="283"/>
        <w:ind w:left="0" w:right="0" w:firstLine="14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Tenant, and the individuals executing this Amendment on behalf of Tenant, represent and warrant to Landlord that Tenant has full power and authority to enter into this Amendment and the person signing on behalf of Tenant has been fully authorized to do so by all necessary corporate or partnership action on the part of Tenant. Landlord, and the individuals executing this Amendment on behalf of Landlord, represent and warrant to Tenant that Landlord has full power and authority to enter into this Amendment and the person signing on behalf of Landlord has been fully authorized to do so by all necessary corporate or partnership action on the part of Landlord.</w:t>
      </w:r>
    </w:p>
    <w:p>
      <w:pPr>
        <w:pStyle w:val="TextBody"/>
        <w:spacing w:before="8"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Amendment may be executed in counterparts, each of which shall be deemed an original part and all of which together shall constitute a single agreement. Signatures on this Amendment sent electronically in PDF format each have the same force and effect as original ink signatures.</w:t>
      </w:r>
    </w:p>
    <w:p>
      <w:pPr>
        <w:pStyle w:val="TextBody"/>
        <w:spacing w:before="2"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Original Lease in Full Force</w:t>
      </w:r>
      <w:r>
        <w:rPr>
          <w:rFonts w:ascii="Times New Roman;sans-serif" w:hAnsi="Times New Roman;sans-serif"/>
          <w:b w:val="false"/>
          <w:color w:val="000000"/>
          <w:sz w:val="22"/>
        </w:rPr>
        <w:t>. The foregoing Recitals are deemed incorporate in and part of this Amendment. If any conflict exists between the terms and conditions of this Amendment and the terms and conditions of the Original Lease, the terms and conditions of this Amendment shall control. Except as amended by this Amendment, all other terms, covenants and conditions of the Original Lease (but not the Umbrella Agreement or the Existing Lease) shall remain in full force and effect and Landlord and Tenant hereby ratify the Original Lease (but not the Umbrella Agreement or the Existing Lease), as amended hereby.</w:t>
      </w:r>
    </w:p>
    <w:p>
      <w:pPr>
        <w:pStyle w:val="TextBody"/>
        <w:spacing w:before="8"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287780"/>
                <wp:effectExtent l="0" t="0" r="0" b="0"/>
                <wp:wrapNone/>
                <wp:docPr id="71" name="Frame69"/>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before="0" w:after="0"/>
        <w:rPr/>
      </w:pPr>
      <w:r>
        <w:rPr/>
      </w:r>
    </w:p>
    <w:p>
      <w:pPr>
        <w:pStyle w:val="TextBody"/>
        <w:spacing w:before="11" w:after="283"/>
        <w:rPr/>
      </w:pPr>
      <w:r>
        <w:rPr/>
      </w:r>
    </w:p>
    <w:p>
      <w:pPr>
        <w:pStyle w:val="TextBody"/>
        <w:spacing w:lineRule="auto" w:line="240" w:before="91" w:after="283"/>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Amendment is executed as of the Amendment Effective Date.</w:t>
      </w:r>
    </w:p>
    <w:p>
      <w:pPr>
        <w:pStyle w:val="TextBody"/>
        <w:spacing w:before="3" w:after="283"/>
        <w:rPr/>
      </w:pPr>
      <w:r>
        <w:rPr/>
      </w:r>
    </w:p>
    <w:p>
      <w:pPr>
        <w:pStyle w:val="TextBody"/>
        <w:spacing w:lineRule="auto" w:line="240" w:before="92" w:after="283"/>
        <w:rPr>
          <w:rFonts w:ascii="Times New Roman;sans-serif" w:hAnsi="Times New Roman;sans-serif"/>
          <w:b/>
          <w:color w:val="000000"/>
          <w:sz w:val="22"/>
        </w:rPr>
      </w:pPr>
      <w:r>
        <w:rPr>
          <w:rFonts w:ascii="Times New Roman;sans-serif" w:hAnsi="Times New Roman;sans-serif"/>
          <w:b/>
          <w:color w:val="000000"/>
          <w:sz w:val="22"/>
        </w:rPr>
        <w:t>LANDLORD:</w:t>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50,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9" w:after="283"/>
        <w:rPr/>
      </w:pPr>
      <w:r>
        <w:rPr/>
      </w:r>
    </w:p>
    <w:p>
      <w:pPr>
        <w:pStyle w:val="TextBody"/>
        <w:spacing w:before="0" w:after="0"/>
        <w:rPr/>
      </w:pPr>
      <w:r>
        <w:rPr/>
      </w:r>
    </w:p>
    <w:p>
      <w:pPr>
        <w:pStyle w:val="TextBody"/>
        <w:spacing w:before="92" w:after="283"/>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TENANT:</w:t>
      </w:r>
    </w:p>
    <w:tbl>
      <w:tblPr>
        <w:tblW w:w="3824" w:type="dxa"/>
        <w:jc w:val="left"/>
        <w:tblInd w:w="0" w:type="dxa"/>
        <w:tblCellMar>
          <w:top w:w="28" w:type="dxa"/>
          <w:left w:w="28" w:type="dxa"/>
          <w:bottom w:w="28" w:type="dxa"/>
          <w:right w:w="28" w:type="dxa"/>
        </w:tblCellMar>
      </w:tblPr>
      <w:tblGrid>
        <w:gridCol w:w="1223"/>
        <w:gridCol w:w="1076"/>
        <w:gridCol w:w="1525"/>
      </w:tblGrid>
      <w:tr>
        <w:trPr/>
        <w:tc>
          <w:tcPr>
            <w:tcW w:w="1223"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APPFOLIO, INC.,, a Delaware corporation</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9" w:after="283"/>
        <w:rPr/>
      </w:pPr>
      <w:r>
        <w:rPr/>
      </w:r>
    </w:p>
    <w:p>
      <w:pPr>
        <w:pStyle w:val="TextBody"/>
        <w:spacing w:before="1" w:after="283"/>
        <w:rPr/>
      </w:pPr>
      <w:r>
        <w:rPr/>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287780"/>
                <wp:effectExtent l="0" t="0" r="0" b="0"/>
                <wp:wrapNone/>
                <wp:docPr id="72" name="Frame70"/>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spacing w:before="7" w:after="283"/>
        <w:rPr/>
      </w:pPr>
      <w:r>
        <w:rPr/>
      </w:r>
    </w:p>
    <w:p>
      <w:pPr>
        <w:pStyle w:val="TextBody"/>
        <w:spacing w:lineRule="auto" w:line="240" w:before="92" w:after="2"/>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50 Parcel, 70 Parcel and 90 Parcel</w:t>
      </w:r>
    </w:p>
    <w:p>
      <w:pPr>
        <w:pStyle w:val="TextBody"/>
        <w:spacing w:before="0" w:after="0"/>
        <w:rPr/>
      </w:pPr>
      <w:r>
        <w:rPr/>
        <w:drawing>
          <wp:inline distT="0" distB="63500" distL="0" distR="0">
            <wp:extent cx="5829300" cy="7248525"/>
            <wp:effectExtent l="0" t="0" r="0" b="0"/>
            <wp:docPr id="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 descr=""/>
                    <pic:cNvPicPr>
                      <a:picLocks noChangeAspect="1" noChangeArrowheads="1"/>
                    </pic:cNvPicPr>
                  </pic:nvPicPr>
                  <pic:blipFill>
                    <a:blip r:embed="rId23"/>
                    <a:stretch>
                      <a:fillRect/>
                    </a:stretch>
                  </pic:blipFill>
                  <pic:spPr bwMode="auto">
                    <a:xfrm>
                      <a:off x="0" y="0"/>
                      <a:ext cx="5829300" cy="7248525"/>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287780"/>
                <wp:effectExtent l="0" t="0" r="0" b="0"/>
                <wp:wrapNone/>
                <wp:docPr id="74" name="Frame71"/>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before="11" w:after="283"/>
        <w:rPr/>
      </w:pPr>
      <w:r>
        <w:rPr/>
      </w:r>
    </w:p>
    <w:p>
      <w:pPr>
        <w:pStyle w:val="TextBody"/>
        <w:spacing w:before="0" w:after="0"/>
        <w:rPr/>
      </w:pPr>
      <w:r>
        <w:rPr/>
        <w:drawing>
          <wp:inline distT="0" distB="63500" distL="0" distR="0">
            <wp:extent cx="5438775" cy="4857750"/>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24"/>
                    <a:stretch>
                      <a:fillRect/>
                    </a:stretch>
                  </pic:blipFill>
                  <pic:spPr bwMode="auto">
                    <a:xfrm>
                      <a:off x="0" y="0"/>
                      <a:ext cx="5438775" cy="4857750"/>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287780"/>
                <wp:effectExtent l="0" t="0" r="0" b="0"/>
                <wp:wrapNone/>
                <wp:docPr id="76" name="Frame72"/>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Umbrella Termination</w:t>
      </w:r>
    </w:p>
    <w:p>
      <w:pPr>
        <w:pStyle w:val="TextBody"/>
        <w:spacing w:before="0" w:after="0"/>
        <w:rPr/>
      </w:pPr>
      <w:r>
        <w:rPr/>
      </w:r>
    </w:p>
    <w:p>
      <w:pPr>
        <w:pStyle w:val="TextBody"/>
        <w:spacing w:lineRule="auto" w:line="240" w:before="9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UMBRELLA TERMINATION AGREEMENT</w:t>
      </w:r>
    </w:p>
    <w:p>
      <w:pPr>
        <w:pStyle w:val="TextBody"/>
        <w:spacing w:before="0" w:after="0"/>
        <w:rPr/>
      </w:pPr>
      <w:r>
        <w:rPr/>
      </w:r>
    </w:p>
    <w:p>
      <w:pPr>
        <w:pStyle w:val="TextBody"/>
        <w:spacing w:lineRule="auto" w:line="240" w:before="92" w:after="283"/>
        <w:ind w:left="0" w:right="0" w:firstLine="720"/>
        <w:rPr/>
      </w:pPr>
      <w:r>
        <w:rPr>
          <w:rFonts w:ascii="Times New Roman;sans-serif" w:hAnsi="Times New Roman;sans-serif"/>
          <w:b w:val="false"/>
          <w:color w:val="000000"/>
          <w:sz w:val="22"/>
        </w:rPr>
        <w:t>This Umbrella Termination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dated as of January 20, 2022 (the “</w:t>
      </w:r>
      <w:r>
        <w:rPr>
          <w:rFonts w:ascii="Times New Roman;sans-serif" w:hAnsi="Times New Roman;sans-serif"/>
          <w:b/>
          <w:color w:val="000000"/>
          <w:sz w:val="22"/>
        </w:rPr>
        <w:t>Termination Effective Date</w:t>
      </w:r>
      <w:r>
        <w:rPr>
          <w:color w:val="000000"/>
        </w:rPr>
        <w:t>”</w:t>
      </w:r>
      <w:r>
        <w:rPr>
          <w:rFonts w:ascii="Times New Roman;sans-serif" w:hAnsi="Times New Roman;sans-serif"/>
          <w:b w:val="false"/>
          <w:color w:val="000000"/>
          <w:sz w:val="22"/>
        </w:rPr>
        <w:t>), is made and entered into by and between CASTILIAN 90, LLC, a Delaware limited liability company ("</w:t>
      </w:r>
      <w:r>
        <w:rPr>
          <w:rFonts w:ascii="Times New Roman;sans-serif" w:hAnsi="Times New Roman;sans-serif"/>
          <w:b/>
          <w:color w:val="000000"/>
          <w:sz w:val="22"/>
        </w:rPr>
        <w:t>Castilian 90</w:t>
      </w:r>
      <w:r>
        <w:rPr>
          <w:rFonts w:ascii="Times New Roman;sans-serif" w:hAnsi="Times New Roman;sans-serif"/>
          <w:b w:val="false"/>
          <w:color w:val="000000"/>
          <w:sz w:val="22"/>
        </w:rPr>
        <w:t>"), CASTILIAN 70, LLC, a Delaware limited liability company ("</w:t>
      </w:r>
      <w:r>
        <w:rPr>
          <w:rFonts w:ascii="Times New Roman;sans-serif" w:hAnsi="Times New Roman;sans-serif"/>
          <w:b/>
          <w:color w:val="000000"/>
          <w:sz w:val="22"/>
        </w:rPr>
        <w:t>Castilian 70</w:t>
      </w:r>
      <w:r>
        <w:rPr>
          <w:rFonts w:ascii="Times New Roman;sans-serif" w:hAnsi="Times New Roman;sans-serif"/>
          <w:b w:val="false"/>
          <w:color w:val="000000"/>
          <w:sz w:val="22"/>
        </w:rPr>
        <w:t>"), and CASTILIAN 50, LLC, a Delaware limited liability company ("</w:t>
      </w:r>
      <w:r>
        <w:rPr>
          <w:rFonts w:ascii="Times New Roman;sans-serif" w:hAnsi="Times New Roman;sans-serif"/>
          <w:b/>
          <w:color w:val="000000"/>
          <w:sz w:val="22"/>
        </w:rPr>
        <w:t>Castilian 50</w:t>
      </w:r>
      <w:r>
        <w:rPr>
          <w:rFonts w:ascii="Times New Roman;sans-serif" w:hAnsi="Times New Roman;sans-serif"/>
          <w:b w:val="false"/>
          <w:color w:val="000000"/>
          <w:sz w:val="22"/>
        </w:rPr>
        <w:t>", and, together with Castilian 70 and Castilian 90, collectively, the “Landlords”), and APPFOLIO, INC., a Delaware corporation (“</w:t>
      </w:r>
      <w:r>
        <w:rPr>
          <w:rFonts w:ascii="Times New Roman;sans-serif" w:hAnsi="Times New Roman;sans-serif"/>
          <w:b/>
          <w:color w:val="000000"/>
          <w:sz w:val="22"/>
        </w:rPr>
        <w:t>AppFolio”</w:t>
      </w:r>
      <w:r>
        <w:rPr>
          <w:rFonts w:ascii="Times New Roman;sans-serif" w:hAnsi="Times New Roman;sans-serif"/>
          <w:b w:val="false"/>
          <w:color w:val="000000"/>
          <w:sz w:val="22"/>
        </w:rPr>
        <w:t>).</w:t>
      </w:r>
    </w:p>
    <w:p>
      <w:pPr>
        <w:pStyle w:val="TextBody"/>
        <w:spacing w:before="8" w:after="283"/>
        <w:rPr/>
      </w:pPr>
      <w:r>
        <w:rPr/>
      </w:r>
    </w:p>
    <w:p>
      <w:pPr>
        <w:pStyle w:val="TextBody"/>
        <w:spacing w:lineRule="auto" w:line="2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A.Castilian 90, as landlord, currently leases to AppFolio, as tenant, space located at 90 Castilian Drive, Goleta, California, pursuant to that certain Industrial Lease dated December 6, 2019 (as amended, the "</w:t>
      </w:r>
      <w:r>
        <w:rPr>
          <w:rFonts w:ascii="Times New Roman;sans-serif" w:hAnsi="Times New Roman;sans-serif"/>
          <w:b/>
          <w:color w:val="000000"/>
          <w:sz w:val="22"/>
        </w:rPr>
        <w:t>90 Lease</w:t>
      </w:r>
      <w:r>
        <w:rPr>
          <w:rFonts w:ascii="Times New Roman;sans-serif" w:hAnsi="Times New Roman;sans-serif"/>
          <w:b w:val="false"/>
          <w:color w:val="000000"/>
          <w:sz w:val="22"/>
        </w:rPr>
        <w:t>"). Castilian 70, as landlord, currently leases to AppFolio, as tenant, space located at 70 Castilian Drive, Goleta, California, pursuant to that certain Industrial Lease dated December 6, 2019 (as amended, the "</w:t>
      </w:r>
      <w:r>
        <w:rPr>
          <w:rFonts w:ascii="Times New Roman;sans-serif" w:hAnsi="Times New Roman;sans-serif"/>
          <w:b/>
          <w:color w:val="000000"/>
          <w:sz w:val="22"/>
        </w:rPr>
        <w:t>70 Lease</w:t>
      </w:r>
      <w:r>
        <w:rPr>
          <w:rFonts w:ascii="Times New Roman;sans-serif" w:hAnsi="Times New Roman;sans-serif"/>
          <w:b w:val="false"/>
          <w:color w:val="000000"/>
          <w:sz w:val="22"/>
        </w:rPr>
        <w:t>"). Castilian 50, as landlord, currently leases to AppFolio, as tenant, space located at 50 Castilian Drive, Goleta, California, pursuant to that certain Industrial Lease dated December 6, 2019 (as amended, the "</w:t>
      </w:r>
      <w:r>
        <w:rPr>
          <w:rFonts w:ascii="Times New Roman;sans-serif" w:hAnsi="Times New Roman;sans-serif"/>
          <w:b/>
          <w:color w:val="000000"/>
          <w:sz w:val="22"/>
        </w:rPr>
        <w:t>50 Lease</w:t>
      </w:r>
      <w:r>
        <w:rPr>
          <w:rFonts w:ascii="Times New Roman;sans-serif" w:hAnsi="Times New Roman;sans-serif"/>
          <w:b w:val="false"/>
          <w:color w:val="000000"/>
          <w:sz w:val="22"/>
        </w:rPr>
        <w:t>", and, together with the 70 Lease and the 90 Lease, collectively, the "</w:t>
      </w:r>
      <w:r>
        <w:rPr>
          <w:rFonts w:ascii="Times New Roman;sans-serif" w:hAnsi="Times New Roman;sans-serif"/>
          <w:b/>
          <w:color w:val="000000"/>
          <w:sz w:val="22"/>
        </w:rPr>
        <w:t>Leases</w:t>
      </w:r>
      <w:r>
        <w:rPr>
          <w:rFonts w:ascii="Times New Roman;sans-serif" w:hAnsi="Times New Roman;sans-serif"/>
          <w:b w:val="false"/>
          <w:color w:val="000000"/>
          <w:sz w:val="22"/>
        </w:rPr>
        <w: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B.In connection with the Leases, Castilian 90, Castilian 70 and Castilian 50, each as successor-in-interest to 50 Castilian Drive, LLC, a Delaware limited liability company, and AppFolio are parties to that certain Umbrella Agreement dated as of December 6, 2019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C.AppFolio acknowledges and agrees that the Landlords have satisfied all of their obligations under the Umbrella Agreement and the “Existing Leases” (as defined in the Umbrella Agreement), to AppFolio’s satisfaction. The Landlords and AppFolio have determined that it is in their respective best interests to terminate the Umbrella Agreement and the Existing Leases in their entirety, upon the terms and conditions set forth in this Agreement.</w:t>
      </w:r>
    </w:p>
    <w:p>
      <w:pPr>
        <w:pStyle w:val="TextBody"/>
        <w:spacing w:before="1" w:after="283"/>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D.Capitalized terms used but not defined herein shall have their meanings set forth in the Umbrella Agreement.</w:t>
      </w:r>
    </w:p>
    <w:p>
      <w:pPr>
        <w:pStyle w:val="TextBody"/>
        <w:spacing w:before="8"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0" w:after="0"/>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Landlords and AppFolio hereby agree as follows:</w:t>
      </w:r>
    </w:p>
    <w:p>
      <w:pPr>
        <w:pStyle w:val="TextBody"/>
        <w:spacing w:before="1"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Agreement to Terminate</w:t>
      </w:r>
      <w:r>
        <w:rPr>
          <w:rFonts w:ascii="Times New Roman;sans-serif" w:hAnsi="Times New Roman;sans-serif"/>
          <w:b w:val="false"/>
          <w:color w:val="000000"/>
          <w:sz w:val="22"/>
        </w:rPr>
        <w:t>. Effective as of Termination Effective Date, the Umbrella Agreement and the Existing Leases shall immediately and automatically terminate in their entirety and shall be null and void with no force or effect whatsoever. Without limiting the foregoing, no provision of the Umbrella Agreement or any of the Existing Leases will survive such terminations, and the Landlords shall not have any liability or obligation whatsoever under or in connection with the Umbrella Agreement or the Existing Leases, including, without limitation, in connection with the MAC Surviving Liabilities (as defined in the Umbrella Agreement), which MAC Surviving Liabilities shall be null and void, with no force or effect whatsoever, as of the Termination Effective Date. For the avoidance of doubt, the Leases shall not be affected by such terminations and shall remain in full force and effect in accordance with their terms,</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287780"/>
                <wp:effectExtent l="0" t="0" r="0" b="0"/>
                <wp:wrapNone/>
                <wp:docPr id="77" name="Frame73"/>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76" w:before="83" w:after="283"/>
        <w:rPr>
          <w:rFonts w:ascii="Times New Roman;sans-serif" w:hAnsi="Times New Roman;sans-serif"/>
          <w:b w:val="false"/>
          <w:color w:val="000000"/>
          <w:sz w:val="22"/>
        </w:rPr>
      </w:pPr>
      <w:r>
        <w:rPr>
          <w:rFonts w:ascii="Times New Roman;sans-serif" w:hAnsi="Times New Roman;sans-serif"/>
          <w:b w:val="false"/>
          <w:color w:val="000000"/>
          <w:sz w:val="22"/>
        </w:rPr>
        <w:t>provided that the references in the Leases to the Umbrella Agreement and the Existing Leases shall be null and void, with no force or effect whatsoever, as of the Termination Effective Date.</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Each of the Landlords, on behalf of itself and its affiliates, directors, officers, shareholders, members, partners, employees, agents, representatives, successors and assigns, hereby releases AppFolio, and its affiliates, directors, officers, shareholders, members, partners, employees, agents, representatives, successors and assigns from and against any and all actions, suits, claims, damages, liabilities and obligations (collectively, “</w:t>
      </w:r>
      <w:r>
        <w:rPr>
          <w:rFonts w:ascii="Times New Roman;sans-serif" w:hAnsi="Times New Roman;sans-serif"/>
          <w:b/>
          <w:color w:val="000000"/>
          <w:sz w:val="22"/>
        </w:rPr>
        <w:t>Claims</w:t>
      </w:r>
      <w:r>
        <w:rPr>
          <w:color w:val="000000"/>
        </w:rPr>
        <w:t>”</w:t>
      </w:r>
      <w:r>
        <w:rPr>
          <w:rFonts w:ascii="Times New Roman;sans-serif" w:hAnsi="Times New Roman;sans-serif"/>
          <w:b w:val="false"/>
          <w:color w:val="000000"/>
          <w:sz w:val="22"/>
        </w:rPr>
        <w:t>) arising out of or in connection with the Umbrella Agreement or any of the Existing Leases. AppFolio on behalf of itself and its affiliates, directors, officers, shareholders, members, partners, employees, agents, representatives, successors and assigns, hereby releases each of the Landlords, and their respective affiliates, directors, officers, shareholders, members, partners, lenders, ground lessors, employees, agents, representatives, successors and assigns, from and against any and all Claims arising out of or in connection with the Umbrella Agreement or any of the Existing Leases. Each of the Landlords and AppFolio agree that there is a risk that, subsequent to the execution of this Agreement, it will suffer losses or damages which are unknown or unanticipated as of the date hereof, and the Landlords and AppFolio each hereby assume said risk and agree that the releases contained in this Section 2 shall apply to all unknown or unanticipated Claims, as well as those known and anticipated. In connection with the foregoing, the Landlords and AppFolio each hereby waives any and all rights they may have under California Civil Code Section 1542, which Section reads as follows:</w:t>
      </w:r>
    </w:p>
    <w:p>
      <w:pPr>
        <w:pStyle w:val="TextBody"/>
        <w:spacing w:before="9" w:after="283"/>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0" w:after="0"/>
        <w:rPr/>
      </w:pPr>
      <w:r>
        <w:rPr/>
      </w:r>
    </w:p>
    <w:p>
      <w:pPr>
        <w:pStyle w:val="TextBody"/>
        <w:spacing w:before="0" w:after="0"/>
        <w:rPr/>
      </w:pPr>
      <w:r>
        <w:rPr/>
      </w:r>
    </w:p>
    <w:p>
      <w:pPr>
        <w:pStyle w:val="TextBody"/>
        <w:spacing w:before="8" w:after="283"/>
        <w:rPr/>
      </w:pPr>
      <w:r>
        <w:rPr/>
        <w:drawing>
          <wp:inline distT="0" distB="63500" distL="0" distR="0">
            <wp:extent cx="1114425" cy="14605"/>
            <wp:effectExtent l="0" t="0" r="0" b="0"/>
            <wp:docPr id="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 descr=""/>
                    <pic:cNvPicPr>
                      <a:picLocks noChangeAspect="1" noChangeArrowheads="1"/>
                    </pic:cNvPicPr>
                  </pic:nvPicPr>
                  <pic:blipFill>
                    <a:blip r:embed="rId25"/>
                    <a:stretch>
                      <a:fillRect/>
                    </a:stretch>
                  </pic:blipFill>
                  <pic:spPr bwMode="auto">
                    <a:xfrm>
                      <a:off x="0" y="0"/>
                      <a:ext cx="1114425" cy="14605"/>
                    </a:xfrm>
                    <a:prstGeom prst="rect">
                      <a:avLst/>
                    </a:prstGeom>
                  </pic:spPr>
                </pic:pic>
              </a:graphicData>
            </a:graphic>
          </wp:inline>
        </w:drawing>
      </w:r>
      <w:r>
        <w:rPr/>
        <w:drawing>
          <wp:inline distT="0" distB="63500" distL="0" distR="0">
            <wp:extent cx="904875" cy="14605"/>
            <wp:effectExtent l="0" t="0" r="0" b="0"/>
            <wp:docPr id="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 descr=""/>
                    <pic:cNvPicPr>
                      <a:picLocks noChangeAspect="1" noChangeArrowheads="1"/>
                    </pic:cNvPicPr>
                  </pic:nvPicPr>
                  <pic:blipFill>
                    <a:blip r:embed="rId26"/>
                    <a:stretch>
                      <a:fillRect/>
                    </a:stretch>
                  </pic:blipFill>
                  <pic:spPr bwMode="auto">
                    <a:xfrm>
                      <a:off x="0" y="0"/>
                      <a:ext cx="904875"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90 Castilian Initials    AppFolio Initials</w:t>
      </w:r>
    </w:p>
    <w:p>
      <w:pPr>
        <w:pStyle w:val="TextBody"/>
        <w:spacing w:before="0" w:after="0"/>
        <w:rPr/>
      </w:pPr>
      <w:r>
        <w:rPr/>
      </w:r>
    </w:p>
    <w:p>
      <w:pPr>
        <w:pStyle w:val="TextBody"/>
        <w:spacing w:before="0" w:after="0"/>
        <w:rPr/>
      </w:pPr>
      <w:r>
        <w:rPr/>
      </w:r>
    </w:p>
    <w:p>
      <w:pPr>
        <w:pStyle w:val="TextBody"/>
        <w:spacing w:before="7" w:after="283"/>
        <w:rPr/>
      </w:pPr>
      <w:r>
        <w:rPr/>
        <w:drawing>
          <wp:inline distT="0" distB="63500" distL="0" distR="0">
            <wp:extent cx="1181100" cy="14605"/>
            <wp:effectExtent l="0" t="0" r="0" b="0"/>
            <wp:docPr id="8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 descr=""/>
                    <pic:cNvPicPr>
                      <a:picLocks noChangeAspect="1" noChangeArrowheads="1"/>
                    </pic:cNvPicPr>
                  </pic:nvPicPr>
                  <pic:blipFill>
                    <a:blip r:embed="rId27"/>
                    <a:stretch>
                      <a:fillRect/>
                    </a:stretch>
                  </pic:blipFill>
                  <pic:spPr bwMode="auto">
                    <a:xfrm>
                      <a:off x="0" y="0"/>
                      <a:ext cx="1181100" cy="14605"/>
                    </a:xfrm>
                    <a:prstGeom prst="rect">
                      <a:avLst/>
                    </a:prstGeom>
                  </pic:spPr>
                </pic:pic>
              </a:graphicData>
            </a:graphic>
          </wp:inline>
        </w:drawing>
      </w:r>
      <w:r>
        <w:rPr/>
        <w:drawing>
          <wp:inline distT="0" distB="63500" distL="0" distR="0">
            <wp:extent cx="1181100" cy="14605"/>
            <wp:effectExtent l="0" t="0" r="0" b="0"/>
            <wp:docPr id="8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 descr=""/>
                    <pic:cNvPicPr>
                      <a:picLocks noChangeAspect="1" noChangeArrowheads="1"/>
                    </pic:cNvPicPr>
                  </pic:nvPicPr>
                  <pic:blipFill>
                    <a:blip r:embed="rId28"/>
                    <a:stretch>
                      <a:fillRect/>
                    </a:stretch>
                  </pic:blipFill>
                  <pic:spPr bwMode="auto">
                    <a:xfrm>
                      <a:off x="0" y="0"/>
                      <a:ext cx="1181100"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70 Castilian Initials    50 Castilian Initials</w:t>
      </w:r>
    </w:p>
    <w:p>
      <w:pPr>
        <w:pStyle w:val="TextBody"/>
        <w:spacing w:before="0" w:after="0"/>
        <w:rPr/>
      </w:pPr>
      <w:r>
        <w:rPr/>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AppFolio hereby represents and warrants to the Landlords that (a) AppFolio has not, either voluntarily or by operation of law, heretofore assigned, encumbered or transferred all or any portion of its right, title and interest in or to the Umbrella Agreement or the Existing Leases; (b) AppFolio has full power and authority to enter into this Agreement, and to consummate the transactions contemplated hereby, and the persons signing on behalf of AppFolio have been fully authorized to do so by all necessary action on the part of AppFolio; and (c) no consent or approval of any other party is required for this Agreement to constitute a legal, valid and binding obligation of AppFolio, or to terminate the Umbrella Agreement or the Existing Leases.</w:t>
      </w:r>
    </w:p>
    <w:p>
      <w:pPr>
        <w:pStyle w:val="TextBody"/>
        <w:spacing w:before="7"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92" w:after="283"/>
        <w:ind w:left="0" w:right="0" w:firstLine="14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(and the Leases) is the entire agreement between the parties hereto with respect to the subject matter hereof. This Agreement may be amended only by an agreement in writing, signed by the Landlords and AppFolio.</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287780"/>
                <wp:effectExtent l="0" t="0" r="0" b="0"/>
                <wp:wrapNone/>
                <wp:docPr id="82" name="Frame74"/>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40" w:before="81" w:after="283"/>
        <w:ind w:left="0" w:right="0" w:firstLine="14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Drafting</w:t>
      </w:r>
      <w:r>
        <w:rPr>
          <w:rFonts w:ascii="Times New Roman;sans-serif" w:hAnsi="Times New Roman;sans-serif"/>
          <w:b w:val="false"/>
          <w:color w:val="000000"/>
          <w:sz w:val="22"/>
        </w:rPr>
        <w:t>. The foregoing Recitals are deemed incorporate in and part of this Agreement. Each party hereto has cooperated and participated in the drafting and preparation of this Agreement, and in any construction of this Agreement, the same shall not be construed against either party based on its alleged role as draftsperson. Section and subsection headings contained in this Agreement are for purposes of identification and reference only and shall not affect in any way the meaning or interpretation of any provision of this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All representations, warranties and agreements in this Agreement shall survive termination of the Umbrella Agreement and the Existing Leases, and shall not be merged with any other document or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4.4</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In the event of any action for breach of, or to enforce the provisions of this Agreement, the prevailing party in such action shall be entitled to reasonable attorneys’ fees, costs, and expenses and reasonable attorneys’ fees on appeal or other judicial proceedings.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4.5</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provisions of this Agreement shall be binding upon and inure to the benefit of the parties hereto, and to all of their respective successors and assigns.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4.6</w:t>
      </w:r>
      <w:r>
        <w:rPr>
          <w:rFonts w:ascii="Times New Roman;sans-serif" w:hAnsi="Times New Roman;sans-serif"/>
          <w:b w:val="false"/>
          <w:color w:val="000000"/>
          <w:sz w:val="22"/>
          <w:u w:val="single"/>
        </w:rPr>
        <w:t>California La</w:t>
      </w:r>
      <w:r>
        <w:rPr>
          <w:rFonts w:ascii="Times New Roman;sans-serif" w:hAnsi="Times New Roman;sans-serif"/>
          <w:b w:val="false"/>
          <w:color w:val="000000"/>
          <w:sz w:val="22"/>
        </w:rPr>
        <w:t>w. This Agreement shall be governed by and construed in accordance with California law. Venue for any action hereunder or relating hereto shall solely be in the County of Santa Barbara.</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4.7</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Agreement may be executed in duplicate counterparts, each of which shall be deemed an original, but which, when taken together, shall constitute one and the same instrument. A facsimile signature or a PDF or other electronic format signature shall each be as binding, and have the same force and effect, as an original ink signature.</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4.9</w:t>
      </w:r>
      <w:r>
        <w:rPr>
          <w:rFonts w:ascii="Times New Roman;sans-serif" w:hAnsi="Times New Roman;sans-serif"/>
          <w:b w:val="false"/>
          <w:color w:val="000000"/>
          <w:sz w:val="22"/>
          <w:u w:val="single"/>
        </w:rPr>
        <w:t>Time of the Essence</w:t>
      </w:r>
      <w:r>
        <w:rPr>
          <w:rFonts w:ascii="Times New Roman;sans-serif" w:hAnsi="Times New Roman;sans-serif"/>
          <w:b w:val="false"/>
          <w:color w:val="000000"/>
          <w:sz w:val="22"/>
        </w:rPr>
        <w:t>. Time is of the essence with respect to this Agreement and all obligations hereunder.</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4.10</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Each party hereto shall, from time to time, upon the request of another party hereto, execute, acknowledge and deliver all such further agreements and other instruments as may be reasonably required to further evidence the terms of this Agreement.</w:t>
      </w:r>
    </w:p>
    <w:p>
      <w:pPr>
        <w:pStyle w:val="TextBody"/>
        <w:spacing w:before="2"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287780"/>
                <wp:effectExtent l="0" t="0" r="0" b="0"/>
                <wp:wrapNone/>
                <wp:docPr id="83" name="Frame75"/>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rPr/>
      </w:pPr>
      <w:r>
        <w:rPr/>
      </w:r>
    </w:p>
    <w:p>
      <w:pPr>
        <w:pStyle w:val="TextBody"/>
        <w:spacing w:lineRule="auto" w:line="276" w:before="83"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Landlords and AppFolio have entered into this Agreement as of the Termination Effective Date.</w:t>
      </w:r>
    </w:p>
    <w:p>
      <w:pPr>
        <w:pStyle w:val="TextBody"/>
        <w:spacing w:before="0" w:after="0"/>
        <w:rPr/>
      </w:pPr>
      <w:r>
        <w:rPr/>
      </w:r>
    </w:p>
    <w:p>
      <w:pPr>
        <w:pStyle w:val="TextBody"/>
        <w:spacing w:before="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90</w:t>
      </w:r>
      <w:r>
        <w:rPr>
          <w:color w:val="000000"/>
        </w:rPr>
        <w:t>”</w:t>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CASTILIAN 90, LLC, a Delaware limited liability company</w:t>
      </w:r>
    </w:p>
    <w:p>
      <w:pPr>
        <w:pStyle w:val="TextBody"/>
        <w:spacing w:before="0" w:after="0"/>
        <w:rPr/>
      </w:pPr>
      <w:r>
        <w:rPr/>
      </w:r>
    </w:p>
    <w:p>
      <w:pPr>
        <w:pStyle w:val="TextBody"/>
        <w:spacing w:before="0" w:after="0"/>
        <w:rPr/>
      </w:pPr>
      <w:r>
        <w:rPr/>
      </w:r>
    </w:p>
    <w:p>
      <w:pPr>
        <w:pStyle w:val="TextBody"/>
        <w:spacing w:lineRule="auto" w:line="240" w:before="209"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1" w:after="283"/>
        <w:rPr/>
      </w:pPr>
      <w:r>
        <w:rPr/>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2"/>
        </w:rPr>
        <w:t>CASTILIAN 70</w:t>
      </w:r>
      <w:r>
        <w:rPr>
          <w:color w:val="000000"/>
        </w:rPr>
        <w:t>”</w:t>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CASTILIAN 70, LLC, a Delaware limited liability company</w:t>
      </w:r>
    </w:p>
    <w:p>
      <w:pPr>
        <w:pStyle w:val="TextBody"/>
        <w:spacing w:before="0" w:after="0"/>
        <w:rPr/>
      </w:pPr>
      <w:r>
        <w:rPr/>
      </w:r>
    </w:p>
    <w:p>
      <w:pPr>
        <w:pStyle w:val="TextBody"/>
        <w:spacing w:before="0" w:after="0"/>
        <w:rPr/>
      </w:pPr>
      <w:r>
        <w:rPr/>
      </w:r>
    </w:p>
    <w:p>
      <w:pPr>
        <w:pStyle w:val="TextBody"/>
        <w:spacing w:lineRule="auto" w:line="240" w:before="209"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rPr/>
      </w:pPr>
      <w:r>
        <w:rPr/>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50</w:t>
      </w:r>
      <w:r>
        <w:rPr>
          <w:color w:val="000000"/>
        </w:rPr>
        <w: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CASTILIAN 50, LLC, a Delaware limited liability company</w:t>
      </w:r>
    </w:p>
    <w:p>
      <w:pPr>
        <w:pStyle w:val="TextBody"/>
        <w:spacing w:before="0" w:after="0"/>
        <w:rPr/>
      </w:pPr>
      <w:r>
        <w:rPr/>
      </w:r>
    </w:p>
    <w:p>
      <w:pPr>
        <w:pStyle w:val="TextBody"/>
        <w:spacing w:before="0" w:after="0"/>
        <w:rPr/>
      </w:pPr>
      <w:r>
        <w:rPr/>
      </w:r>
    </w:p>
    <w:p>
      <w:pPr>
        <w:pStyle w:val="TextBody"/>
        <w:spacing w:lineRule="auto" w:line="240" w:before="205"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27" w:after="283"/>
        <w:rPr/>
      </w:pPr>
      <w:r>
        <w:rPr/>
      </w:r>
    </w:p>
    <w:p>
      <w:pPr>
        <w:pStyle w:val="TextBody"/>
        <w:spacing w:lineRule="auto" w:line="619" w:before="0" w:after="0"/>
        <w:rPr/>
      </w:pPr>
      <w:r>
        <w:rPr>
          <w:color w:val="000000"/>
        </w:rPr>
        <w:t>“</w:t>
      </w:r>
      <w:r>
        <w:rPr>
          <w:rFonts w:ascii="Times New Roman;sans-serif" w:hAnsi="Times New Roman;sans-serif"/>
          <w:b/>
          <w:color w:val="000000"/>
          <w:sz w:val="22"/>
        </w:rPr>
        <w:t>APPFOLIO</w:t>
      </w:r>
      <w:r>
        <w:rPr>
          <w:color w:val="000000"/>
        </w:rPr>
        <w:t xml:space="preserve">” </w:t>
      </w:r>
      <w:r>
        <w:rPr>
          <w:rFonts w:ascii="Times New Roman;sans-serif" w:hAnsi="Times New Roman;sans-serif"/>
          <w:b w:val="false"/>
          <w:color w:val="000000"/>
          <w:sz w:val="22"/>
        </w:rPr>
        <w:t>APPFOLIO, INC.,</w:t>
      </w:r>
    </w:p>
    <w:p>
      <w:pPr>
        <w:pStyle w:val="TextBody"/>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before="0" w:after="0"/>
        <w:rPr/>
      </w:pPr>
      <w:r>
        <w:rPr/>
      </w:r>
    </w:p>
    <w:p>
      <w:pPr>
        <w:pStyle w:val="TextBody"/>
        <w:spacing w:before="0" w:after="0"/>
        <w:rPr/>
      </w:pPr>
      <w:r>
        <w:rPr/>
      </w:r>
    </w:p>
    <w:p>
      <w:pPr>
        <w:pStyle w:val="TextBody"/>
        <w:spacing w:lineRule="auto" w:line="240" w:before="208"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287780"/>
                <wp:effectExtent l="0" t="0" r="0" b="0"/>
                <wp:wrapNone/>
                <wp:docPr id="84" name="Frame76"/>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jc w:val="right"/>
              <w:rPr/>
            </w:pPr>
            <w:r>
              <w:rPr/>
            </w:r>
          </w:p>
        </w:tc>
      </w:tr>
    </w:tbl>
    <w:p>
      <w:pPr>
        <w:pStyle w:val="TextBody"/>
        <w:spacing w:before="0" w:after="0"/>
        <w:jc w:val="both"/>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C</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50 Castilian Parking Area</w:t>
      </w:r>
    </w:p>
    <w:p>
      <w:pPr>
        <w:pStyle w:val="TextBody"/>
        <w:spacing w:before="4" w:after="283"/>
        <w:rPr/>
      </w:pPr>
      <w:r>
        <w:rPr/>
        <w:drawing>
          <wp:inline distT="0" distB="63500" distL="0" distR="0">
            <wp:extent cx="5676900" cy="6619875"/>
            <wp:effectExtent l="0" t="0" r="0" b="0"/>
            <wp:docPr id="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9" descr=""/>
                    <pic:cNvPicPr>
                      <a:picLocks noChangeAspect="1" noChangeArrowheads="1"/>
                    </pic:cNvPicPr>
                  </pic:nvPicPr>
                  <pic:blipFill>
                    <a:blip r:embed="rId29"/>
                    <a:stretch>
                      <a:fillRect/>
                    </a:stretch>
                  </pic:blipFill>
                  <pic:spPr bwMode="auto">
                    <a:xfrm>
                      <a:off x="0" y="0"/>
                      <a:ext cx="5676900" cy="6619875"/>
                    </a:xfrm>
                    <a:prstGeom prst="rect">
                      <a:avLst/>
                    </a:prstGeom>
                  </pic:spPr>
                </pic:pic>
              </a:graphicData>
            </a:graphic>
          </wp:inline>
        </w:drawing>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10.5</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287780"/>
                <wp:effectExtent l="0" t="0" r="0" b="0"/>
                <wp:wrapNone/>
                <wp:docPr id="86" name="Frame77"/>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412.9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Castilian-AppFolio-First Amendment to Industrial Lease (Final)</w:t>
                            </w:r>
                          </w:p>
                        </w:tc>
                      </w:tr>
                    </w:tbl>
                    <w:p>
                      <w:pPr>
                        <w:pStyle w:val="TextBody"/>
                        <w:spacing w:before="0" w:after="283"/>
                        <w:rPr/>
                      </w:pPr>
                      <w:r>
                        <w:rPr/>
                      </w:r>
                    </w:p>
                  </w:txbxContent>
                </v:textbox>
              </v:rect>
            </w:pict>
          </mc:Fallback>
        </mc:AlternateContent>
      </w:r>
    </w:p>
    <w:p>
      <w:pPr>
        <w:pStyle w:val="TextBody"/>
        <w:spacing w:lineRule="auto" w:line="240" w:before="8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FIRST AMENDMENT TO INDUSTRIAL LEASE</w:t>
      </w:r>
    </w:p>
    <w:p>
      <w:pPr>
        <w:pStyle w:val="TextBody"/>
        <w:spacing w:before="0" w:after="0"/>
        <w:rPr/>
      </w:pPr>
      <w:r>
        <w:rPr/>
      </w:r>
    </w:p>
    <w:p>
      <w:pPr>
        <w:pStyle w:val="TextBody"/>
        <w:spacing w:before="0" w:after="0"/>
        <w:rPr/>
      </w:pPr>
      <w:r>
        <w:rPr/>
      </w:r>
    </w:p>
    <w:p>
      <w:pPr>
        <w:pStyle w:val="TextBody"/>
        <w:spacing w:lineRule="auto" w:line="240" w:before="92" w:after="283"/>
        <w:ind w:left="0" w:right="0" w:firstLine="1440"/>
        <w:rPr/>
      </w:pPr>
      <w:r>
        <w:rPr>
          <w:rFonts w:ascii="Times New Roman;sans-serif" w:hAnsi="Times New Roman;sans-serif"/>
          <w:b w:val="false"/>
          <w:color w:val="000000"/>
          <w:sz w:val="22"/>
        </w:rPr>
        <w:t>This First Amendment to Industrial Lease (this "</w:t>
      </w:r>
      <w:r>
        <w:rPr>
          <w:rFonts w:ascii="Times New Roman;sans-serif" w:hAnsi="Times New Roman;sans-serif"/>
          <w:b/>
          <w:color w:val="000000"/>
          <w:sz w:val="22"/>
        </w:rPr>
        <w:t>Amendment</w:t>
      </w:r>
      <w:r>
        <w:rPr>
          <w:rFonts w:ascii="Times New Roman;sans-serif" w:hAnsi="Times New Roman;sans-serif"/>
          <w:b w:val="false"/>
          <w:color w:val="000000"/>
          <w:sz w:val="22"/>
        </w:rPr>
        <w:t>") is made and entered into as of February 10, 2022 (the “</w:t>
      </w:r>
      <w:r>
        <w:rPr>
          <w:rFonts w:ascii="Times New Roman;sans-serif" w:hAnsi="Times New Roman;sans-serif"/>
          <w:b/>
          <w:color w:val="000000"/>
          <w:sz w:val="22"/>
        </w:rPr>
        <w:t>Amendment Effective Date</w:t>
      </w:r>
      <w:r>
        <w:rPr>
          <w:color w:val="000000"/>
        </w:rPr>
        <w:t>”</w:t>
      </w:r>
      <w:r>
        <w:rPr>
          <w:rFonts w:ascii="Times New Roman;sans-serif" w:hAnsi="Times New Roman;sans-serif"/>
          <w:b w:val="false"/>
          <w:color w:val="000000"/>
          <w:sz w:val="22"/>
        </w:rPr>
        <w:t>) , by and between CASTILIAN 70, LLC, a Delaware limited liability company ("</w:t>
      </w:r>
      <w:r>
        <w:rPr>
          <w:rFonts w:ascii="Times New Roman;sans-serif" w:hAnsi="Times New Roman;sans-serif"/>
          <w:b/>
          <w:color w:val="000000"/>
          <w:sz w:val="22"/>
        </w:rPr>
        <w:t>Landlord</w:t>
      </w:r>
      <w:r>
        <w:rPr>
          <w:rFonts w:ascii="Times New Roman;sans-serif" w:hAnsi="Times New Roman;sans-serif"/>
          <w:b w:val="false"/>
          <w:color w:val="000000"/>
          <w:sz w:val="22"/>
        </w:rPr>
        <w:t>") , and APPFOLIO, INC., a Delaware corporation ("</w:t>
      </w:r>
      <w:r>
        <w:rPr>
          <w:rFonts w:ascii="Times New Roman;sans-serif" w:hAnsi="Times New Roman;sans-serif"/>
          <w:b/>
          <w:color w:val="000000"/>
          <w:sz w:val="22"/>
        </w:rPr>
        <w:t>Tenant</w:t>
      </w:r>
      <w:r>
        <w:rPr>
          <w:rFonts w:ascii="Times New Roman;sans-serif" w:hAnsi="Times New Roman;sans-serif"/>
          <w:b w:val="false"/>
          <w:color w:val="000000"/>
          <w:sz w:val="22"/>
        </w:rPr>
        <w:t>") .</w:t>
      </w:r>
    </w:p>
    <w:p>
      <w:pPr>
        <w:pStyle w:val="TextBody"/>
        <w:spacing w:before="8" w:after="283"/>
        <w:rPr/>
      </w:pPr>
      <w:r>
        <w:rPr/>
      </w:r>
    </w:p>
    <w:p>
      <w:pPr>
        <w:pStyle w:val="TextBody"/>
        <w:spacing w:lineRule="auto" w:line="2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2" w:after="283"/>
        <w:rPr/>
      </w:pPr>
      <w:r>
        <w:rPr/>
      </w:r>
    </w:p>
    <w:p>
      <w:pPr>
        <w:pStyle w:val="TextBody"/>
        <w:spacing w:lineRule="auto" w:line="240" w:before="0" w:after="0"/>
        <w:ind w:left="0" w:right="0" w:firstLine="1440"/>
        <w:rPr/>
      </w:pPr>
      <w:r>
        <w:rPr>
          <w:rFonts w:ascii="Times New Roman;sans-serif" w:hAnsi="Times New Roman;sans-serif"/>
          <w:b w:val="false"/>
          <w:color w:val="000000"/>
          <w:sz w:val="22"/>
        </w:rPr>
        <w:t>A.Landlord, as successor-in-interest to 50 Castilian Drive, LLC (“</w:t>
      </w:r>
      <w:r>
        <w:rPr>
          <w:rFonts w:ascii="Times New Roman;sans-serif" w:hAnsi="Times New Roman;sans-serif"/>
          <w:b/>
          <w:color w:val="000000"/>
          <w:sz w:val="22"/>
        </w:rPr>
        <w:t>Prior Landlord</w:t>
      </w:r>
      <w:r>
        <w:rPr>
          <w:color w:val="000000"/>
        </w:rPr>
        <w:t>”</w:t>
      </w:r>
      <w:r>
        <w:rPr>
          <w:rFonts w:ascii="Times New Roman;sans-serif" w:hAnsi="Times New Roman;sans-serif"/>
          <w:b w:val="false"/>
          <w:color w:val="000000"/>
          <w:sz w:val="22"/>
        </w:rPr>
        <w:t>) , and Tenant are parties to that certain Industrial Lease dated December 6, 2019 (the “</w:t>
      </w:r>
      <w:r>
        <w:rPr>
          <w:rFonts w:ascii="Times New Roman;sans-serif" w:hAnsi="Times New Roman;sans-serif"/>
          <w:b/>
          <w:color w:val="000000"/>
          <w:sz w:val="22"/>
        </w:rPr>
        <w:t>Original Lease</w:t>
      </w:r>
      <w:r>
        <w:rPr>
          <w:color w:val="000000"/>
        </w:rPr>
        <w:t>”</w:t>
      </w:r>
      <w:r>
        <w:rPr>
          <w:rFonts w:ascii="Times New Roman;sans-serif" w:hAnsi="Times New Roman;sans-serif"/>
          <w:b w:val="false"/>
          <w:color w:val="000000"/>
          <w:sz w:val="22"/>
        </w:rPr>
        <w:t>) . Landlord, as successor-in-interest to Prior Landlord, and Tenant are also parties to that certain Umbrella Agreement dated December 6, 2019 among Landlord, Castilian 90, LLC (“</w:t>
      </w:r>
      <w:r>
        <w:rPr>
          <w:rFonts w:ascii="Times New Roman;sans-serif" w:hAnsi="Times New Roman;sans-serif"/>
          <w:b/>
          <w:color w:val="000000"/>
          <w:sz w:val="22"/>
        </w:rPr>
        <w:t>Castilian 90</w:t>
      </w:r>
      <w:r>
        <w:rPr>
          <w:color w:val="000000"/>
        </w:rPr>
        <w:t>”</w:t>
      </w:r>
      <w:r>
        <w:rPr>
          <w:rFonts w:ascii="Times New Roman;sans-serif" w:hAnsi="Times New Roman;sans-serif"/>
          <w:b w:val="false"/>
          <w:color w:val="000000"/>
          <w:sz w:val="22"/>
        </w:rPr>
        <w:t>) , successor-in- interest to Prior Landlord, and Castilian 50, LLC (“</w:t>
      </w:r>
      <w:r>
        <w:rPr>
          <w:rFonts w:ascii="Times New Roman;sans-serif" w:hAnsi="Times New Roman;sans-serif"/>
          <w:b/>
          <w:color w:val="000000"/>
          <w:sz w:val="22"/>
        </w:rPr>
        <w:t>Castilian 50</w:t>
      </w:r>
      <w:r>
        <w:rPr>
          <w:color w:val="000000"/>
        </w:rPr>
        <w:t>”</w:t>
      </w:r>
      <w:r>
        <w:rPr>
          <w:rFonts w:ascii="Times New Roman;sans-serif" w:hAnsi="Times New Roman;sans-serif"/>
          <w:b w:val="false"/>
          <w:color w:val="000000"/>
          <w:sz w:val="22"/>
        </w:rPr>
        <w:t>) , successor-in-interest to Prior Landlord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 , and that certain letter agreement dated as of October 18, 2020 (relating to improvement allowances) among Landlord, Castilian 90, successor-in-interest to Prior Landlord, and Castilian 50, successor-in-interest to Prior Landlord (the “</w:t>
      </w:r>
      <w:r>
        <w:rPr>
          <w:rFonts w:ascii="Times New Roman;sans-serif" w:hAnsi="Times New Roman;sans-serif"/>
          <w:b/>
          <w:color w:val="000000"/>
          <w:sz w:val="22"/>
        </w:rPr>
        <w:t>Allowance Letter Agreement</w:t>
      </w:r>
      <w:r>
        <w:rPr>
          <w:color w:val="000000"/>
        </w:rPr>
        <w:t>”</w:t>
      </w:r>
      <w:r>
        <w:rPr>
          <w:rFonts w:ascii="Times New Roman;sans-serif" w:hAnsi="Times New Roman;sans-serif"/>
          <w:b w:val="false"/>
          <w:color w:val="000000"/>
          <w:sz w:val="22"/>
        </w:rPr>
        <w:t>) .</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B.Pursuant to the Original Lease, Tenant leases from Landlord certain premises (the "</w:t>
      </w:r>
      <w:r>
        <w:rPr>
          <w:rFonts w:ascii="Times New Roman;sans-serif" w:hAnsi="Times New Roman;sans-serif"/>
          <w:b/>
          <w:color w:val="000000"/>
          <w:sz w:val="22"/>
        </w:rPr>
        <w:t>Premises</w:t>
      </w:r>
      <w:r>
        <w:rPr>
          <w:rFonts w:ascii="Times New Roman;sans-serif" w:hAnsi="Times New Roman;sans-serif"/>
          <w:b w:val="false"/>
          <w:color w:val="000000"/>
          <w:sz w:val="22"/>
        </w:rPr>
        <w:t>") consisting of 86,290 rentable square feet in that certain building commonly known as 70 Castilian Drive, in the City of Goleta, County of Santa Barbara, State of California (the “</w:t>
      </w:r>
      <w:r>
        <w:rPr>
          <w:rFonts w:ascii="Times New Roman;sans-serif" w:hAnsi="Times New Roman;sans-serif"/>
          <w:b/>
          <w:color w:val="000000"/>
          <w:sz w:val="22"/>
        </w:rPr>
        <w:t>Building</w:t>
      </w:r>
      <w:r>
        <w:rPr>
          <w:color w:val="000000"/>
        </w:rPr>
        <w:t>”</w:t>
      </w:r>
      <w:r>
        <w:rPr>
          <w:rFonts w:ascii="Times New Roman;sans-serif" w:hAnsi="Times New Roman;sans-serif"/>
          <w:b w:val="false"/>
          <w:color w:val="000000"/>
          <w:sz w:val="22"/>
        </w:rPr>
        <w:t>) . The Premises is part of that certain project (the “</w:t>
      </w:r>
      <w:r>
        <w:rPr>
          <w:rFonts w:ascii="Times New Roman;sans-serif" w:hAnsi="Times New Roman;sans-serif"/>
          <w:b/>
          <w:color w:val="000000"/>
          <w:sz w:val="22"/>
        </w:rPr>
        <w:t>Project</w:t>
      </w:r>
      <w:r>
        <w:rPr>
          <w:color w:val="000000"/>
        </w:rPr>
        <w:t>”</w:t>
      </w:r>
      <w:r>
        <w:rPr>
          <w:rFonts w:ascii="Times New Roman;sans-serif" w:hAnsi="Times New Roman;sans-serif"/>
          <w:b w:val="false"/>
          <w:color w:val="000000"/>
          <w:sz w:val="22"/>
        </w:rPr>
        <w:t>) , consisting of the Building, the parcel of land on which the Building is located (the “</w:t>
      </w:r>
      <w:r>
        <w:rPr>
          <w:rFonts w:ascii="Times New Roman;sans-serif" w:hAnsi="Times New Roman;sans-serif"/>
          <w:b/>
          <w:color w:val="000000"/>
          <w:sz w:val="22"/>
        </w:rPr>
        <w:t>70 Parcel</w:t>
      </w:r>
      <w:r>
        <w:rPr>
          <w:color w:val="000000"/>
        </w:rPr>
        <w:t>”</w:t>
      </w:r>
      <w:r>
        <w:rPr>
          <w:rFonts w:ascii="Times New Roman;sans-serif" w:hAnsi="Times New Roman;sans-serif"/>
          <w:b w:val="false"/>
          <w:color w:val="000000"/>
          <w:sz w:val="22"/>
        </w:rPr>
        <w:t>) , the improved parcel of land at 50 Castilian Drive, Goleta, California (the “</w:t>
      </w:r>
      <w:r>
        <w:rPr>
          <w:rFonts w:ascii="Times New Roman;sans-serif" w:hAnsi="Times New Roman;sans-serif"/>
          <w:b/>
          <w:color w:val="000000"/>
          <w:sz w:val="22"/>
        </w:rPr>
        <w:t>50 Parcel</w:t>
      </w:r>
      <w:r>
        <w:rPr>
          <w:color w:val="000000"/>
        </w:rPr>
        <w:t>”</w:t>
      </w:r>
      <w:r>
        <w:rPr>
          <w:rFonts w:ascii="Times New Roman;sans-serif" w:hAnsi="Times New Roman;sans-serif"/>
          <w:b w:val="false"/>
          <w:color w:val="000000"/>
          <w:sz w:val="22"/>
        </w:rPr>
        <w:t>) , and the improved parcel of land at 90 Castilian Drive, Goleta, California (the “</w:t>
      </w:r>
      <w:r>
        <w:rPr>
          <w:rFonts w:ascii="Times New Roman;sans-serif" w:hAnsi="Times New Roman;sans-serif"/>
          <w:b/>
          <w:color w:val="000000"/>
          <w:sz w:val="22"/>
        </w:rPr>
        <w:t>90 Parcel</w:t>
      </w:r>
      <w:r>
        <w:rPr>
          <w:color w:val="000000"/>
        </w:rPr>
        <w:t>”</w:t>
      </w:r>
      <w:r>
        <w:rPr>
          <w:rFonts w:ascii="Times New Roman;sans-serif" w:hAnsi="Times New Roman;sans-serif"/>
          <w:b w:val="false"/>
          <w:color w:val="000000"/>
          <w:sz w:val="22"/>
        </w:rPr>
        <w:t xml:space="preserve">) , as more particularly described in the Original Lease. The 50 Parcel, the 70 Parcel and the 90 Parcel are each depicted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C.Landlord and Tenant now desire to, among other things, (i) terminate the Umbrella Agreement and the “Existing Lease” (as defined in the Original Lease) , in their entirety; and (ii) clarify and stipulate as to certain matters relating to the non-existence of Project common areas, Project property taxes, and Project Operating Expenses, and the remaining improvement allowance for the Building, all upon the terms and conditions set forth in this Amendment.</w:t>
      </w:r>
    </w:p>
    <w:p>
      <w:pPr>
        <w:pStyle w:val="TextBody"/>
        <w:spacing w:before="4"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D.All capitalized terms used but not defined in this Amendment shall have the meanings ascribed to such terms in the Original Lease. The Original Lease, as amended by this Amendment, shall herein be referred to as the "</w:t>
      </w:r>
      <w:r>
        <w:rPr>
          <w:rFonts w:ascii="Times New Roman;sans-serif" w:hAnsi="Times New Roman;sans-serif"/>
          <w:b/>
          <w:color w:val="000000"/>
          <w:sz w:val="22"/>
        </w:rPr>
        <w:t>Lease</w:t>
      </w:r>
      <w:r>
        <w:rPr>
          <w:rFonts w:ascii="Times New Roman;sans-serif" w:hAnsi="Times New Roman;sans-serif"/>
          <w:b w:val="false"/>
          <w:color w:val="000000"/>
          <w:sz w:val="22"/>
        </w:rPr>
        <w:t>." All references in the Lease to the "Lease" shall herein refer to the Original Lease, as amended by this Amendment.</w:t>
      </w:r>
    </w:p>
    <w:p>
      <w:pPr>
        <w:pStyle w:val="TextBody"/>
        <w:spacing w:before="0" w:after="0"/>
        <w:rPr/>
      </w:pPr>
      <w:r>
        <w:rPr/>
      </w:r>
    </w:p>
    <w:p>
      <w:pPr>
        <w:pStyle w:val="TextBody"/>
        <w:spacing w:before="10"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and in consideration of the sum of One Hundred Dollars ($100) and other good and valuable consideration, the receipt and sufficiency of which are hereby acknowledged, Landlord and Tenant hereby agree as follows:</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Termination of Umbrella Agreement</w:t>
      </w:r>
      <w:r>
        <w:rPr>
          <w:rFonts w:ascii="Times New Roman;sans-serif" w:hAnsi="Times New Roman;sans-serif"/>
          <w:b w:val="false"/>
          <w:color w:val="000000"/>
          <w:sz w:val="22"/>
        </w:rPr>
        <w:t>. Tenant hereby acknowledges and agrees that Landlord has satisfied all of its obligations under the Umbrella Agreement and the Existing Lease, to Tenant’s satisfaction. Effective as of the Amendment Effective Date, the Umbrella Agreement and the Existing Lease shall immediately and automatically terminate in their entirety, and shall be null and void, with no force or effect, and, Landlord shall not have any obligations or liabilities whatsoever under or in</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287780"/>
                <wp:effectExtent l="0" t="0" r="0" b="0"/>
                <wp:wrapNone/>
                <wp:docPr id="87" name="Frame78"/>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jc w:val="both"/>
        <w:rPr/>
      </w:pPr>
      <w:r>
        <w:rPr>
          <w:rFonts w:ascii="Times New Roman;sans-serif" w:hAnsi="Times New Roman;sans-serif"/>
          <w:b w:val="false"/>
          <w:color w:val="000000"/>
          <w:sz w:val="22"/>
        </w:rPr>
        <w:t xml:space="preserve">connection with the Umbrella Agreement or the Existing Lease. For the avoidance of any doubt, no provision of the Umbrella Agreement or the Existing Lease shall survive (or otherwise be effective) from and after the Amendment Effective Date. Effective as of the Amendment Effective Date, all references in the Original Lease to the Umbrella Agreement (including, without limitation, references to the “MAC Surviving Liabilities” under the Umbrella Agreement) and all references in the Original Lease to the Existing Lease shall be null and void, with no force or effect. Concurrently with its execution of this Amendment, each of Landlord and Tenant shall execute and deliver a Termination of Umbrella Agreement, in the form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among Landlord, Tenant, Castilian 50 and Castilian 90 (the “</w:t>
      </w:r>
      <w:r>
        <w:rPr>
          <w:rFonts w:ascii="Times New Roman;sans-serif" w:hAnsi="Times New Roman;sans-serif"/>
          <w:b/>
          <w:color w:val="000000"/>
          <w:sz w:val="22"/>
        </w:rPr>
        <w:t>Umbrella Termination</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0" w:after="0"/>
        <w:ind w:left="0" w:right="0" w:hanging="721"/>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Signage</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91"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2.1Tenant hereby agrees that, notwithstanding anything to the contrary in the Original Lease, all of Tenant’s signage rights in the Original Lease shall relate solely to the 70 Parcel, and Tenant shall not have any right under the Lease to place, keep or maintain any of its signage in the 50 Parcel or the 90 Parcel.</w:t>
      </w:r>
    </w:p>
    <w:p>
      <w:pPr>
        <w:pStyle w:val="TextBody"/>
        <w:spacing w:before="3" w:after="283"/>
        <w:rPr/>
      </w:pPr>
      <w:r>
        <w:rPr/>
      </w:r>
    </w:p>
    <w:p>
      <w:pPr>
        <w:pStyle w:val="TextBody"/>
        <w:spacing w:lineRule="auto" w:line="240"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2.2Landlord and Tenant acknowledge that there are currently two (2) monument signs located solely within the 70 Parcel, and Tenant shall have the right, at its sole cost and expense, subject to City and any other required governmental approvals, to place its commercially reasonable identification signage on such monument signs located solely within the 70 Parcel. Tenant shall not have the right to use or place its signage on, or otherwise use, any other monument sign under the Lease.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Parking</w:t>
      </w:r>
      <w:r>
        <w:rPr>
          <w:rFonts w:ascii="Times New Roman;sans-serif" w:hAnsi="Times New Roman;sans-serif"/>
          <w:b w:val="false"/>
          <w:color w:val="000000"/>
          <w:sz w:val="22"/>
        </w:rPr>
        <w:t xml:space="preserve">. Effective on the Amendment Effective Date, </w:t>
      </w:r>
      <w:r>
        <w:rPr>
          <w:rFonts w:ascii="Times New Roman;sans-serif" w:hAnsi="Times New Roman;sans-serif"/>
          <w:b w:val="false"/>
          <w:color w:val="000000"/>
          <w:sz w:val="22"/>
          <w:u w:val="single"/>
        </w:rPr>
        <w:t>Section C(2)</w:t>
      </w:r>
      <w:r>
        <w:rPr>
          <w:color w:val="000000"/>
        </w:rPr>
        <w:t xml:space="preserve"> </w:t>
      </w:r>
      <w:r>
        <w:rPr>
          <w:rFonts w:ascii="Times New Roman;sans-serif" w:hAnsi="Times New Roman;sans-serif"/>
          <w:b w:val="false"/>
          <w:color w:val="000000"/>
          <w:sz w:val="22"/>
        </w:rPr>
        <w:t>of the Basic Provisions in the Original Lease (Parking) is hereby deleted in its entirety, and replaced with the following provisions of this Section 3:</w:t>
      </w:r>
    </w:p>
    <w:p>
      <w:pPr>
        <w:pStyle w:val="TextBody"/>
        <w:spacing w:before="1"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2"/>
        </w:rPr>
        <w:t>3.1From and after the Amendment Effective Date, Tenant shall have the exclusive use of a maximum total of two hundred thirty (230) unreserved parking spaces (the “</w:t>
      </w:r>
      <w:r>
        <w:rPr>
          <w:rFonts w:ascii="Times New Roman;sans-serif" w:hAnsi="Times New Roman;sans-serif"/>
          <w:b/>
          <w:color w:val="000000"/>
          <w:sz w:val="22"/>
        </w:rPr>
        <w:t>Maximum Number of Parking Spaces</w:t>
      </w:r>
      <w:r>
        <w:rPr>
          <w:color w:val="000000"/>
        </w:rPr>
        <w:t>”</w:t>
      </w:r>
      <w:r>
        <w:rPr>
          <w:rFonts w:ascii="Times New Roman;sans-serif" w:hAnsi="Times New Roman;sans-serif"/>
          <w:b w:val="false"/>
          <w:color w:val="000000"/>
          <w:sz w:val="22"/>
        </w:rPr>
        <w:t>) located in the Parking Lot (as defined in Section 3.2 below), but subject to the locations for the Parcel 50 Spaces and Parcel 90 Spaces, as defined in Section 3.2 below, except to the extent such amount of spaces is required by applicable law or any governmental authority having 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or to allocate, authorize, or allow others to use the Parking Lot in any way that decreases the Maximum Number of Parking Spaces exclusively available to the tenants of the Building. Landlord shall not authorize any other person, firm, organization or entity to use or reserve parking spaces in, and shall not allow any other person, firm, organization or entity to authorize the use of (or the reservation of parking spaces in), the Parking Lot. If parking available to Tenant in the Parking Lot is being substantially limited by the use of third parties so that the Parking Lot (together with any other parking area available to Tenant hereunder) does not meet Tenant’s normal parking needs (which comply with the terms of the Lease), Landlord and Tenant shall cooperate with one another to establish procedures and mechanisms that will prevent unauthorized parking by others in the Parking Lot. Subject to the terms of this Section 3 (including, without limitation, the Maximum Number of Parking Spaces), Tenant shall have the exclusive use of the Parking Lot without additional parking charges during the remaining Term of the Lease.</w:t>
      </w:r>
    </w:p>
    <w:p>
      <w:pPr>
        <w:pStyle w:val="TextBody"/>
        <w:spacing w:before="11"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2"/>
        </w:rPr>
        <w:t xml:space="preserve">3.2All parking spaces under the Lease (i.e., all of the Maximum Number of Parking Spaces) shall be located only in the parking lot depicted on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color w:val="000000"/>
          <w:sz w:val="22"/>
        </w:rPr>
        <w:t>Parking Lot</w:t>
      </w:r>
      <w:r>
        <w:rPr>
          <w:color w:val="000000"/>
        </w:rPr>
        <w:t>”</w:t>
      </w:r>
      <w:r>
        <w:rPr>
          <w:rFonts w:ascii="Times New Roman;sans-serif" w:hAnsi="Times New Roman;sans-serif"/>
          <w:b w:val="false"/>
          <w:color w:val="000000"/>
          <w:sz w:val="22"/>
        </w:rPr>
        <w:t>), which Parking Lot is located solely within the 70 Parcel; provided, however, twenty-seven (27) of the Maximum Number of Parking Spaces (the “</w:t>
      </w:r>
      <w:r>
        <w:rPr>
          <w:rFonts w:ascii="Times New Roman;sans-serif" w:hAnsi="Times New Roman;sans-serif"/>
          <w:b/>
          <w:color w:val="000000"/>
          <w:sz w:val="22"/>
        </w:rPr>
        <w:t>Parcel 50 Spaces</w:t>
      </w:r>
      <w:r>
        <w:rPr>
          <w:color w:val="000000"/>
        </w:rPr>
        <w:t>”</w:t>
      </w:r>
      <w:r>
        <w:rPr>
          <w:rFonts w:ascii="Times New Roman;sans-serif" w:hAnsi="Times New Roman;sans-serif"/>
          <w:b w:val="false"/>
          <w:color w:val="000000"/>
          <w:sz w:val="22"/>
        </w:rPr>
        <w:t>) shall be located in the parking lot</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287780"/>
                <wp:effectExtent l="0" t="0" r="0" b="0"/>
                <wp:wrapNone/>
                <wp:docPr id="88" name="Frame79"/>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jc w:val="both"/>
        <w:rPr/>
      </w:pPr>
      <w:r>
        <w:rPr>
          <w:rFonts w:ascii="Times New Roman;sans-serif" w:hAnsi="Times New Roman;sans-serif"/>
          <w:b w:val="false"/>
          <w:color w:val="000000"/>
          <w:sz w:val="22"/>
        </w:rPr>
        <w:t>serving the building on the 50 Parcel (the “</w:t>
      </w:r>
      <w:r>
        <w:rPr>
          <w:rFonts w:ascii="Times New Roman;sans-serif" w:hAnsi="Times New Roman;sans-serif"/>
          <w:b/>
          <w:color w:val="000000"/>
          <w:sz w:val="22"/>
        </w:rPr>
        <w:t>50 Parking Lot</w:t>
      </w:r>
      <w:r>
        <w:rPr>
          <w:color w:val="000000"/>
        </w:rPr>
        <w:t>”</w:t>
      </w:r>
      <w:r>
        <w:rPr>
          <w:rFonts w:ascii="Times New Roman;sans-serif" w:hAnsi="Times New Roman;sans-serif"/>
          <w:b w:val="false"/>
          <w:color w:val="000000"/>
          <w:sz w:val="22"/>
        </w:rPr>
        <w:t>), and six (6) of the Maximum Number of Parking Spaces (the “</w:t>
      </w:r>
      <w:r>
        <w:rPr>
          <w:rFonts w:ascii="Times New Roman;sans-serif" w:hAnsi="Times New Roman;sans-serif"/>
          <w:b/>
          <w:color w:val="000000"/>
          <w:sz w:val="22"/>
        </w:rPr>
        <w:t>Parcel 90 Spaces</w:t>
      </w:r>
      <w:r>
        <w:rPr>
          <w:color w:val="000000"/>
        </w:rPr>
        <w:t>”</w:t>
      </w:r>
      <w:r>
        <w:rPr>
          <w:rFonts w:ascii="Times New Roman;sans-serif" w:hAnsi="Times New Roman;sans-serif"/>
          <w:b w:val="false"/>
          <w:color w:val="000000"/>
          <w:sz w:val="22"/>
        </w:rPr>
        <w:t>) shall be located in the parking lot serving the building on the 90 Parcel (the “</w:t>
      </w:r>
      <w:r>
        <w:rPr>
          <w:rFonts w:ascii="Times New Roman;sans-serif" w:hAnsi="Times New Roman;sans-serif"/>
          <w:b/>
          <w:color w:val="000000"/>
          <w:sz w:val="22"/>
        </w:rPr>
        <w:t>90 Parking Lot</w:t>
      </w:r>
      <w:r>
        <w:rPr>
          <w:color w:val="000000"/>
        </w:rPr>
        <w:t>”</w:t>
      </w:r>
      <w:r>
        <w:rPr>
          <w:rFonts w:ascii="Times New Roman;sans-serif" w:hAnsi="Times New Roman;sans-serif"/>
          <w:b w:val="false"/>
          <w:color w:val="000000"/>
          <w:sz w:val="22"/>
        </w:rPr>
        <w:t xml:space="preserve">), each as depicted on </w:t>
      </w:r>
      <w:r>
        <w:rPr>
          <w:rFonts w:ascii="Times New Roman;sans-serif" w:hAnsi="Times New Roman;sans-serif"/>
          <w:b/>
          <w:color w:val="000000"/>
          <w:sz w:val="22"/>
          <w:u w:val="single"/>
        </w:rPr>
        <w:t>Exhibit C</w:t>
      </w:r>
      <w:r>
        <w:rPr>
          <w:color w:val="000000"/>
        </w:rPr>
        <w:t xml:space="preserve"> </w:t>
      </w:r>
      <w:r>
        <w:rPr>
          <w:rFonts w:ascii="Times New Roman;sans-serif" w:hAnsi="Times New Roman;sans-serif"/>
          <w:b w:val="false"/>
          <w:color w:val="000000"/>
          <w:sz w:val="22"/>
        </w:rPr>
        <w:t>attached hereto. Notwithstanding anything to the contrary in the Lease, Tenant shall not (and shall ensure its officers, directors, affiliates, partners, members, employees, agents, shareholders, representatives, subtenants, successors, assigns, visitors, licensees and invitees do not) park or use any parking area anywhere in the Project other than the Parking Lot (or, with respect to the Parcel 50 Spaces and the Parcel 90 Spaces only, the 50 Parking Lot and the 90 Parking Lot, respectively, in areas designated by Landlord). Landlord acknowledges that, so long as Tenant leases space in one or more other buildings at the Project (other than the Building), Tenant may, subject to the terms and conditions of this Section 3, allow its employees, agents, representatives and visitors at such other building(s) (“</w:t>
      </w:r>
      <w:r>
        <w:rPr>
          <w:rFonts w:ascii="Times New Roman;sans-serif" w:hAnsi="Times New Roman;sans-serif"/>
          <w:b/>
          <w:color w:val="000000"/>
          <w:sz w:val="22"/>
        </w:rPr>
        <w:t>Tenant Users</w:t>
      </w:r>
      <w:r>
        <w:rPr>
          <w:color w:val="000000"/>
        </w:rPr>
        <w:t>”</w:t>
      </w:r>
      <w:r>
        <w:rPr>
          <w:rFonts w:ascii="Times New Roman;sans-serif" w:hAnsi="Times New Roman;sans-serif"/>
          <w:b w:val="false"/>
          <w:color w:val="000000"/>
          <w:sz w:val="22"/>
        </w:rPr>
        <w:t>) to use Tenant’s unreserved parking spaces in the Parking Lot that are allocated to Tenant hereunder, provided that the amount of parking allocated to Tenant shall not be increased as a result thereof, and Tenant shall not (and shall ensure its officers, directors, affiliates, partners, members, employees, agents, shareholders, representatives, subtenants, successors, assigns, visitors, licensees and invitees, and Tenant Users, do not) use a combined aggregate total amount of parking spaces in excess of the Maximum Number of Parking Spaces.</w:t>
      </w:r>
    </w:p>
    <w:p>
      <w:pPr>
        <w:pStyle w:val="TextBody"/>
        <w:spacing w:before="0" w:after="0"/>
        <w:rPr/>
      </w:pPr>
      <w:r>
        <w:rPr/>
      </w:r>
    </w:p>
    <w:p>
      <w:pPr>
        <w:pStyle w:val="TextBody"/>
        <w:spacing w:lineRule="auto" w:line="240"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3.3In the event that Tenant assigns the Lease or subleases all or a portion of the Premises as permitted under the Lease, Tenant shall have the right to grant to the assignee or sublessee, as the case may be, the use of some or all of the parking spaces allotted to Tenant under the Lease, which such number of assigned or sublet spaces within such allotment shall be at Tenant’s sole discretion (subject to the Maximum Number of Parking Spaces limitations, and the limitations with respect to the Parcel 50 Spaces and the Parcel 90 Spaces).</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No Common Areas</w:t>
      </w:r>
      <w:r>
        <w:rPr>
          <w:rFonts w:ascii="Times New Roman;sans-serif" w:hAnsi="Times New Roman;sans-serif"/>
          <w:b w:val="false"/>
          <w:color w:val="000000"/>
          <w:sz w:val="22"/>
        </w:rPr>
        <w:t xml:space="preserve">. Landlord and Tenant hereby acknowledge, agree and stipulate that, notwithstanding anything to the contrary in the Lease, from and after the Amendment Effective Date, there are not, and shall not be, any Common Areas under the Lease and there shall be no Project Operating Expenses under </w:t>
      </w:r>
      <w:r>
        <w:rPr>
          <w:rFonts w:ascii="Times New Roman;sans-serif" w:hAnsi="Times New Roman;sans-serif"/>
          <w:b w:val="false"/>
          <w:color w:val="000000"/>
          <w:sz w:val="22"/>
          <w:u w:val="single"/>
        </w:rPr>
        <w:t>Section 7.2.3</w:t>
      </w:r>
      <w:r>
        <w:rPr>
          <w:color w:val="000000"/>
        </w:rPr>
        <w:t xml:space="preserve"> </w:t>
      </w:r>
      <w:r>
        <w:rPr>
          <w:rFonts w:ascii="Times New Roman;sans-serif" w:hAnsi="Times New Roman;sans-serif"/>
          <w:b w:val="false"/>
          <w:color w:val="000000"/>
          <w:sz w:val="22"/>
        </w:rPr>
        <w:t xml:space="preserve">of the Original Lease (but without limiting Building Operating Expenses payable by Tenant). Accordingly,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of the Original Lease (Common Areas), and references to “Common Area” in the Original Lease, are hereby deleted. Except for the tenants at the 50 Parcel and the</w:t>
      </w:r>
    </w:p>
    <w:p>
      <w:pPr>
        <w:pStyle w:val="TextBody"/>
        <w:spacing w:lineRule="auto" w:line="240" w:before="0" w:after="0"/>
        <w:jc w:val="both"/>
        <w:rPr/>
      </w:pPr>
      <w:r>
        <w:rPr>
          <w:rFonts w:ascii="Times New Roman;sans-serif" w:hAnsi="Times New Roman;sans-serif"/>
          <w:b w:val="false"/>
          <w:color w:val="000000"/>
          <w:sz w:val="22"/>
        </w:rPr>
        <w:t xml:space="preserve">90 Parcel (and their respective officers, directors, affiliates, partners, members, employees, agents, shareholders, representatives, subtenants, successors, assigns, visitors, licensees and invitees), Tenant shall have the exclusive right to use easements (if any) designated by Landlord from time to time for ingress and egress as are necessary for Tenant's use and occupancy of the Premises. With respect to the Parking Lot, and walkways and landscaping within the 70 Parcel alone, Landlord shall keep the same in good order and repair; provided, however, all costs and expenses incurred by Landlord relating to the Parking Lot (and the Parcel 50 Spaces and Parcel 90 Spaces) and such walkways and landscaping (including, without limitation, those for maintenance and repair) shall be included and paid for by Tenant as part of Building Operating Expenses, subject to any exclusions therefrom set forth in the Original Lease (without limiting any other Building Operating Expenses). Without limiting the foregoing, “Building Operating Expenses” shall include all reasonable and necessary costs and expenses incurred by Landlord in the operation, maintenance, repair and management of the 70 Parcel (including, without limitation, the Building), including, but not limited to the costs and expenses set forth in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of the Original Lease. Notwithstanding anything to the contrary in the Lease, Tenant shall not have the right to use any area within the 50 Parcel or the 90 Parcel (including, without limitation the parking lots serving the same, except for the Parcel 50 Spaces and Parcel 90 Spaces), and the occupants of the 50 Parcel and 90 Parcel shall not be permitted to use any area within the 70 Parcel. From and after the Amendment Effective Date, Tenant shall not be obligated to pay Project Operating Expenses (including property taxes) for the 50 Parcel or 90 Parcel, and Landlord and Tenant shall not have any obligations, costs, or expenses related to portions of the Project that do not pertain to any of the 70 Parcel (including, but not limited to, the Building); provided, however, Tenant shall be required to pay all Building Operating Expenses relating to the 70 Parcel (including, without</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287780"/>
                <wp:effectExtent l="0" t="0" r="0" b="0"/>
                <wp:wrapNone/>
                <wp:docPr id="89" name="Frame80"/>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jc w:val="both"/>
        <w:rPr>
          <w:rFonts w:ascii="Times New Roman;sans-serif" w:hAnsi="Times New Roman;sans-serif"/>
          <w:b w:val="false"/>
          <w:color w:val="000000"/>
          <w:sz w:val="22"/>
        </w:rPr>
      </w:pPr>
      <w:r>
        <w:rPr>
          <w:rFonts w:ascii="Times New Roman;sans-serif" w:hAnsi="Times New Roman;sans-serif"/>
          <w:b w:val="false"/>
          <w:color w:val="000000"/>
          <w:sz w:val="22"/>
        </w:rPr>
        <w:t>limitation, the Building) based on Tenant’s proportionate share of the Building set forth in the Original Lease. It is the intent of Landlord and Tenant that the 70 Parcel shall be separate from, and shall not have any public or other areas in common with, the 50 Parcel or the 90 Parcel.</w:t>
      </w:r>
    </w:p>
    <w:p>
      <w:pPr>
        <w:pStyle w:val="TextBody"/>
        <w:spacing w:before="1"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Undisbursed Improvement Allowance</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91" w:after="283"/>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5.1Notwithstanding anything to the contrary in the Lease, as of the Amendment Effective Date, there is no remaining improvement allowance under the Lease (i.e., the Aggregate Tenant Improvement Allowance), and the entire Aggregate Tenant Improvement Allowance (including, without limitation, any “Exterior Improvement Allowance”, and any “Interior Tenant Improvement Allowance”) is fully exhausted. Notwithstanding anything to the contrary in the Lease (or the Umbrella Agreement, the Existing Lease or the Allowance Letter Agreement), (a) Tenant is not entitled to any other improvement or construction contribution, reimbursement or allowance (or any credit for any unused contribution, reimbursement or allowance) under or in connection with the Lease (or the Umbrella Agreement, the Existing Lease or the Allowance Letter Agreement) or otherwise, and (b) Tenant shall not have any further rights or remedies whatsoever, and Landlord shall not have any further obligations whatsoever, under the Allowance Letter Agreement.</w:t>
      </w:r>
    </w:p>
    <w:p>
      <w:pPr>
        <w:pStyle w:val="TextBody"/>
        <w:spacing w:before="10" w:after="283"/>
        <w:rPr/>
      </w:pPr>
      <w:r>
        <w:rPr/>
      </w:r>
    </w:p>
    <w:p>
      <w:pPr>
        <w:pStyle w:val="TextBody"/>
        <w:spacing w:lineRule="auto" w:line="240" w:before="0" w:after="0"/>
        <w:ind w:left="0" w:right="0" w:firstLine="2160"/>
        <w:rPr>
          <w:rFonts w:ascii="Times New Roman;sans-serif" w:hAnsi="Times New Roman;sans-serif"/>
          <w:b w:val="false"/>
          <w:color w:val="000000"/>
          <w:sz w:val="22"/>
        </w:rPr>
      </w:pPr>
      <w:r>
        <w:rPr>
          <w:rFonts w:ascii="Times New Roman;sans-serif" w:hAnsi="Times New Roman;sans-serif"/>
          <w:b w:val="false"/>
          <w:color w:val="000000"/>
          <w:sz w:val="22"/>
        </w:rPr>
        <w:t>5.2Section 2.2.4 of Exhibit B to the Original Lease is amended by replacing the language “three (3) years following the Commencement Date” with “three (3) years and six (6) months following the Commencement Date”.</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Estoppel</w:t>
      </w:r>
      <w:r>
        <w:rPr>
          <w:rFonts w:ascii="Times New Roman;sans-serif" w:hAnsi="Times New Roman;sans-serif"/>
          <w:b w:val="false"/>
          <w:color w:val="000000"/>
          <w:sz w:val="22"/>
        </w:rPr>
        <w:t>. Tenant warrants, represents and certifies to Landlord that as of the date of this Amendment, to Tenant’s actual knowledge, (a) Landlord is not in breach or default under the Lease, and no event has occurred which, with the giving of notice or the passage of time, would constitute a breach or default by Landlord, and (b) Tenant does not have any defenses or offsets to payment of rent or other amounts or performance of its obligations under the Lease as and when same becomes due. Landlord warrants, represents and certifies to Tenant that as of the date of this Amendment, to Landlord’s actual knowledge, (i) Tenant is not in breach or default under the Lease, and no event has occurred which, with the giving of notice or the passage of time, would constitute a breach or default by Tenant, and (ii) Landlord does not have any defenses or offsets to payment of rent amounts or performance of its obligations under the Lease as and when same becomes due. Additionally, Section 3(c) of Exhibit L to the Original Lease is hereby deleted and replaced with the following: “(c) To the actual knowledge of Tenant, no party is in breach or default under the Lease. To the actual knowledge of Tenant, no event has occurred which, with the giving of notice or passage of time, or both, would constitute such a breach or default.”</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Tenant represents and warrants to Landlord that it has not dealt with any broker with respect to this Amendment. If Tenant has dealt with any broker or agent, Tenant shall be solely responsible for the payment of all fees and commissions due said broker or agent and Tenant shall protect, indemnify, hold harmless and defend Landlord from all liability in respect thereto. Landlord represents and warrants to Tenant that it has not dealt with any broker with respect to this Amendment. If Landlord has dealt with any broker or agent, Landlord shall be solely responsible for the payment of all fees and commissions due said broker or agent and Landlord shall protect, indemnify, hold harmless and defend Tenant from all liability in respect thereto. The provisions of this Section 7 shall survive any expiration or termination of the Lease.</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Tenant, and the individuals executing this Amendment on behalf of Tenant, represent and warrant to Landlord that Tenant has full power and authority to enter into this Amendment and the person signing on behalf of Tenant has been fully authorized to do so by all necessary corporate or partnership action on the part of Tenant. Landlord, and the individuals executing this Amendment on behalf of Landlord, represent and warrant to Tenant that Landlord has full power and</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287780"/>
                <wp:effectExtent l="0" t="0" r="0" b="0"/>
                <wp:wrapNone/>
                <wp:docPr id="90" name="Frame81"/>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83" w:after="283"/>
        <w:rPr>
          <w:rFonts w:ascii="Times New Roman;sans-serif" w:hAnsi="Times New Roman;sans-serif"/>
          <w:b w:val="false"/>
          <w:color w:val="000000"/>
          <w:sz w:val="22"/>
        </w:rPr>
      </w:pPr>
      <w:r>
        <w:rPr>
          <w:rFonts w:ascii="Times New Roman;sans-serif" w:hAnsi="Times New Roman;sans-serif"/>
          <w:b w:val="false"/>
          <w:color w:val="000000"/>
          <w:sz w:val="22"/>
        </w:rPr>
        <w:t>authority to enter into this Amendment and the person signing on behalf of Landlord has been fully authorized to do so by all necessary corporate or partnership action on the part of Landlord.</w:t>
      </w:r>
    </w:p>
    <w:p>
      <w:pPr>
        <w:pStyle w:val="TextBody"/>
        <w:spacing w:before="2"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Amendment may be executed in counterparts, each of which shall be deemed an original part and all of which together shall constitute a single agreement. Signatures on this Amendment sent electronically in PDF format each have the same force and effect as original ink signatures.</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Original Lease in Full Force</w:t>
      </w:r>
      <w:r>
        <w:rPr>
          <w:rFonts w:ascii="Times New Roman;sans-serif" w:hAnsi="Times New Roman;sans-serif"/>
          <w:b w:val="false"/>
          <w:color w:val="000000"/>
          <w:sz w:val="22"/>
        </w:rPr>
        <w:t>. The foregoing Recitals are deemed incorporate in and part of this Amendment. If any conflict exists between the terms and conditions of this Amendment and the terms and conditions of the Original Lease, the terms and conditions of this Amendment shall control. Except as amended by this Amendment, all other terms, covenants and conditions of the Original Lease (but not the Umbrella Agreement or the Existing Lease) shall remain in full force and effect and Landlord and Tenant hereby ratify the Original Lease (but not the Umbrella Agreement or the Existing Lease), as amended hereby.</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287780"/>
                <wp:effectExtent l="0" t="0" r="0" b="0"/>
                <wp:wrapNone/>
                <wp:docPr id="91" name="Frame82"/>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11" w:after="283"/>
        <w:rPr/>
      </w:pPr>
      <w:r>
        <w:rPr/>
      </w:r>
    </w:p>
    <w:p>
      <w:pPr>
        <w:pStyle w:val="TextBody"/>
        <w:spacing w:lineRule="auto" w:line="240" w:before="91" w:after="283"/>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Amendment is executed as of the Amendment Effective Date.</w:t>
      </w:r>
    </w:p>
    <w:p>
      <w:pPr>
        <w:pStyle w:val="TextBody"/>
        <w:spacing w:before="3" w:after="283"/>
        <w:rPr/>
      </w:pPr>
      <w:r>
        <w:rPr/>
      </w:r>
    </w:p>
    <w:p>
      <w:pPr>
        <w:pStyle w:val="TextBody"/>
        <w:spacing w:lineRule="auto" w:line="240" w:before="92" w:after="283"/>
        <w:rPr>
          <w:rFonts w:ascii="Times New Roman;sans-serif" w:hAnsi="Times New Roman;sans-serif"/>
          <w:b/>
          <w:color w:val="000000"/>
          <w:sz w:val="22"/>
        </w:rPr>
      </w:pPr>
      <w:r>
        <w:rPr>
          <w:rFonts w:ascii="Times New Roman;sans-serif" w:hAnsi="Times New Roman;sans-serif"/>
          <w:b/>
          <w:color w:val="000000"/>
          <w:sz w:val="22"/>
        </w:rPr>
        <w:t>LANDLORD:</w:t>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70,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92" w:after="283"/>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TENANT:</w:t>
      </w:r>
    </w:p>
    <w:tbl>
      <w:tblPr>
        <w:tblW w:w="3824" w:type="dxa"/>
        <w:jc w:val="left"/>
        <w:tblInd w:w="0" w:type="dxa"/>
        <w:tblCellMar>
          <w:top w:w="28" w:type="dxa"/>
          <w:left w:w="28" w:type="dxa"/>
          <w:bottom w:w="28" w:type="dxa"/>
          <w:right w:w="28" w:type="dxa"/>
        </w:tblCellMar>
      </w:tblPr>
      <w:tblGrid>
        <w:gridCol w:w="1223"/>
        <w:gridCol w:w="1076"/>
        <w:gridCol w:w="1525"/>
      </w:tblGrid>
      <w:tr>
        <w:trPr/>
        <w:tc>
          <w:tcPr>
            <w:tcW w:w="1223"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APPFOLIO, INC.,, a Delaware corporation</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92"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287780"/>
                <wp:effectExtent l="0" t="0" r="0" b="0"/>
                <wp:wrapNone/>
                <wp:docPr id="92" name="Frame83"/>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spacing w:before="7" w:after="283"/>
        <w:rPr/>
      </w:pPr>
      <w:r>
        <w:rPr/>
      </w:r>
    </w:p>
    <w:p>
      <w:pPr>
        <w:pStyle w:val="TextBody"/>
        <w:spacing w:lineRule="auto" w:line="240" w:before="92" w:after="2"/>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50 Parcel, 70 Parcel and 90 Parcel</w:t>
      </w:r>
    </w:p>
    <w:p>
      <w:pPr>
        <w:pStyle w:val="TextBody"/>
        <w:spacing w:before="0" w:after="0"/>
        <w:rPr/>
      </w:pPr>
      <w:r>
        <w:rPr/>
        <w:drawing>
          <wp:inline distT="0" distB="63500" distL="0" distR="0">
            <wp:extent cx="5829300" cy="7248525"/>
            <wp:effectExtent l="0" t="0" r="0" b="0"/>
            <wp:docPr id="9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0" descr=""/>
                    <pic:cNvPicPr>
                      <a:picLocks noChangeAspect="1" noChangeArrowheads="1"/>
                    </pic:cNvPicPr>
                  </pic:nvPicPr>
                  <pic:blipFill>
                    <a:blip r:embed="rId30"/>
                    <a:stretch>
                      <a:fillRect/>
                    </a:stretch>
                  </pic:blipFill>
                  <pic:spPr bwMode="auto">
                    <a:xfrm>
                      <a:off x="0" y="0"/>
                      <a:ext cx="5829300" cy="7248525"/>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287780"/>
                <wp:effectExtent l="0" t="0" r="0" b="0"/>
                <wp:wrapNone/>
                <wp:docPr id="94" name="Frame84"/>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11" w:after="283"/>
        <w:rPr/>
      </w:pPr>
      <w:r>
        <w:rPr/>
      </w:r>
    </w:p>
    <w:p>
      <w:pPr>
        <w:pStyle w:val="TextBody"/>
        <w:spacing w:before="0" w:after="0"/>
        <w:rPr/>
      </w:pPr>
      <w:r>
        <w:rPr/>
        <w:drawing>
          <wp:inline distT="0" distB="63500" distL="0" distR="0">
            <wp:extent cx="5438775" cy="4857750"/>
            <wp:effectExtent l="0" t="0" r="0" b="0"/>
            <wp:docPr id="9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1" descr=""/>
                    <pic:cNvPicPr>
                      <a:picLocks noChangeAspect="1" noChangeArrowheads="1"/>
                    </pic:cNvPicPr>
                  </pic:nvPicPr>
                  <pic:blipFill>
                    <a:blip r:embed="rId31"/>
                    <a:stretch>
                      <a:fillRect/>
                    </a:stretch>
                  </pic:blipFill>
                  <pic:spPr bwMode="auto">
                    <a:xfrm>
                      <a:off x="0" y="0"/>
                      <a:ext cx="5438775" cy="4857750"/>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287780"/>
                <wp:effectExtent l="0" t="0" r="0" b="0"/>
                <wp:wrapNone/>
                <wp:docPr id="96" name="Frame85"/>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Umbrella Termination</w:t>
      </w:r>
    </w:p>
    <w:p>
      <w:pPr>
        <w:pStyle w:val="TextBody"/>
        <w:spacing w:before="0" w:after="0"/>
        <w:rPr/>
      </w:pPr>
      <w:r>
        <w:rPr/>
      </w:r>
    </w:p>
    <w:p>
      <w:pPr>
        <w:pStyle w:val="TextBody"/>
        <w:spacing w:lineRule="auto" w:line="240" w:before="9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UMBRELLA TERMINATION AGREEMENT</w:t>
      </w:r>
    </w:p>
    <w:p>
      <w:pPr>
        <w:pStyle w:val="TextBody"/>
        <w:spacing w:before="0" w:after="0"/>
        <w:rPr/>
      </w:pPr>
      <w:r>
        <w:rPr/>
      </w:r>
    </w:p>
    <w:p>
      <w:pPr>
        <w:pStyle w:val="TextBody"/>
        <w:spacing w:lineRule="auto" w:line="240" w:before="92" w:after="283"/>
        <w:ind w:left="0" w:right="0" w:firstLine="720"/>
        <w:jc w:val="both"/>
        <w:rPr/>
      </w:pPr>
      <w:r>
        <w:rPr>
          <w:rFonts w:ascii="Times New Roman;sans-serif" w:hAnsi="Times New Roman;sans-serif"/>
          <w:b w:val="false"/>
          <w:color w:val="000000"/>
          <w:sz w:val="22"/>
        </w:rPr>
        <w:t>This Umbrella Termination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 dated as January 20, 2022 (the “</w:t>
      </w:r>
      <w:r>
        <w:rPr>
          <w:rFonts w:ascii="Times New Roman;sans-serif" w:hAnsi="Times New Roman;sans-serif"/>
          <w:b/>
          <w:color w:val="000000"/>
          <w:sz w:val="22"/>
        </w:rPr>
        <w:t>Termination Effective Date</w:t>
      </w:r>
      <w:r>
        <w:rPr>
          <w:color w:val="000000"/>
        </w:rPr>
        <w:t>”</w:t>
      </w:r>
      <w:r>
        <w:rPr>
          <w:rFonts w:ascii="Times New Roman;sans-serif" w:hAnsi="Times New Roman;sans-serif"/>
          <w:b w:val="false"/>
          <w:color w:val="000000"/>
          <w:sz w:val="22"/>
        </w:rPr>
        <w:t>) , is made and entered into by and between CASTILIAN 90, LLC, a Delaware limited liability company ("</w:t>
      </w:r>
      <w:r>
        <w:rPr>
          <w:rFonts w:ascii="Times New Roman;sans-serif" w:hAnsi="Times New Roman;sans-serif"/>
          <w:b/>
          <w:color w:val="000000"/>
          <w:sz w:val="22"/>
        </w:rPr>
        <w:t>Castilian 90</w:t>
      </w:r>
      <w:r>
        <w:rPr>
          <w:rFonts w:ascii="Times New Roman;sans-serif" w:hAnsi="Times New Roman;sans-serif"/>
          <w:b w:val="false"/>
          <w:color w:val="000000"/>
          <w:sz w:val="22"/>
        </w:rPr>
        <w:t>") , CASTILIAN 70, LLC, a Delaware limited liability company ("</w:t>
      </w:r>
      <w:r>
        <w:rPr>
          <w:rFonts w:ascii="Times New Roman;sans-serif" w:hAnsi="Times New Roman;sans-serif"/>
          <w:b/>
          <w:color w:val="000000"/>
          <w:sz w:val="22"/>
        </w:rPr>
        <w:t>Castilian 70</w:t>
      </w:r>
      <w:r>
        <w:rPr>
          <w:rFonts w:ascii="Times New Roman;sans-serif" w:hAnsi="Times New Roman;sans-serif"/>
          <w:b w:val="false"/>
          <w:color w:val="000000"/>
          <w:sz w:val="22"/>
        </w:rPr>
        <w:t>") , and CASTILIAN 50, LLC, a Delaware limited liability company ("</w:t>
      </w:r>
      <w:r>
        <w:rPr>
          <w:rFonts w:ascii="Times New Roman;sans-serif" w:hAnsi="Times New Roman;sans-serif"/>
          <w:b/>
          <w:color w:val="000000"/>
          <w:sz w:val="22"/>
        </w:rPr>
        <w:t>Castilian 50</w:t>
      </w:r>
      <w:r>
        <w:rPr>
          <w:rFonts w:ascii="Times New Roman;sans-serif" w:hAnsi="Times New Roman;sans-serif"/>
          <w:b w:val="false"/>
          <w:color w:val="000000"/>
          <w:sz w:val="22"/>
        </w:rPr>
        <w:t>", and, together with Castilian 70 and Castilian 90, collectively, the “Landlords”) , and APPFOLIO, INC., a Delaware corporation (“</w:t>
      </w:r>
      <w:r>
        <w:rPr>
          <w:rFonts w:ascii="Times New Roman;sans-serif" w:hAnsi="Times New Roman;sans-serif"/>
          <w:b/>
          <w:color w:val="000000"/>
          <w:sz w:val="22"/>
        </w:rPr>
        <w:t>AppFolio”</w:t>
      </w:r>
      <w:r>
        <w:rPr>
          <w:rFonts w:ascii="Times New Roman;sans-serif" w:hAnsi="Times New Roman;sans-serif"/>
          <w:b w:val="false"/>
          <w:color w:val="000000"/>
          <w:sz w:val="22"/>
        </w:rPr>
        <w:t>) .</w:t>
      </w:r>
    </w:p>
    <w:p>
      <w:pPr>
        <w:pStyle w:val="TextBody"/>
        <w:spacing w:before="8" w:after="283"/>
        <w:rPr/>
      </w:pPr>
      <w:r>
        <w:rPr/>
      </w:r>
    </w:p>
    <w:p>
      <w:pPr>
        <w:pStyle w:val="TextBody"/>
        <w:spacing w:lineRule="auto" w:line="2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11" w:after="283"/>
        <w:rPr/>
      </w:pPr>
      <w:r>
        <w:rPr/>
      </w:r>
    </w:p>
    <w:p>
      <w:pPr>
        <w:pStyle w:val="TextBody"/>
        <w:spacing w:lineRule="auto" w:line="240" w:before="0" w:after="0"/>
        <w:ind w:left="0" w:right="0" w:firstLine="720"/>
        <w:rPr/>
      </w:pPr>
      <w:r>
        <w:rPr>
          <w:rFonts w:ascii="Times New Roman;sans-serif" w:hAnsi="Times New Roman;sans-serif"/>
          <w:b w:val="false"/>
          <w:color w:val="000000"/>
          <w:sz w:val="22"/>
        </w:rPr>
        <w:t>A.Castilian 90, as landlord, currently leases to AppFolio, as tenant, space located at 90 Castilian Drive, Goleta, California, pursuant to that certain Industrial Lease dated December 6, 2019 (as amended, the "</w:t>
      </w:r>
      <w:r>
        <w:rPr>
          <w:rFonts w:ascii="Times New Roman;sans-serif" w:hAnsi="Times New Roman;sans-serif"/>
          <w:b/>
          <w:color w:val="000000"/>
          <w:sz w:val="22"/>
        </w:rPr>
        <w:t>90 Lease</w:t>
      </w:r>
      <w:r>
        <w:rPr>
          <w:rFonts w:ascii="Times New Roman;sans-serif" w:hAnsi="Times New Roman;sans-serif"/>
          <w:b w:val="false"/>
          <w:color w:val="000000"/>
          <w:sz w:val="22"/>
        </w:rPr>
        <w:t>") . Castilian 70, as landlord, currently leases to AppFolio, as tenant, space located at 70 Castilian Drive, Goleta, California, pursuant to that certain Industrial Lease dated December 6, 2019 (as amended, the "</w:t>
      </w:r>
      <w:r>
        <w:rPr>
          <w:rFonts w:ascii="Times New Roman;sans-serif" w:hAnsi="Times New Roman;sans-serif"/>
          <w:b/>
          <w:color w:val="000000"/>
          <w:sz w:val="22"/>
        </w:rPr>
        <w:t>70 Lease</w:t>
      </w:r>
      <w:r>
        <w:rPr>
          <w:rFonts w:ascii="Times New Roman;sans-serif" w:hAnsi="Times New Roman;sans-serif"/>
          <w:b w:val="false"/>
          <w:color w:val="000000"/>
          <w:sz w:val="22"/>
        </w:rPr>
        <w:t>") . Castilian 50, as landlord, currently leases to AppFolio, as tenant, space located at 50 Castilian Drive, Goleta, California, pursuant to that certain Industrial Lease dated December 6, 2019 (as amended, the "</w:t>
      </w:r>
      <w:r>
        <w:rPr>
          <w:rFonts w:ascii="Times New Roman;sans-serif" w:hAnsi="Times New Roman;sans-serif"/>
          <w:b/>
          <w:color w:val="000000"/>
          <w:sz w:val="22"/>
        </w:rPr>
        <w:t>50 Lease</w:t>
      </w:r>
      <w:r>
        <w:rPr>
          <w:rFonts w:ascii="Times New Roman;sans-serif" w:hAnsi="Times New Roman;sans-serif"/>
          <w:b w:val="false"/>
          <w:color w:val="000000"/>
          <w:sz w:val="22"/>
        </w:rPr>
        <w:t>", and, together with the 70 Lease and the 90 Lease, collectively, the "</w:t>
      </w:r>
      <w:r>
        <w:rPr>
          <w:rFonts w:ascii="Times New Roman;sans-serif" w:hAnsi="Times New Roman;sans-serif"/>
          <w:b/>
          <w:color w:val="000000"/>
          <w:sz w:val="22"/>
        </w:rPr>
        <w:t>Leases</w:t>
      </w:r>
      <w:r>
        <w:rPr>
          <w:rFonts w:ascii="Times New Roman;sans-serif" w:hAnsi="Times New Roman;sans-serif"/>
          <w:b w:val="false"/>
          <w:color w:val="000000"/>
          <w:sz w:val="22"/>
        </w:rPr>
        <w:t>") .</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B.In connection with the Leases, Castilian 90, Castilian 70 and Castilian 50, each as successor-in-interest to 50 Castilian Drive, LLC, a Delaware limited liability company, and AppFolio are parties to that certain Umbrella Agreement dated as of December 6, 2019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 .</w:t>
      </w:r>
    </w:p>
    <w:p>
      <w:pPr>
        <w:pStyle w:val="TextBody"/>
        <w:spacing w:before="9" w:after="283"/>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C.AppFolio acknowledges and agrees that the Landlords have satisfied all of their obligations under the Umbrella Agreement and the “Existing Leases” (as defined in the Umbrella Agreement) , to AppFolio’s satisfaction. The Landlords and AppFolio have determined that it is in their respective best interests to terminate the Umbrella Agreement and the Existing Leases in their entirety, upon the terms and conditions set forth in this Agreement.</w:t>
      </w:r>
    </w:p>
    <w:p>
      <w:pPr>
        <w:pStyle w:val="TextBody"/>
        <w:spacing w:before="1" w:after="283"/>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D.Capitalized terms used but not defined herein shall have their meanings set forth in the Umbrella Agreement.</w:t>
      </w:r>
    </w:p>
    <w:p>
      <w:pPr>
        <w:pStyle w:val="TextBody"/>
        <w:spacing w:before="8"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Landlords and AppFolio hereby agree as follows:</w:t>
      </w:r>
    </w:p>
    <w:p>
      <w:pPr>
        <w:pStyle w:val="TextBody"/>
        <w:spacing w:before="1" w:after="283"/>
        <w:rPr/>
      </w:pPr>
      <w:r>
        <w:rPr/>
      </w:r>
    </w:p>
    <w:p>
      <w:pPr>
        <w:pStyle w:val="TextBody"/>
        <w:spacing w:lineRule="auto" w:line="240" w:before="1" w:after="283"/>
        <w:ind w:left="0" w:right="0" w:firstLine="72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Agreement to Terminate</w:t>
      </w:r>
      <w:r>
        <w:rPr>
          <w:rFonts w:ascii="Times New Roman;sans-serif" w:hAnsi="Times New Roman;sans-serif"/>
          <w:b w:val="false"/>
          <w:color w:val="000000"/>
          <w:sz w:val="22"/>
        </w:rPr>
        <w:t>. Effective as of Termination Effective Date, the Umbrella Agreement and the Existing Leases shall immediately and automatically terminate in their entirety and shall be null and void with no force or effect whatsoever. Without limiting the foregoing, no provision of the Umbrella Agreement or any of the Existing Leases will survive such terminations, and the Landlords shall not have any liability or obligation whatsoever under or in connection with the Umbrella Agreement or the Existing Leases, including, without limitation, in connection with the MAC Surviving Liabilities (as defined in the Umbrella Agreement) , which MAC Surviving Liabilities shall be null and void, with no force or effect whatsoever, as of the Termination Effective Date. For the avoidance of doubt, the Leases shall not be affected by such terminations and shall remain in full force and effect in accordance with their terms,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287780"/>
                <wp:effectExtent l="0" t="0" r="0" b="0"/>
                <wp:wrapNone/>
                <wp:docPr id="97" name="Frame86"/>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83" w:after="283"/>
        <w:rPr>
          <w:rFonts w:ascii="Times New Roman;sans-serif" w:hAnsi="Times New Roman;sans-serif"/>
          <w:b w:val="false"/>
          <w:color w:val="000000"/>
          <w:sz w:val="22"/>
        </w:rPr>
      </w:pPr>
      <w:r>
        <w:rPr>
          <w:rFonts w:ascii="Times New Roman;sans-serif" w:hAnsi="Times New Roman;sans-serif"/>
          <w:b w:val="false"/>
          <w:color w:val="000000"/>
          <w:sz w:val="22"/>
        </w:rPr>
        <w:t>provided that the references in the Leases to the Umbrella Agreement and the Existing Leases shall be null and void, with no force or effect whatsoever, as of the Termination Effective Date.</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Each of the Landlords, on behalf of itself and its affiliates, directors, officers, shareholders, members, partners, employees, agents, representatives, successors and assigns, hereby releases AppFolio, and its affiliates, directors, officers, shareholders, members, partners, employees, agents, representatives, successors and assigns from and against any and all actions, suits, claims, damages, liabilities and obligations (collectively, “</w:t>
      </w:r>
      <w:r>
        <w:rPr>
          <w:rFonts w:ascii="Times New Roman;sans-serif" w:hAnsi="Times New Roman;sans-serif"/>
          <w:b/>
          <w:color w:val="000000"/>
          <w:sz w:val="22"/>
        </w:rPr>
        <w:t>Claims</w:t>
      </w:r>
      <w:r>
        <w:rPr>
          <w:color w:val="000000"/>
        </w:rPr>
        <w:t>”</w:t>
      </w:r>
      <w:r>
        <w:rPr>
          <w:rFonts w:ascii="Times New Roman;sans-serif" w:hAnsi="Times New Roman;sans-serif"/>
          <w:b w:val="false"/>
          <w:color w:val="000000"/>
          <w:sz w:val="22"/>
        </w:rPr>
        <w:t>) arising out of or in connection with the Umbrella Agreement or any of the Existing Leases. AppFolio on behalf of itself and its affiliates, directors, officers, shareholders, members, partners, employees, agents, representatives, successors and assigns, hereby releases each of the Landlords, and their respective affiliates, directors, officers, shareholders, members, partners, lenders, ground lessors, employees, agents, representatives, successors and assigns, from and against any and all Claims arising out of or in connection with the Umbrella Agreement or any of the Existing Leases. Each of the Landlords and AppFolio agree that there is a risk that, subsequent to the execution of this Agreement, it will suffer losses or damages which are unknown or unanticipated as of the date hereof, and the Landlords and AppFolio each hereby assume said risk and agree that the releases contained in this Section 2 shall apply to all unknown or unanticipated Claims, as well as those known and anticipated. In connection with the foregoing, the Landlords and AppFolio each hereby waives any and all rights they may have under California Civil Code Section 1542, which Section reads as follows:</w:t>
      </w:r>
    </w:p>
    <w:p>
      <w:pPr>
        <w:pStyle w:val="TextBody"/>
        <w:spacing w:before="9" w:after="283"/>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0" w:after="0"/>
        <w:rPr/>
      </w:pPr>
      <w:r>
        <w:rPr/>
      </w:r>
    </w:p>
    <w:p>
      <w:pPr>
        <w:pStyle w:val="TextBody"/>
        <w:spacing w:before="0" w:after="0"/>
        <w:rPr/>
      </w:pPr>
      <w:r>
        <w:rPr/>
      </w:r>
    </w:p>
    <w:p>
      <w:pPr>
        <w:pStyle w:val="TextBody"/>
        <w:spacing w:before="8" w:after="283"/>
        <w:rPr/>
      </w:pPr>
      <w:r>
        <w:rPr/>
        <w:drawing>
          <wp:inline distT="0" distB="63500" distL="0" distR="0">
            <wp:extent cx="1114425" cy="14605"/>
            <wp:effectExtent l="0" t="0" r="0" b="0"/>
            <wp:docPr id="9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2" descr=""/>
                    <pic:cNvPicPr>
                      <a:picLocks noChangeAspect="1" noChangeArrowheads="1"/>
                    </pic:cNvPicPr>
                  </pic:nvPicPr>
                  <pic:blipFill>
                    <a:blip r:embed="rId32"/>
                    <a:stretch>
                      <a:fillRect/>
                    </a:stretch>
                  </pic:blipFill>
                  <pic:spPr bwMode="auto">
                    <a:xfrm>
                      <a:off x="0" y="0"/>
                      <a:ext cx="1114425" cy="14605"/>
                    </a:xfrm>
                    <a:prstGeom prst="rect">
                      <a:avLst/>
                    </a:prstGeom>
                  </pic:spPr>
                </pic:pic>
              </a:graphicData>
            </a:graphic>
          </wp:inline>
        </w:drawing>
      </w:r>
      <w:r>
        <w:rPr/>
        <w:drawing>
          <wp:inline distT="0" distB="63500" distL="0" distR="0">
            <wp:extent cx="904875" cy="14605"/>
            <wp:effectExtent l="0" t="0" r="0" b="0"/>
            <wp:docPr id="9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3" descr=""/>
                    <pic:cNvPicPr>
                      <a:picLocks noChangeAspect="1" noChangeArrowheads="1"/>
                    </pic:cNvPicPr>
                  </pic:nvPicPr>
                  <pic:blipFill>
                    <a:blip r:embed="rId33"/>
                    <a:stretch>
                      <a:fillRect/>
                    </a:stretch>
                  </pic:blipFill>
                  <pic:spPr bwMode="auto">
                    <a:xfrm>
                      <a:off x="0" y="0"/>
                      <a:ext cx="904875"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90 Castilian Initials    AppFolio Initials</w:t>
      </w:r>
    </w:p>
    <w:p>
      <w:pPr>
        <w:pStyle w:val="TextBody"/>
        <w:spacing w:before="0" w:after="0"/>
        <w:rPr/>
      </w:pPr>
      <w:r>
        <w:rPr/>
      </w:r>
    </w:p>
    <w:p>
      <w:pPr>
        <w:pStyle w:val="TextBody"/>
        <w:spacing w:before="0" w:after="0"/>
        <w:rPr/>
      </w:pPr>
      <w:r>
        <w:rPr/>
      </w:r>
    </w:p>
    <w:p>
      <w:pPr>
        <w:pStyle w:val="TextBody"/>
        <w:spacing w:before="7" w:after="283"/>
        <w:rPr/>
      </w:pPr>
      <w:r>
        <w:rPr/>
        <w:drawing>
          <wp:inline distT="0" distB="63500" distL="0" distR="0">
            <wp:extent cx="1181100" cy="14605"/>
            <wp:effectExtent l="0" t="0" r="0" b="0"/>
            <wp:docPr id="10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4" descr=""/>
                    <pic:cNvPicPr>
                      <a:picLocks noChangeAspect="1" noChangeArrowheads="1"/>
                    </pic:cNvPicPr>
                  </pic:nvPicPr>
                  <pic:blipFill>
                    <a:blip r:embed="rId34"/>
                    <a:stretch>
                      <a:fillRect/>
                    </a:stretch>
                  </pic:blipFill>
                  <pic:spPr bwMode="auto">
                    <a:xfrm>
                      <a:off x="0" y="0"/>
                      <a:ext cx="1181100" cy="14605"/>
                    </a:xfrm>
                    <a:prstGeom prst="rect">
                      <a:avLst/>
                    </a:prstGeom>
                  </pic:spPr>
                </pic:pic>
              </a:graphicData>
            </a:graphic>
          </wp:inline>
        </w:drawing>
      </w:r>
      <w:r>
        <w:rPr/>
        <w:drawing>
          <wp:inline distT="0" distB="63500" distL="0" distR="0">
            <wp:extent cx="1181100" cy="14605"/>
            <wp:effectExtent l="0" t="0" r="0" b="0"/>
            <wp:docPr id="10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5" descr=""/>
                    <pic:cNvPicPr>
                      <a:picLocks noChangeAspect="1" noChangeArrowheads="1"/>
                    </pic:cNvPicPr>
                  </pic:nvPicPr>
                  <pic:blipFill>
                    <a:blip r:embed="rId35"/>
                    <a:stretch>
                      <a:fillRect/>
                    </a:stretch>
                  </pic:blipFill>
                  <pic:spPr bwMode="auto">
                    <a:xfrm>
                      <a:off x="0" y="0"/>
                      <a:ext cx="1181100"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70 Castilian Initials    50 Castilian Initials</w:t>
      </w:r>
    </w:p>
    <w:p>
      <w:pPr>
        <w:pStyle w:val="TextBody"/>
        <w:spacing w:before="0" w:after="0"/>
        <w:rPr/>
      </w:pPr>
      <w:r>
        <w:rPr/>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AppFolio hereby represents and warrants to the Landlords that (a) AppFolio has not, either voluntarily or by operation of law, heretofore assigned, encumbered or transferred all or any portion of its right, title and interest in or to the Umbrella Agreement or the Existing Leases; (b) AppFolio has full power and authority to enter into this Agreement, and to consummate the transactions contemplated hereby, and the persons signing on behalf of AppFolio have been fully authorized to do so by all necessary action on the part of AppFolio; and (c) no consent or approval of any other party is required for this Agreement to constitute a legal, valid and binding obligation of AppFolio, or to terminate the Umbrella Agreement or the Existing Leases.</w:t>
      </w:r>
    </w:p>
    <w:p>
      <w:pPr>
        <w:pStyle w:val="TextBody"/>
        <w:spacing w:before="7"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92" w:after="283"/>
        <w:ind w:left="0" w:right="0" w:firstLine="14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(and the Leases) is the entire agreement between the parties hereto with respect to the subject matter hereof. This Agreement may be amended only by an agreement in writing, signed by the Landlords and AppFolio.</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287780"/>
                <wp:effectExtent l="0" t="0" r="0" b="0"/>
                <wp:wrapNone/>
                <wp:docPr id="102" name="Frame87"/>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ind w:left="0" w:right="0" w:firstLine="14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Drafting</w:t>
      </w:r>
      <w:r>
        <w:rPr>
          <w:rFonts w:ascii="Times New Roman;sans-serif" w:hAnsi="Times New Roman;sans-serif"/>
          <w:b w:val="false"/>
          <w:color w:val="000000"/>
          <w:sz w:val="22"/>
        </w:rPr>
        <w:t>. The foregoing Recitals are deemed incorporate in and part of this Agreement. Each party hereto has cooperated and participated in the drafting and preparation of this Agreement, and in any construction of this Agreement, the same shall not be construed against either party based on its alleged role as draftsperson. Section and subsection headings contained in this Agreement are for purposes of identification and reference only and shall not affect in any way the meaning or interpretation of any provision of this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All representations, warranties and agreements in this Agreement shall survive termination of the Umbrella Agreement and the Existing Leases, and shall not be merged with any other document or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4.4</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In the event of any action for breach of, or to enforce the provisions of this Agreement, the prevailing party in such action shall be entitled to reasonable attorneys’ fees, costs, and expenses and reasonable attorneys’ fees on appeal or other judicial proceedings.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4.5</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provisions of this Agreement shall be binding upon and inure to the benefit of the parties hereto, and to all of their respective successors and assigns.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4.6</w:t>
      </w:r>
      <w:r>
        <w:rPr>
          <w:rFonts w:ascii="Times New Roman;sans-serif" w:hAnsi="Times New Roman;sans-serif"/>
          <w:b w:val="false"/>
          <w:color w:val="000000"/>
          <w:sz w:val="22"/>
          <w:u w:val="single"/>
        </w:rPr>
        <w:t>California La</w:t>
      </w:r>
      <w:r>
        <w:rPr>
          <w:rFonts w:ascii="Times New Roman;sans-serif" w:hAnsi="Times New Roman;sans-serif"/>
          <w:b w:val="false"/>
          <w:color w:val="000000"/>
          <w:sz w:val="22"/>
        </w:rPr>
        <w:t>w. This Agreement shall be governed by and construed in accordance with California law. Venue for any action hereunder or relating hereto shall solely be in the County of Santa Barbara.</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4.7</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Agreement may be executed in duplicate counterparts, each of which shall be deemed an original, but which, when taken together, shall constitute one and the same instrument. A facsimile signature or a PDF or other electronic format signature shall each be as binding, and have the same force and effect, as an original ink signature.</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4.9</w:t>
      </w:r>
      <w:r>
        <w:rPr>
          <w:rFonts w:ascii="Times New Roman;sans-serif" w:hAnsi="Times New Roman;sans-serif"/>
          <w:b w:val="false"/>
          <w:color w:val="000000"/>
          <w:sz w:val="22"/>
          <w:u w:val="single"/>
        </w:rPr>
        <w:t>Time of the Essence</w:t>
      </w:r>
      <w:r>
        <w:rPr>
          <w:rFonts w:ascii="Times New Roman;sans-serif" w:hAnsi="Times New Roman;sans-serif"/>
          <w:b w:val="false"/>
          <w:color w:val="000000"/>
          <w:sz w:val="22"/>
        </w:rPr>
        <w:t>. Time is of the essence with respect to this Agreement and all obligations hereunder.</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4.10</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Each party hereto shall, from time to time, upon the request of another party hereto, execute, acknowledge and deliver all such further agreements and other instruments as may be reasonably required to further evidence the terms of this Agreement.</w:t>
      </w:r>
    </w:p>
    <w:p>
      <w:pPr>
        <w:pStyle w:val="TextBody"/>
        <w:spacing w:before="2"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87780"/>
                <wp:effectExtent l="0" t="0" r="0" b="0"/>
                <wp:wrapNone/>
                <wp:docPr id="103" name="Frame88"/>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83"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Landlords and AppFolio have entered into this Agreement as of the Termination Effective Date.</w:t>
      </w:r>
    </w:p>
    <w:p>
      <w:pPr>
        <w:pStyle w:val="TextBody"/>
        <w:spacing w:before="0" w:after="0"/>
        <w:rPr/>
      </w:pPr>
      <w:r>
        <w:rPr/>
      </w:r>
    </w:p>
    <w:p>
      <w:pPr>
        <w:pStyle w:val="TextBody"/>
        <w:spacing w:before="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90</w:t>
      </w:r>
      <w:r>
        <w:rPr>
          <w:color w:val="000000"/>
        </w:rPr>
        <w:t>”</w:t>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CASTILIAN 90, LLC, a Delaware limited liability company</w:t>
      </w:r>
    </w:p>
    <w:p>
      <w:pPr>
        <w:pStyle w:val="TextBody"/>
        <w:spacing w:before="0" w:after="0"/>
        <w:rPr/>
      </w:pPr>
      <w:r>
        <w:rPr/>
      </w:r>
    </w:p>
    <w:p>
      <w:pPr>
        <w:pStyle w:val="TextBody"/>
        <w:spacing w:before="0" w:after="0"/>
        <w:rPr/>
      </w:pPr>
      <w:r>
        <w:rPr/>
      </w:r>
    </w:p>
    <w:p>
      <w:pPr>
        <w:pStyle w:val="TextBody"/>
        <w:spacing w:lineRule="auto" w:line="240" w:before="209"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1" w:after="283"/>
        <w:rPr/>
      </w:pPr>
      <w:r>
        <w:rPr/>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2"/>
        </w:rPr>
        <w:t>CASTILIAN 70</w:t>
      </w:r>
      <w:r>
        <w:rPr>
          <w:color w:val="000000"/>
        </w:rPr>
        <w:t>”</w:t>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CASTILIAN 70, LLC, a Delaware limited liability company</w:t>
      </w:r>
    </w:p>
    <w:p>
      <w:pPr>
        <w:pStyle w:val="TextBody"/>
        <w:spacing w:before="0" w:after="0"/>
        <w:rPr/>
      </w:pPr>
      <w:r>
        <w:rPr/>
      </w:r>
    </w:p>
    <w:p>
      <w:pPr>
        <w:pStyle w:val="TextBody"/>
        <w:spacing w:before="0" w:after="0"/>
        <w:rPr/>
      </w:pPr>
      <w:r>
        <w:rPr/>
      </w:r>
    </w:p>
    <w:p>
      <w:pPr>
        <w:pStyle w:val="TextBody"/>
        <w:spacing w:lineRule="auto" w:line="240" w:before="209"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rPr/>
      </w:pPr>
      <w:r>
        <w:rPr/>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50</w:t>
      </w:r>
      <w:r>
        <w:rPr>
          <w:color w:val="000000"/>
        </w:rPr>
        <w: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CASTILIAN 50, LLC, a Delaware limited liability company</w:t>
      </w:r>
    </w:p>
    <w:p>
      <w:pPr>
        <w:pStyle w:val="TextBody"/>
        <w:spacing w:before="0" w:after="0"/>
        <w:rPr/>
      </w:pPr>
      <w:r>
        <w:rPr/>
      </w:r>
    </w:p>
    <w:p>
      <w:pPr>
        <w:pStyle w:val="TextBody"/>
        <w:spacing w:before="0" w:after="0"/>
        <w:rPr/>
      </w:pPr>
      <w:r>
        <w:rPr/>
      </w:r>
    </w:p>
    <w:p>
      <w:pPr>
        <w:pStyle w:val="TextBody"/>
        <w:spacing w:lineRule="auto" w:line="240" w:before="205"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27" w:after="283"/>
        <w:rPr/>
      </w:pPr>
      <w:r>
        <w:rPr/>
      </w:r>
    </w:p>
    <w:p>
      <w:pPr>
        <w:pStyle w:val="TextBody"/>
        <w:spacing w:lineRule="auto" w:line="619" w:before="0" w:after="0"/>
        <w:rPr/>
      </w:pPr>
      <w:r>
        <w:rPr>
          <w:color w:val="000000"/>
        </w:rPr>
        <w:t>“</w:t>
      </w:r>
      <w:r>
        <w:rPr>
          <w:rFonts w:ascii="Times New Roman;sans-serif" w:hAnsi="Times New Roman;sans-serif"/>
          <w:b/>
          <w:color w:val="000000"/>
          <w:sz w:val="22"/>
        </w:rPr>
        <w:t>APPFOLIO</w:t>
      </w:r>
      <w:r>
        <w:rPr>
          <w:color w:val="000000"/>
        </w:rPr>
        <w:t xml:space="preserve">” </w:t>
      </w:r>
      <w:r>
        <w:rPr>
          <w:rFonts w:ascii="Times New Roman;sans-serif" w:hAnsi="Times New Roman;sans-serif"/>
          <w:b w:val="false"/>
          <w:color w:val="000000"/>
          <w:sz w:val="22"/>
        </w:rPr>
        <w:t>APPFOLIO, INC.,</w:t>
      </w:r>
    </w:p>
    <w:p>
      <w:pPr>
        <w:pStyle w:val="TextBody"/>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before="0" w:after="0"/>
        <w:rPr/>
      </w:pPr>
      <w:r>
        <w:rPr/>
      </w:r>
    </w:p>
    <w:p>
      <w:pPr>
        <w:pStyle w:val="TextBody"/>
        <w:spacing w:before="0" w:after="0"/>
        <w:rPr/>
      </w:pPr>
      <w:r>
        <w:rPr/>
      </w:r>
    </w:p>
    <w:p>
      <w:pPr>
        <w:pStyle w:val="TextBody"/>
        <w:spacing w:lineRule="auto" w:line="240" w:before="208"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87780"/>
                <wp:effectExtent l="0" t="0" r="0" b="0"/>
                <wp:wrapNone/>
                <wp:docPr id="104" name="Frame89"/>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C</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70 Castilian Parking Area</w:t>
      </w:r>
    </w:p>
    <w:p>
      <w:pPr>
        <w:pStyle w:val="TextBody"/>
        <w:spacing w:before="0" w:after="0"/>
        <w:rPr/>
      </w:pPr>
      <w:r>
        <w:rPr/>
      </w:r>
    </w:p>
    <w:p>
      <w:pPr>
        <w:pStyle w:val="TextBody"/>
        <w:spacing w:before="1" w:after="283"/>
        <w:rPr/>
      </w:pPr>
      <w:r>
        <w:rPr/>
        <w:drawing>
          <wp:inline distT="0" distB="63500" distL="0" distR="0">
            <wp:extent cx="5886450" cy="4381500"/>
            <wp:effectExtent l="0" t="0" r="0" b="0"/>
            <wp:docPr id="10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6" descr=""/>
                    <pic:cNvPicPr>
                      <a:picLocks noChangeAspect="1" noChangeArrowheads="1"/>
                    </pic:cNvPicPr>
                  </pic:nvPicPr>
                  <pic:blipFill>
                    <a:blip r:embed="rId36"/>
                    <a:stretch>
                      <a:fillRect/>
                    </a:stretch>
                  </pic:blipFill>
                  <pic:spPr bwMode="auto">
                    <a:xfrm>
                      <a:off x="0" y="0"/>
                      <a:ext cx="5886450" cy="4381500"/>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287780"/>
                <wp:effectExtent l="0" t="0" r="0" b="0"/>
                <wp:wrapNone/>
                <wp:docPr id="106" name="Frame90"/>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4" w:after="283"/>
        <w:rPr/>
      </w:pPr>
      <w:r>
        <w:rPr/>
      </w:r>
    </w:p>
    <w:p>
      <w:pPr>
        <w:pStyle w:val="TextBody"/>
        <w:spacing w:before="0" w:after="0"/>
        <w:rPr/>
      </w:pPr>
      <w:r>
        <w:rPr/>
        <w:drawing>
          <wp:inline distT="0" distB="63500" distL="0" distR="0">
            <wp:extent cx="5676900" cy="6619875"/>
            <wp:effectExtent l="0" t="0" r="0" b="0"/>
            <wp:docPr id="10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7" descr=""/>
                    <pic:cNvPicPr>
                      <a:picLocks noChangeAspect="1" noChangeArrowheads="1"/>
                    </pic:cNvPicPr>
                  </pic:nvPicPr>
                  <pic:blipFill>
                    <a:blip r:embed="rId37"/>
                    <a:stretch>
                      <a:fillRect/>
                    </a:stretch>
                  </pic:blipFill>
                  <pic:spPr bwMode="auto">
                    <a:xfrm>
                      <a:off x="0" y="0"/>
                      <a:ext cx="5676900" cy="6619875"/>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287780"/>
                <wp:effectExtent l="0" t="0" r="0" b="0"/>
                <wp:wrapNone/>
                <wp:docPr id="108" name="Frame91"/>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 w:after="283"/>
        <w:rPr/>
      </w:pPr>
      <w:r>
        <w:rPr/>
      </w:r>
    </w:p>
    <w:p>
      <w:pPr>
        <w:pStyle w:val="TextBody"/>
        <w:spacing w:before="0" w:after="0"/>
        <w:rPr/>
      </w:pPr>
      <w:r>
        <w:rPr/>
        <w:drawing>
          <wp:inline distT="0" distB="63500" distL="0" distR="0">
            <wp:extent cx="5934075" cy="5086350"/>
            <wp:effectExtent l="0" t="0" r="0" b="0"/>
            <wp:docPr id="10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8" descr=""/>
                    <pic:cNvPicPr>
                      <a:picLocks noChangeAspect="1" noChangeArrowheads="1"/>
                    </pic:cNvPicPr>
                  </pic:nvPicPr>
                  <pic:blipFill>
                    <a:blip r:embed="rId38"/>
                    <a:stretch>
                      <a:fillRect/>
                    </a:stretch>
                  </pic:blipFill>
                  <pic:spPr bwMode="auto">
                    <a:xfrm>
                      <a:off x="0" y="0"/>
                      <a:ext cx="5934075" cy="5086350"/>
                    </a:xfrm>
                    <a:prstGeom prst="rect">
                      <a:avLst/>
                    </a:prstGeom>
                  </pic:spPr>
                </pic:pic>
              </a:graphicData>
            </a:graphic>
          </wp:inline>
        </w:drawing>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10.6</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287780"/>
                <wp:effectExtent l="0" t="0" r="0" b="0"/>
                <wp:wrapNone/>
                <wp:docPr id="110" name="Frame92"/>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412.9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Castilian-AppFolio-First Amendment to Industrial Lease (Final)</w:t>
                            </w:r>
                          </w:p>
                        </w:tc>
                      </w:tr>
                    </w:tbl>
                    <w:p>
                      <w:pPr>
                        <w:pStyle w:val="TextBody"/>
                        <w:spacing w:before="0" w:after="283"/>
                        <w:rPr/>
                      </w:pPr>
                      <w:r>
                        <w:rPr/>
                      </w:r>
                    </w:p>
                  </w:txbxContent>
                </v:textbox>
              </v:rect>
            </w:pict>
          </mc:Fallback>
        </mc:AlternateContent>
      </w:r>
    </w:p>
    <w:p>
      <w:pPr>
        <w:pStyle w:val="TextBody"/>
        <w:spacing w:lineRule="auto" w:line="240" w:before="9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FIRST AMENDMENT TO INDUSTRIAL LEASE</w:t>
      </w:r>
    </w:p>
    <w:p>
      <w:pPr>
        <w:pStyle w:val="TextBody"/>
        <w:spacing w:before="0" w:after="0"/>
        <w:rPr/>
      </w:pPr>
      <w:r>
        <w:rPr/>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00"/>
          <w:sz w:val="22"/>
        </w:rPr>
        <w:t>This First Amendment to Industrial Lease (this "</w:t>
      </w:r>
      <w:r>
        <w:rPr>
          <w:rFonts w:ascii="Times New Roman;sans-serif" w:hAnsi="Times New Roman;sans-serif"/>
          <w:b/>
          <w:color w:val="000000"/>
          <w:sz w:val="22"/>
        </w:rPr>
        <w:t>Amendment</w:t>
      </w:r>
      <w:r>
        <w:rPr>
          <w:rFonts w:ascii="Times New Roman;sans-serif" w:hAnsi="Times New Roman;sans-serif"/>
          <w:b w:val="false"/>
          <w:color w:val="000000"/>
          <w:sz w:val="22"/>
        </w:rPr>
        <w:t>") is made and entered into as of February 10, 2022 (the “</w:t>
      </w:r>
      <w:r>
        <w:rPr>
          <w:rFonts w:ascii="Times New Roman;sans-serif" w:hAnsi="Times New Roman;sans-serif"/>
          <w:b/>
          <w:color w:val="000000"/>
          <w:sz w:val="22"/>
        </w:rPr>
        <w:t>Amendment Effective Date</w:t>
      </w:r>
      <w:r>
        <w:rPr>
          <w:color w:val="000000"/>
        </w:rPr>
        <w:t>”</w:t>
      </w:r>
      <w:r>
        <w:rPr>
          <w:rFonts w:ascii="Times New Roman;sans-serif" w:hAnsi="Times New Roman;sans-serif"/>
          <w:b w:val="false"/>
          <w:color w:val="000000"/>
          <w:sz w:val="22"/>
        </w:rPr>
        <w:t>), by and between CASTILIAN 90, LLC, a Delaware limited liability company ("</w:t>
      </w:r>
      <w:r>
        <w:rPr>
          <w:rFonts w:ascii="Times New Roman;sans-serif" w:hAnsi="Times New Roman;sans-serif"/>
          <w:b/>
          <w:color w:val="000000"/>
          <w:sz w:val="22"/>
        </w:rPr>
        <w:t>Landlord</w:t>
      </w:r>
      <w:r>
        <w:rPr>
          <w:rFonts w:ascii="Times New Roman;sans-serif" w:hAnsi="Times New Roman;sans-serif"/>
          <w:b w:val="false"/>
          <w:color w:val="000000"/>
          <w:sz w:val="22"/>
        </w:rPr>
        <w:t>"), and APPFOLIO, INC., a Delaware corporation ("</w:t>
      </w:r>
      <w:r>
        <w:rPr>
          <w:rFonts w:ascii="Times New Roman;sans-serif" w:hAnsi="Times New Roman;sans-serif"/>
          <w:b/>
          <w:color w:val="000000"/>
          <w:sz w:val="22"/>
        </w:rPr>
        <w:t>Tenant</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3"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A.Landlord, as successor-in-interest to 50 Castilian Drive, LLC (“</w:t>
      </w:r>
      <w:r>
        <w:rPr>
          <w:rFonts w:ascii="Times New Roman;sans-serif" w:hAnsi="Times New Roman;sans-serif"/>
          <w:b/>
          <w:color w:val="000000"/>
          <w:sz w:val="22"/>
        </w:rPr>
        <w:t>Prior Landlord</w:t>
      </w:r>
      <w:r>
        <w:rPr>
          <w:color w:val="000000"/>
        </w:rPr>
        <w:t>”</w:t>
      </w:r>
      <w:r>
        <w:rPr>
          <w:rFonts w:ascii="Times New Roman;sans-serif" w:hAnsi="Times New Roman;sans-serif"/>
          <w:b w:val="false"/>
          <w:color w:val="000000"/>
          <w:sz w:val="22"/>
        </w:rPr>
        <w:t>), and Tenant are parties to that certain Industrial Lease dated December 6, 2019 (the “</w:t>
      </w:r>
      <w:r>
        <w:rPr>
          <w:rFonts w:ascii="Times New Roman;sans-serif" w:hAnsi="Times New Roman;sans-serif"/>
          <w:b/>
          <w:color w:val="000000"/>
          <w:sz w:val="22"/>
        </w:rPr>
        <w:t>Original Lease</w:t>
      </w:r>
      <w:r>
        <w:rPr>
          <w:color w:val="000000"/>
        </w:rPr>
        <w:t>”</w:t>
      </w:r>
      <w:r>
        <w:rPr>
          <w:rFonts w:ascii="Times New Roman;sans-serif" w:hAnsi="Times New Roman;sans-serif"/>
          <w:b w:val="false"/>
          <w:color w:val="000000"/>
          <w:sz w:val="22"/>
        </w:rPr>
        <w:t>). Landlord, as successor-in-interest to Prior Landlord, and Tenant are also parties to that certain Umbrella Agreement dated December 6, 2019 among Landlord, Castilian 70, LLC (“</w:t>
      </w:r>
      <w:r>
        <w:rPr>
          <w:rFonts w:ascii="Times New Roman;sans-serif" w:hAnsi="Times New Roman;sans-serif"/>
          <w:b/>
          <w:color w:val="000000"/>
          <w:sz w:val="22"/>
        </w:rPr>
        <w:t>Castilian 70</w:t>
      </w:r>
      <w:r>
        <w:rPr>
          <w:color w:val="000000"/>
        </w:rPr>
        <w:t>”</w:t>
      </w:r>
      <w:r>
        <w:rPr>
          <w:rFonts w:ascii="Times New Roman;sans-serif" w:hAnsi="Times New Roman;sans-serif"/>
          <w:b w:val="false"/>
          <w:color w:val="000000"/>
          <w:sz w:val="22"/>
        </w:rPr>
        <w:t>), successor-in- interest to Prior Landlord, and Castilian 50, LLC (“</w:t>
      </w:r>
      <w:r>
        <w:rPr>
          <w:rFonts w:ascii="Times New Roman;sans-serif" w:hAnsi="Times New Roman;sans-serif"/>
          <w:b/>
          <w:color w:val="000000"/>
          <w:sz w:val="22"/>
        </w:rPr>
        <w:t>Castilian 50</w:t>
      </w:r>
      <w:r>
        <w:rPr>
          <w:color w:val="000000"/>
        </w:rPr>
        <w:t>”</w:t>
      </w:r>
      <w:r>
        <w:rPr>
          <w:rFonts w:ascii="Times New Roman;sans-serif" w:hAnsi="Times New Roman;sans-serif"/>
          <w:b w:val="false"/>
          <w:color w:val="000000"/>
          <w:sz w:val="22"/>
        </w:rPr>
        <w:t>), successor-in-interest to Prior Landlord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 and that certain letter agreement dated as of October 18, 2020 (relating to improvement allowances) among Landlord, Castilian 70, successor-in-interest to Prior Landlord, and Castilian 50, successor-in-interest to Prior Landlord (the “</w:t>
      </w:r>
      <w:r>
        <w:rPr>
          <w:rFonts w:ascii="Times New Roman;sans-serif" w:hAnsi="Times New Roman;sans-serif"/>
          <w:b/>
          <w:color w:val="000000"/>
          <w:sz w:val="22"/>
        </w:rPr>
        <w:t>Allowance Letter Agreement</w:t>
      </w:r>
      <w:r>
        <w:rPr>
          <w:color w:val="000000"/>
        </w:rPr>
        <w:t>”</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0" w:after="0"/>
        <w:ind w:left="0" w:right="0" w:firstLine="1440"/>
        <w:rPr/>
      </w:pPr>
      <w:r>
        <w:rPr>
          <w:rFonts w:ascii="Times New Roman;sans-serif" w:hAnsi="Times New Roman;sans-serif"/>
          <w:b w:val="false"/>
          <w:color w:val="000000"/>
          <w:sz w:val="22"/>
        </w:rPr>
        <w:t>B.Pursuant to the Original Lease, Tenant leases from Landlord certain premises (the "</w:t>
      </w:r>
      <w:r>
        <w:rPr>
          <w:rFonts w:ascii="Times New Roman;sans-serif" w:hAnsi="Times New Roman;sans-serif"/>
          <w:b/>
          <w:color w:val="000000"/>
          <w:sz w:val="22"/>
        </w:rPr>
        <w:t>Premises</w:t>
      </w:r>
      <w:r>
        <w:rPr>
          <w:rFonts w:ascii="Times New Roman;sans-serif" w:hAnsi="Times New Roman;sans-serif"/>
          <w:b w:val="false"/>
          <w:color w:val="000000"/>
          <w:sz w:val="22"/>
        </w:rPr>
        <w:t>") consisting of 35,960 rentable square feet in that certain building commonly known as 90 Castilian Drive, in the City of Goleta, County of Santa Barbara, State of California (the “</w:t>
      </w:r>
      <w:r>
        <w:rPr>
          <w:rFonts w:ascii="Times New Roman;sans-serif" w:hAnsi="Times New Roman;sans-serif"/>
          <w:b/>
          <w:color w:val="000000"/>
          <w:sz w:val="22"/>
        </w:rPr>
        <w:t>Building</w:t>
      </w:r>
      <w:r>
        <w:rPr>
          <w:color w:val="000000"/>
        </w:rPr>
        <w:t>”</w:t>
      </w:r>
      <w:r>
        <w:rPr>
          <w:rFonts w:ascii="Times New Roman;sans-serif" w:hAnsi="Times New Roman;sans-serif"/>
          <w:b w:val="false"/>
          <w:color w:val="000000"/>
          <w:sz w:val="22"/>
        </w:rPr>
        <w:t>). The Premises is part of that certain project (the “</w:t>
      </w:r>
      <w:r>
        <w:rPr>
          <w:rFonts w:ascii="Times New Roman;sans-serif" w:hAnsi="Times New Roman;sans-serif"/>
          <w:b/>
          <w:color w:val="000000"/>
          <w:sz w:val="22"/>
        </w:rPr>
        <w:t>Project</w:t>
      </w:r>
      <w:r>
        <w:rPr>
          <w:color w:val="000000"/>
        </w:rPr>
        <w:t>”</w:t>
      </w:r>
      <w:r>
        <w:rPr>
          <w:rFonts w:ascii="Times New Roman;sans-serif" w:hAnsi="Times New Roman;sans-serif"/>
          <w:b w:val="false"/>
          <w:color w:val="000000"/>
          <w:sz w:val="22"/>
        </w:rPr>
        <w:t>), consisting of the Building, the parcel of land on which the Building is located (the “</w:t>
      </w:r>
      <w:r>
        <w:rPr>
          <w:rFonts w:ascii="Times New Roman;sans-serif" w:hAnsi="Times New Roman;sans-serif"/>
          <w:b/>
          <w:color w:val="000000"/>
          <w:sz w:val="22"/>
        </w:rPr>
        <w:t>90 Parcel</w:t>
      </w:r>
      <w:r>
        <w:rPr>
          <w:color w:val="000000"/>
        </w:rPr>
        <w:t>”</w:t>
      </w:r>
      <w:r>
        <w:rPr>
          <w:rFonts w:ascii="Times New Roman;sans-serif" w:hAnsi="Times New Roman;sans-serif"/>
          <w:b w:val="false"/>
          <w:color w:val="000000"/>
          <w:sz w:val="22"/>
        </w:rPr>
        <w:t>), the improved parcel of land at 50 Castilian Drive, Goleta, California (the “</w:t>
      </w:r>
      <w:r>
        <w:rPr>
          <w:rFonts w:ascii="Times New Roman;sans-serif" w:hAnsi="Times New Roman;sans-serif"/>
          <w:b/>
          <w:color w:val="000000"/>
          <w:sz w:val="22"/>
        </w:rPr>
        <w:t>50 Parcel</w:t>
      </w:r>
      <w:r>
        <w:rPr>
          <w:color w:val="000000"/>
        </w:rPr>
        <w:t>”</w:t>
      </w:r>
      <w:r>
        <w:rPr>
          <w:rFonts w:ascii="Times New Roman;sans-serif" w:hAnsi="Times New Roman;sans-serif"/>
          <w:b w:val="false"/>
          <w:color w:val="000000"/>
          <w:sz w:val="22"/>
        </w:rPr>
        <w:t>), and the improved parcel of land at 70 Castilian Drive, Goleta, California (the “</w:t>
      </w:r>
      <w:r>
        <w:rPr>
          <w:rFonts w:ascii="Times New Roman;sans-serif" w:hAnsi="Times New Roman;sans-serif"/>
          <w:b/>
          <w:color w:val="000000"/>
          <w:sz w:val="22"/>
        </w:rPr>
        <w:t>70 Parcel</w:t>
      </w:r>
      <w:r>
        <w:rPr>
          <w:color w:val="000000"/>
        </w:rPr>
        <w:t>”</w:t>
      </w:r>
      <w:r>
        <w:rPr>
          <w:rFonts w:ascii="Times New Roman;sans-serif" w:hAnsi="Times New Roman;sans-serif"/>
          <w:b w:val="false"/>
          <w:color w:val="000000"/>
          <w:sz w:val="22"/>
        </w:rPr>
        <w:t xml:space="preserve">), as more particularly described in the Original Lease. The 50 Parcel, the 70 Parcel and the 90 Parcel are each depicted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C.Landlord and Tenant now desire to, among other things, (i) terminate the Umbrella Agreement and the “Existing Lease” (as defined in the Original Lease), in their entirety; (ii) have Landlord perform certain improvements to the roof and HVAC systems of the Building; and (iii) clarify and stipulate as to certain matters relating to the non-existence of Project common areas, Project property taxes, and Project Operating Expenses, and the remaining improvement allowance for the Building, all upon the terms and conditions set forth in this Amendment.</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2"/>
        </w:rPr>
        <w:t>D.All capitalized terms used but not defined in this Amendment shall have the meanings ascribed to such terms in the Original Lease. The Original Lease, as amended by this Amendment, shall herein be referred to as the "</w:t>
      </w:r>
      <w:r>
        <w:rPr>
          <w:rFonts w:ascii="Times New Roman;sans-serif" w:hAnsi="Times New Roman;sans-serif"/>
          <w:b/>
          <w:color w:val="000000"/>
          <w:sz w:val="22"/>
        </w:rPr>
        <w:t>Lease</w:t>
      </w:r>
      <w:r>
        <w:rPr>
          <w:rFonts w:ascii="Times New Roman;sans-serif" w:hAnsi="Times New Roman;sans-serif"/>
          <w:b w:val="false"/>
          <w:color w:val="000000"/>
          <w:sz w:val="22"/>
        </w:rPr>
        <w:t>." All references in the Lease to the "Lease" shall herein refer to the Original Lease, as amended by this Amendment.</w:t>
      </w:r>
    </w:p>
    <w:p>
      <w:pPr>
        <w:pStyle w:val="TextBody"/>
        <w:spacing w:before="0" w:after="0"/>
        <w:rPr/>
      </w:pPr>
      <w:r>
        <w:rPr/>
      </w:r>
    </w:p>
    <w:p>
      <w:pPr>
        <w:pStyle w:val="TextBody"/>
        <w:spacing w:before="4"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and in consideration of the sum of One Hundred Dollars ($100) and other good and valuable consideration, the receipt and sufficiency of which are hereby acknowledged, Landlord and Tenant hereby agree as follows: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Termination of Umbrella Agreement</w:t>
      </w:r>
      <w:r>
        <w:rPr>
          <w:rFonts w:ascii="Times New Roman;sans-serif" w:hAnsi="Times New Roman;sans-serif"/>
          <w:b w:val="false"/>
          <w:color w:val="000000"/>
          <w:sz w:val="22"/>
        </w:rPr>
        <w:t>. Tenant hereby acknowledges and agrees that Landlord has satisfied all of its obligations under the Umbrella Agreement and the Existing Lease, to Tenant’s satisfaction. Effective as of the Amendment Effective Date, the Umbrella Agreement and the Existing Lease shall immediately and automatically terminate in their entirety, and shall be null and void,</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287780"/>
                <wp:effectExtent l="0" t="0" r="0" b="0"/>
                <wp:wrapNone/>
                <wp:docPr id="111" name="Frame93"/>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jc w:val="both"/>
        <w:rPr/>
      </w:pPr>
      <w:r>
        <w:rPr>
          <w:rFonts w:ascii="Times New Roman;sans-serif" w:hAnsi="Times New Roman;sans-serif"/>
          <w:b w:val="false"/>
          <w:color w:val="000000"/>
          <w:sz w:val="22"/>
        </w:rPr>
        <w:t xml:space="preserve">with no force or effect, and, Landlord shall not have any obligations or liabilities whatsoever under or in connection with the Umbrella Agreement or the Existing Lease. For the avoidance of any doubt, no provision of the Umbrella Agreement or the Existing Lease shall survive (or otherwise be effective) from and after the Amendment Effective Date. Effective as of the Amendment Effective Date, all references in the Original Lease to the Umbrella Agreement (including, without limitation, references to the “MAC Surviving Liabilities” under the Umbrella Agreement) and all references in the Original Lease to the Existing Lease shall be null and void, with no force or effect. Concurrently with its execution of this Amendment, each of Landlord and Tenant shall execute and deliver a Termination of Umbrella Agreement, in the form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among Landlord, Tenant, Castilian 50 and Castilian 70 (the “</w:t>
      </w:r>
      <w:r>
        <w:rPr>
          <w:rFonts w:ascii="Times New Roman;sans-serif" w:hAnsi="Times New Roman;sans-serif"/>
          <w:b/>
          <w:color w:val="000000"/>
          <w:sz w:val="22"/>
        </w:rPr>
        <w:t>Umbrella Termination</w:t>
      </w:r>
      <w:r>
        <w:rPr>
          <w:color w:val="000000"/>
        </w:rPr>
        <w:t>”</w:t>
      </w:r>
      <w:r>
        <w:rPr>
          <w:rFonts w:ascii="Times New Roman;sans-serif" w:hAnsi="Times New Roman;sans-serif"/>
          <w:b w:val="false"/>
          <w:color w:val="000000"/>
          <w:sz w:val="22"/>
        </w:rPr>
        <w:t>).</w:t>
      </w:r>
    </w:p>
    <w:p>
      <w:pPr>
        <w:pStyle w:val="TextBody"/>
        <w:spacing w:before="8"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Landlord Improvements</w:t>
      </w:r>
      <w:r>
        <w:rPr>
          <w:rFonts w:ascii="Times New Roman;sans-serif" w:hAnsi="Times New Roman;sans-serif"/>
          <w:b w:val="false"/>
          <w:color w:val="000000"/>
          <w:sz w:val="22"/>
        </w:rPr>
        <w:t>.</w:t>
      </w:r>
    </w:p>
    <w:p>
      <w:pPr>
        <w:pStyle w:val="TextBody"/>
        <w:spacing w:before="3" w:after="283"/>
        <w:rPr/>
      </w:pPr>
      <w:r>
        <w:rPr/>
      </w:r>
    </w:p>
    <w:p>
      <w:pPr>
        <w:pStyle w:val="TextBody"/>
        <w:spacing w:lineRule="auto" w:line="240" w:before="92" w:after="283"/>
        <w:ind w:left="0" w:right="0" w:firstLine="2160"/>
        <w:jc w:val="both"/>
        <w:rPr/>
      </w:pPr>
      <w:r>
        <w:rPr>
          <w:rFonts w:ascii="Times New Roman;sans-serif" w:hAnsi="Times New Roman;sans-serif"/>
          <w:b w:val="false"/>
          <w:color w:val="000000"/>
          <w:sz w:val="22"/>
        </w:rPr>
        <w:t xml:space="preserve">2.1Landlord shall cause the work set forth on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to be performed, , at Landlord’s cost (the “</w:t>
      </w:r>
      <w:r>
        <w:rPr>
          <w:rFonts w:ascii="Times New Roman;sans-serif" w:hAnsi="Times New Roman;sans-serif"/>
          <w:b/>
          <w:color w:val="000000"/>
          <w:sz w:val="22"/>
        </w:rPr>
        <w:t>Landlord Amendment Work</w:t>
      </w:r>
      <w:r>
        <w:rPr>
          <w:color w:val="000000"/>
        </w:rPr>
        <w:t>”</w:t>
      </w:r>
      <w:r>
        <w:rPr>
          <w:rFonts w:ascii="Times New Roman;sans-serif" w:hAnsi="Times New Roman;sans-serif"/>
          <w:b w:val="false"/>
          <w:color w:val="000000"/>
          <w:sz w:val="22"/>
        </w:rPr>
        <w:t>), subject to the terms and conditions of this Amendment. Subject to delays caused by Force Majeure, or by Tenant (or any of its officers, partners, members, shareholders, directors, contractors, subcontractors, vendors, employees, representatives, affiliates, agents, licensees or invitees), Landlord shall commence the Landlord Amendment Work within thirty (30) days after the mutual execution and delivery of this Amendment and thereafter use commercially reasonable efforts to diligently complete the Landlord Amendment Work in all material respects.</w:t>
      </w:r>
    </w:p>
    <w:p>
      <w:pPr>
        <w:pStyle w:val="TextBody"/>
        <w:spacing w:before="9" w:after="283"/>
        <w:rPr/>
      </w:pPr>
      <w:r>
        <w:rPr/>
      </w:r>
    </w:p>
    <w:p>
      <w:pPr>
        <w:pStyle w:val="TextBody"/>
        <w:spacing w:lineRule="auto" w:line="240" w:before="1" w:after="283"/>
        <w:ind w:left="0" w:right="0" w:firstLine="2160"/>
        <w:jc w:val="both"/>
        <w:rPr/>
      </w:pPr>
      <w:r>
        <w:rPr>
          <w:rFonts w:ascii="Times New Roman;sans-serif" w:hAnsi="Times New Roman;sans-serif"/>
          <w:b w:val="false"/>
          <w:color w:val="000000"/>
          <w:sz w:val="22"/>
        </w:rPr>
        <w:t xml:space="preserve">2.2Landlord shall use commercially reasonable efforts to not unreasonably interfere with Tenant’s permitted use of the Premises while performing the Landlord Amendment Work. Landlord and its contractors, subcontractors, vendors, employees, representatives, affiliates and agents shall have reasonable access to the Premises to perform the Landlord Amendment Work. Tenant acknowledges that the Landlord Amendment Work may, without limitation, temporarily limit access to portions of the Premises, and/or create noise, vibration, dust or debris. Nevertheless, Landlord shall use commercially reasonable and diligent efforts to cause its contractors to take reasonable measures in accordance with good construction standards and methods, to mitigate the same. Tenant hereby agrees that the performance of the Landlord Amendment Work shall not constitute a constructive eviction or entitle Tenant to any abatement (except to the extent provided under </w:t>
      </w:r>
      <w:r>
        <w:rPr>
          <w:rFonts w:ascii="Times New Roman;sans-serif" w:hAnsi="Times New Roman;sans-serif"/>
          <w:b w:val="false"/>
          <w:color w:val="000000"/>
          <w:sz w:val="22"/>
          <w:u w:val="single"/>
        </w:rPr>
        <w:t>Sections 10.1.3 and 10.2</w:t>
      </w:r>
      <w:r>
        <w:rPr>
          <w:color w:val="000000"/>
        </w:rPr>
        <w:t xml:space="preserve"> </w:t>
      </w:r>
      <w:r>
        <w:rPr>
          <w:rFonts w:ascii="Times New Roman;sans-serif" w:hAnsi="Times New Roman;sans-serif"/>
          <w:b w:val="false"/>
          <w:color w:val="000000"/>
          <w:sz w:val="22"/>
        </w:rPr>
        <w:t xml:space="preserve">of the Original Lease, which provisions shall apply to the Landlord Amendment Work to the extent Tenant is entitled to any remedy thereunder, if at all), and Landlord shall not be responsible or liable for any interference, inconvenience or annoyance in connection with the Landlord Amendment Work, provided that Landlord shall comply with its obligation to use commercially reasonable efforts described above; provided, however, if applicable, Tenant shall have its remedies under </w:t>
      </w:r>
      <w:r>
        <w:rPr>
          <w:rFonts w:ascii="Times New Roman;sans-serif" w:hAnsi="Times New Roman;sans-serif"/>
          <w:b w:val="false"/>
          <w:color w:val="000000"/>
          <w:sz w:val="22"/>
          <w:u w:val="single"/>
        </w:rPr>
        <w:t>Sections 10.1.3 or 10.2</w:t>
      </w:r>
      <w:r>
        <w:rPr>
          <w:color w:val="000000"/>
        </w:rPr>
        <w:t xml:space="preserve"> </w:t>
      </w:r>
      <w:r>
        <w:rPr>
          <w:rFonts w:ascii="Times New Roman;sans-serif" w:hAnsi="Times New Roman;sans-serif"/>
          <w:b w:val="false"/>
          <w:color w:val="000000"/>
          <w:sz w:val="22"/>
        </w:rPr>
        <w:t>of the Original Lease in connection with Landlord’s performance of the Landlord Amendment Work. Tenant shall cooperate and not interfere (or permit interference) with Landlord in connection with the performance of the Landlord Amendment Work, as Landlord may reasonably direct from time to time. As of the date hereof, Tenant knows of no work, improvement, repair or replacement, other than the Landlord Amendment Work, that Landlord must perform to the roof, roof membrane or HVAC systems or equipment (including, but not limited to, ductwork) to comply with its obligations under the Lease. For the avoidance of doubt, Landlord and Tenant acknowledge that Tenant has not obtained what is commonly known as a property condition report with respect to the Building’s roof, roof membrane or HVAC systems or equipment (including, but not limited to, ductwork).</w:t>
      </w:r>
    </w:p>
    <w:p>
      <w:pPr>
        <w:pStyle w:val="TextBody"/>
        <w:spacing w:before="1" w:after="283"/>
        <w:rPr/>
      </w:pPr>
      <w:r>
        <w:rPr/>
      </w:r>
    </w:p>
    <w:p>
      <w:pPr>
        <w:pStyle w:val="TextBody"/>
        <w:spacing w:lineRule="auto" w:line="240" w:before="0" w:after="0"/>
        <w:ind w:left="0" w:right="0" w:firstLine="2215"/>
        <w:jc w:val="both"/>
        <w:rPr>
          <w:rFonts w:ascii="Times New Roman;sans-serif" w:hAnsi="Times New Roman;sans-serif"/>
          <w:b w:val="false"/>
          <w:color w:val="000000"/>
          <w:sz w:val="22"/>
        </w:rPr>
      </w:pPr>
      <w:r>
        <w:rPr>
          <w:rFonts w:ascii="Times New Roman;sans-serif" w:hAnsi="Times New Roman;sans-serif"/>
          <w:b w:val="false"/>
          <w:color w:val="000000"/>
          <w:sz w:val="22"/>
        </w:rPr>
        <w:t>2.3If there is any increase in the cost of the Landlord Amendment Work as a result of Tenant’s failure to cooperate as required herein (or to otherwise comply with the Lease), or any interference by Tenant or any of its officers, partners, members, shareholders, directors, contractors, subcontractors, vendors, employees, representatives, affiliates, agents, licensees or invitees, then Tenant</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287780"/>
                <wp:effectExtent l="0" t="0" r="0" b="0"/>
                <wp:wrapNone/>
                <wp:docPr id="112" name="Frame94"/>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jc w:val="both"/>
        <w:rPr>
          <w:rFonts w:ascii="Times New Roman;sans-serif" w:hAnsi="Times New Roman;sans-serif"/>
          <w:b w:val="false"/>
          <w:color w:val="000000"/>
          <w:sz w:val="22"/>
        </w:rPr>
      </w:pPr>
      <w:r>
        <w:rPr>
          <w:rFonts w:ascii="Times New Roman;sans-serif" w:hAnsi="Times New Roman;sans-serif"/>
          <w:b w:val="false"/>
          <w:color w:val="000000"/>
          <w:sz w:val="22"/>
        </w:rPr>
        <w:t>shall be obligated to pay to Landlord, within thirty (30) days after demand and reasonable documentation of costs, such increased cost. Landlord shall notify Tenant of any such failure to cooperate or interference as soon as reasonably possible after Landlord learns of the occurrence of such breach in order to allow Tenant time to mitigate any such costs arising from such alleged breach, but in no event more than thirty</w:t>
      </w:r>
    </w:p>
    <w:p>
      <w:pPr>
        <w:pStyle w:val="TextBody"/>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(30) days after the date Landlord learns of the occurrence of such breach). If Tenant disputes that it is required to pay such amount to Landlord hereunder, then Landlord and Tenant shall have their respective rights and remedies under the Lease, but Landlord shall not suspend or delay performance of the Landlord Amendment Work due to such failure to pay. Landlord shall not be responsible or liable for any delay in performing any work resulting from Force Majeure, or the acts or omissions of Tenant (or any of its officers, partners, members, shareholders, directors, contractors, subcontractors, vendors, employees, representatives, affiliates, agents, licensees or invitees), including, without limitation, any failure by Tenant to comply with this Section 2, except to the extent that Tenant is entitled to rental abatement (if at all) pursuant to the terms of Sections 10.1.3 and 10.2 of the Original Lease.</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Signage</w:t>
      </w:r>
      <w:r>
        <w:rPr>
          <w:rFonts w:ascii="Times New Roman;sans-serif" w:hAnsi="Times New Roman;sans-serif"/>
          <w:b w:val="false"/>
          <w:color w:val="000000"/>
          <w:sz w:val="22"/>
        </w:rPr>
        <w:t>. Tenant hereby agrees that, notwithstanding anything to the contrary in the Original Lease, all of Tenant’s signage rights in the Original Lease shall relate solely to the 90 Parcel, and Tenant shall not have any right under the Lease to place, keep or maintain any of its signage in the 50 Parcel or the 70 Parcel. Tenant shall have the right, at its sole cost and expense, subject to City and any other required governmental approvals, to install one (1) monument sign solely within the 90 Parcel alone, comparable to the monument sign located within the 50 Parcel as of the date hereof, in a location reasonably acceptable to Landlord and Tenant, and, in such event, Tenant may place its commercially reasonable identification signage on such monument sign located solely within the 90 Parcel. Tenant shall not have the right to use or place its signage on, or otherwise use, any other monument sign under the Lease.</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Parking</w:t>
      </w:r>
      <w:r>
        <w:rPr>
          <w:rFonts w:ascii="Times New Roman;sans-serif" w:hAnsi="Times New Roman;sans-serif"/>
          <w:b w:val="false"/>
          <w:color w:val="000000"/>
          <w:sz w:val="22"/>
        </w:rPr>
        <w:t xml:space="preserve">. Effective on the Amendment Effective Date, </w:t>
      </w:r>
      <w:r>
        <w:rPr>
          <w:rFonts w:ascii="Times New Roman;sans-serif" w:hAnsi="Times New Roman;sans-serif"/>
          <w:b w:val="false"/>
          <w:color w:val="000000"/>
          <w:sz w:val="22"/>
          <w:u w:val="single"/>
        </w:rPr>
        <w:t>Section C(2)</w:t>
      </w:r>
      <w:r>
        <w:rPr>
          <w:color w:val="000000"/>
        </w:rPr>
        <w:t xml:space="preserve"> </w:t>
      </w:r>
      <w:r>
        <w:rPr>
          <w:rFonts w:ascii="Times New Roman;sans-serif" w:hAnsi="Times New Roman;sans-serif"/>
          <w:b w:val="false"/>
          <w:color w:val="000000"/>
          <w:sz w:val="22"/>
        </w:rPr>
        <w:t xml:space="preserve">of the Basic Provisions in the Original Lease (Parking) is hereby deleted in its entirety, and replaced with the following provisions of this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w:t>
      </w:r>
    </w:p>
    <w:p>
      <w:pPr>
        <w:pStyle w:val="TextBody"/>
        <w:spacing w:before="1" w:after="283"/>
        <w:rPr/>
      </w:pPr>
      <w:r>
        <w:rPr/>
      </w:r>
    </w:p>
    <w:p>
      <w:pPr>
        <w:pStyle w:val="TextBody"/>
        <w:spacing w:lineRule="auto" w:line="240" w:before="92" w:after="283"/>
        <w:ind w:left="0" w:right="0" w:firstLine="2160"/>
        <w:jc w:val="both"/>
        <w:rPr/>
      </w:pPr>
      <w:r>
        <w:rPr>
          <w:rFonts w:ascii="Times New Roman;sans-serif" w:hAnsi="Times New Roman;sans-serif"/>
          <w:b w:val="false"/>
          <w:color w:val="000000"/>
          <w:sz w:val="22"/>
        </w:rPr>
        <w:t>4.1From and after the Amendment Effective Date, Tenant shall have the exclusive use of a maximum total of one hundred sixteen (116) unreserved parking spaces (the “</w:t>
      </w:r>
      <w:r>
        <w:rPr>
          <w:rFonts w:ascii="Times New Roman;sans-serif" w:hAnsi="Times New Roman;sans-serif"/>
          <w:b/>
          <w:color w:val="000000"/>
          <w:sz w:val="22"/>
        </w:rPr>
        <w:t>Maximum Number of Parking Spaces</w:t>
      </w:r>
      <w:r>
        <w:rPr>
          <w:color w:val="000000"/>
        </w:rPr>
        <w:t>”</w:t>
      </w:r>
      <w:r>
        <w:rPr>
          <w:rFonts w:ascii="Times New Roman;sans-serif" w:hAnsi="Times New Roman;sans-serif"/>
          <w:b w:val="false"/>
          <w:color w:val="000000"/>
          <w:sz w:val="22"/>
        </w:rPr>
        <w:t>) located in the Parking Lot (as defined in Section 4.2 below), except to the extent such amount of spaces is required by applicable law or any governmental authority having jurisdiction over the Project to be reduced and such requirement does not result from any voluntary action taken by Landlord, provided, that the parties acknowledge and agree that the foregoing terms of this sentence shall not permit Landlord to allocate parking spaces in the Parking Lot to any buildings other than the Building, subject, however, to the provisions below regarding the allocation of spaces to the building commonly known as 70 Castilian Drive in the Project, or to allocate, authorize, or allow others to use the Parking Lot in any way that decreases the Maximum Number of Parking Spaces exclusively available to the tenants of the Building. Subject to the provisions below regarding the allocation of spaces to 70 Castilian Drive, Landlord shall not authorize any other person, firm, organization or entity to use or reserve parking spaces in, and shall not allow any other person, firm, organization or entity to authorize the use of (or the reservation of parking spaces in), the Parking Lot. Notwithstanding the foregoing or anything to the contrary herein, Tenant acknowledges and agrees that, as of Amendment Effective Date, six (6) parking spaces in the Parking Lot are allocated and designated for the exclusive use of the tenant at the building commonly known as 70 Castilian Drive (and its officers, directors, affiliates, partners, members, employees, agents, shareholders, representatives, subtenants, successors, assigns, visitors, licensees and invitees) (the “</w:t>
      </w:r>
      <w:r>
        <w:rPr>
          <w:rFonts w:ascii="Times New Roman;sans-serif" w:hAnsi="Times New Roman;sans-serif"/>
          <w:b/>
          <w:color w:val="000000"/>
          <w:sz w:val="22"/>
        </w:rPr>
        <w:t>70 Spaces</w:t>
      </w:r>
      <w:r>
        <w:rPr>
          <w:color w:val="000000"/>
        </w:rPr>
        <w:t>”</w:t>
      </w:r>
      <w:r>
        <w:rPr>
          <w:rFonts w:ascii="Times New Roman;sans-serif" w:hAnsi="Times New Roman;sans-serif"/>
          <w:b w:val="false"/>
          <w:color w:val="000000"/>
          <w:sz w:val="22"/>
        </w:rPr>
        <w:t>), and Tenant (and its officers, directors, affiliates, partners, members, employees, agents, shareholders, representatives, subtenants, successors, assigns, visitors, licensees and invitees, and Tenant Users, as defined in Section 4.2 below) shall not park in any of the 70 Spaces. If parking available to Tenant in the Parking Lot is being substantially limited by the use of third parties other than the users of the 70</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287780"/>
                <wp:effectExtent l="0" t="0" r="0" b="0"/>
                <wp:wrapNone/>
                <wp:docPr id="113" name="Frame95"/>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jc w:val="both"/>
        <w:rPr>
          <w:rFonts w:ascii="Times New Roman;sans-serif" w:hAnsi="Times New Roman;sans-serif"/>
          <w:b w:val="false"/>
          <w:color w:val="000000"/>
          <w:sz w:val="22"/>
        </w:rPr>
      </w:pPr>
      <w:r>
        <w:rPr>
          <w:rFonts w:ascii="Times New Roman;sans-serif" w:hAnsi="Times New Roman;sans-serif"/>
          <w:b w:val="false"/>
          <w:color w:val="000000"/>
          <w:sz w:val="22"/>
        </w:rPr>
        <w:t>Spaces so that the Parking Lot does not meet Tenant’s normal parking needs (which comply with the terms of the Lease), Landlord and Tenant shall cooperate with one another to establish procedures and mechanisms that will prevent unauthorized parking by others in the Parking Lot (other than the users of the 70 Spaces). Subject to the terms of this Section 4 (including, without limitation, the Maximum Number of Parking Spaces, and users of the 70 Spaces), Tenant shall have the exclusive use of the Parking Lot without additional parking charges during the remaining Term of the Lease.</w:t>
      </w:r>
    </w:p>
    <w:p>
      <w:pPr>
        <w:pStyle w:val="TextBody"/>
        <w:spacing w:lineRule="auto" w:line="240" w:before="119" w:after="283"/>
        <w:ind w:left="0" w:right="0" w:firstLine="2160"/>
        <w:jc w:val="both"/>
        <w:rPr/>
      </w:pPr>
      <w:r>
        <w:rPr>
          <w:rFonts w:ascii="Times New Roman;sans-serif" w:hAnsi="Times New Roman;sans-serif"/>
          <w:b w:val="false"/>
          <w:color w:val="000000"/>
          <w:sz w:val="22"/>
        </w:rPr>
        <w:t xml:space="preserve">4.2All parking spaces under the Lease (i.e., all of the Maximum Number of Parking Spaces) shall be located only in the parking lot depicted on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attached hereto (the “</w:t>
      </w:r>
      <w:r>
        <w:rPr>
          <w:rFonts w:ascii="Times New Roman;sans-serif" w:hAnsi="Times New Roman;sans-serif"/>
          <w:b/>
          <w:color w:val="000000"/>
          <w:sz w:val="22"/>
        </w:rPr>
        <w:t>Parking Lot</w:t>
      </w:r>
      <w:r>
        <w:rPr>
          <w:color w:val="000000"/>
        </w:rPr>
        <w:t>”</w:t>
      </w:r>
      <w:r>
        <w:rPr>
          <w:rFonts w:ascii="Times New Roman;sans-serif" w:hAnsi="Times New Roman;sans-serif"/>
          <w:b w:val="false"/>
          <w:color w:val="000000"/>
          <w:sz w:val="22"/>
        </w:rPr>
        <w:t>), which Parking Lot is located solely within the 90 Parcel. Notwithstanding anything to the contrary in the Lease, except to the extent otherwise designated by Landlord in writing (if at all), Tenant shall not (and shall ensure its officers, directors, affiliates, partners, members, employees, agents, shareholders, representatives, subtenants, successors, assigns, visitors, licensees and invitees do not) park or use any parking area anywhere in the Project other than the Parking Lot. Landlord acknowledges that, so long as Tenant leases space in one or more other buildings at the Project (other than the Building), Tenant may, subject to the terms and conditions of this Section 4, allow its employees, agents, representatives and visitors at such other building(s) (“</w:t>
      </w:r>
      <w:r>
        <w:rPr>
          <w:rFonts w:ascii="Times New Roman;sans-serif" w:hAnsi="Times New Roman;sans-serif"/>
          <w:b/>
          <w:color w:val="000000"/>
          <w:sz w:val="22"/>
        </w:rPr>
        <w:t>Tenant Users</w:t>
      </w:r>
      <w:r>
        <w:rPr>
          <w:color w:val="000000"/>
        </w:rPr>
        <w:t>”</w:t>
      </w:r>
      <w:r>
        <w:rPr>
          <w:rFonts w:ascii="Times New Roman;sans-serif" w:hAnsi="Times New Roman;sans-serif"/>
          <w:b w:val="false"/>
          <w:color w:val="000000"/>
          <w:sz w:val="22"/>
        </w:rPr>
        <w:t>) to use Tenant’s unreserved parking spaces in the Parking Lot that are allocated to Tenant hereunder, provided that the amount of parking allocated to Tenant shall not be increased as a result thereof, and Tenant shall not (and shall ensure its officers, directors, affiliates, partners, members, employees, agents, shareholders, representatives, subtenants, successors, assigns, visitors, licensees and invitees, and Tenant Users, do not) use a combined aggregate total amount of parking spaces in excess of the Maximum Number of Parking Spaces.</w:t>
      </w:r>
    </w:p>
    <w:p>
      <w:pPr>
        <w:pStyle w:val="TextBody"/>
        <w:spacing w:before="10" w:after="283"/>
        <w:rPr/>
      </w:pPr>
      <w:r>
        <w:rPr/>
      </w:r>
    </w:p>
    <w:p>
      <w:pPr>
        <w:pStyle w:val="TextBody"/>
        <w:spacing w:lineRule="auto" w:line="240" w:before="0" w:after="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4.3In the event that Tenant assigns the Lease or subleases all or a portion of the Premises as permitted under the Lease, Tenant shall have the right to grant to the assignee or sublessee, as the case may be, the use of some or all of the parking spaces allotted to Tenant under the Lease, which such number of assigned or sublet spaces within such allotment shall be at Tenant’s sole discretion (subject to the Maximum Number of Parking Spaces limitations).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No Common Areas</w:t>
      </w:r>
      <w:r>
        <w:rPr>
          <w:rFonts w:ascii="Times New Roman;sans-serif" w:hAnsi="Times New Roman;sans-serif"/>
          <w:b w:val="false"/>
          <w:color w:val="000000"/>
          <w:sz w:val="22"/>
        </w:rPr>
        <w:t xml:space="preserve">. Landlord and Tenant hereby acknowledge, agree and stipulate that, notwithstanding anything to the contrary in the Lease, from and after the Amendment Effective Date, there are not, and shall not be, any Common Areas under the Lease and there shall be no Project Operating Expenses under Section 7.2.3 of the Original Lease (but without limiting Building Operating Expenses payable by Tenant). Accordingly,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of the Original Lease (Common Areas), and references to “Common Area” in the Original Lease, are hereby deleted. Except for the tenants at the 50 Parcel and the</w:t>
      </w:r>
    </w:p>
    <w:p>
      <w:pPr>
        <w:pStyle w:val="TextBody"/>
        <w:spacing w:lineRule="auto" w:line="240" w:before="4" w:after="283"/>
        <w:jc w:val="both"/>
        <w:rPr/>
      </w:pPr>
      <w:r>
        <w:rPr>
          <w:rFonts w:ascii="Times New Roman;sans-serif" w:hAnsi="Times New Roman;sans-serif"/>
          <w:b w:val="false"/>
          <w:color w:val="000000"/>
          <w:sz w:val="22"/>
        </w:rPr>
        <w:t xml:space="preserve">70 Parcel (and their respective officers, directors, affiliates, partners, members, employees, agents, shareholders, representatives, subtenants, successors, assigns, visitors, licensees and invitees), Tenant shall have the exclusive right to use easements (if any) designated by Landlord from time to time for ingress and egress as are necessary for Tenant's use and occupancy of the Premises. With respect to the Parking Lot, and walkways and landscaping within the 90 Parcel alone, Landlord shall keep the same in good order and repair; provided, however, all costs and expenses incurred by Landlord relating to the Parking Lot (other than costs and expenses incurred with respect to the 70 Spaces) and such walkways and landscaping (including, without limitation, those for maintenance and repair) shall be included and paid for by Tenant as part of Building Operating Expenses, subject to any exclusions therefrom set forth in the Original Lease (without limiting any other Building Operating Expenses). Without limiting the foregoing, “Building Operating Expenses” shall include all reasonable and necessary costs and expenses incurred by Landlord in the operation, maintenance, repair and management of the 90 Parcel (including, without limitation, the Building), including, but not limited to the costs and expenses set forth in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of the Original Lease. Notwithstanding anything to the contrary in the Lease, Tenant shall not have the right to use any area within the 70 Parcel or the 50 Parcel (including, without limitation the parking lots serving the same), and the occupants of the 70 Parcel and 50 Parcel shall not be permitted to use any area within the 90 Parcel (subject</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287780"/>
                <wp:effectExtent l="0" t="0" r="0" b="0"/>
                <wp:wrapNone/>
                <wp:docPr id="114" name="Frame96"/>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jc w:val="both"/>
        <w:rPr>
          <w:rFonts w:ascii="Times New Roman;sans-serif" w:hAnsi="Times New Roman;sans-serif"/>
          <w:b w:val="false"/>
          <w:color w:val="000000"/>
          <w:sz w:val="22"/>
        </w:rPr>
      </w:pPr>
      <w:r>
        <w:rPr>
          <w:rFonts w:ascii="Times New Roman;sans-serif" w:hAnsi="Times New Roman;sans-serif"/>
          <w:b w:val="false"/>
          <w:color w:val="000000"/>
          <w:sz w:val="22"/>
        </w:rPr>
        <w:t>to use of the 70 Spaces as set forth above). From and after the Amendment Effective Date, Tenant shall not be obligated to pay Project Operating Expenses (including property taxes) for the 50 Parcel or 70 Parcel, and Landlord and Tenant shall not have any obligations, costs, or expenses related to portions of the Project that do not pertain to any of the 90 Parcel (including, but not limited to, the Building); provided, however, Tenant shall be required to pay all Building Operating Expenses relating to the 90 Parcel (including, without limitation, the Building) based on Tenant’s proportionate share of the Building set forth in the Original Lease. It is the intent of Landlord and Tenant that the 90 Parcel shall be separate from, and shall not have any public or other areas in common with, the 50 Parcel or the 70 Parcel.</w:t>
      </w:r>
    </w:p>
    <w:p>
      <w:pPr>
        <w:pStyle w:val="TextBody"/>
        <w:spacing w:before="10"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Undisbursed Improvement Allowance</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91" w:after="283"/>
        <w:ind w:left="0" w:right="0" w:firstLine="2159"/>
        <w:rPr>
          <w:rFonts w:ascii="Times New Roman;sans-serif" w:hAnsi="Times New Roman;sans-serif"/>
          <w:b w:val="false"/>
          <w:color w:val="000000"/>
          <w:sz w:val="22"/>
        </w:rPr>
      </w:pPr>
      <w:r>
        <w:rPr>
          <w:rFonts w:ascii="Times New Roman;sans-serif" w:hAnsi="Times New Roman;sans-serif"/>
          <w:b w:val="false"/>
          <w:color w:val="000000"/>
          <w:sz w:val="22"/>
        </w:rPr>
        <w:t>6.1As of the Amendment Effective Date, the total aggregate outstanding undisbursed improvement allowance under the Lease (i.e., the remaining total aggregate undisbursed “90 Premises Tenant Improvement Allowance”) is Four Hundred and Seventy-Four Thousand, Five Hundred and Ninety-Five Dollars and Sixty-one Cents ($474,595.61). Notwithstanding anything to the contrary in the Lease (or the Umbrella Agreement, the Existing Lease or the Allowance Letter Agreement), (a) Tenant is not entitled to any other improvement or construction contribution, reimbursement or allowance (or any credit for any unused contribution, reimbursement or allowance) under or in connection with the Lease (or the Umbrella Agreement, the Existing Lease or the Allowance Letter Agreement) or otherwise (including, without limitation, any 50/90 TI Allowance), and (b) Tenant shall not have any further rights or remedies whatsoever, and Landlord shall not have any further obligations whatsoever, under the Allowance Letter Agreement.</w:t>
      </w:r>
    </w:p>
    <w:p>
      <w:pPr>
        <w:pStyle w:val="TextBody"/>
        <w:spacing w:before="2" w:after="283"/>
        <w:rPr/>
      </w:pPr>
      <w:r>
        <w:rPr/>
      </w:r>
    </w:p>
    <w:p>
      <w:pPr>
        <w:pStyle w:val="TextBody"/>
        <w:spacing w:lineRule="auto" w:line="240" w:before="0" w:after="0"/>
        <w:ind w:left="0" w:right="0" w:firstLine="2159"/>
        <w:rPr>
          <w:rFonts w:ascii="Times New Roman;sans-serif" w:hAnsi="Times New Roman;sans-serif"/>
          <w:b w:val="false"/>
          <w:color w:val="000000"/>
          <w:sz w:val="22"/>
        </w:rPr>
      </w:pPr>
      <w:r>
        <w:rPr>
          <w:rFonts w:ascii="Times New Roman;sans-serif" w:hAnsi="Times New Roman;sans-serif"/>
          <w:b w:val="false"/>
          <w:color w:val="000000"/>
          <w:sz w:val="22"/>
        </w:rPr>
        <w:t>6.2Section 2.2.4 of Exhibit B to the Original Lease is amended by replacing the language “three (3) years following the Commencement Date” with “four (4) years following the Commencement Date”.</w:t>
      </w:r>
    </w:p>
    <w:p>
      <w:pPr>
        <w:pStyle w:val="TextBody"/>
        <w:spacing w:before="1" w:after="283"/>
        <w:rPr/>
      </w:pPr>
      <w:r>
        <w:rPr/>
      </w:r>
    </w:p>
    <w:p>
      <w:pPr>
        <w:pStyle w:val="TextBody"/>
        <w:spacing w:lineRule="auto" w:line="240" w:before="0" w:after="0"/>
        <w:ind w:left="0" w:right="0" w:firstLine="1441"/>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Estoppel</w:t>
      </w:r>
      <w:r>
        <w:rPr>
          <w:rFonts w:ascii="Times New Roman;sans-serif" w:hAnsi="Times New Roman;sans-serif"/>
          <w:b w:val="false"/>
          <w:color w:val="000000"/>
          <w:sz w:val="22"/>
        </w:rPr>
        <w:t>. Tenant warrants, represents and certifies to Landlord that as of the date of this Amendment, to Tenant’s actual knowledge, (a) Landlord is not in breach or default under the Lease, and no event has occurred which, with the giving of notice or the passage of time, would constitute a breach or default by Landlord, and (b) Tenant does not have any defenses or offsets to payment of rent or other amounts or performance of its obligations under the Lease as and when same becomes due. Landlord warrants, represents and certifies to Tenant that as of the date of this Amendment, to Landlord’s actual knowledge, (i) Tenant is not in breach or default under the Lease, and no event has occurred which, with the giving of notice or the passage of time, would constitute a breach or default by Tenant, and (ii) Landlord does not have any defenses or offsets to payment of rent amounts or performance of its obligations under the Lease as and when same becomes due. Additionally, Section 3(c) of Exhibit L to the Original Lease is hereby deleted and replaced with the following: “(c) To the actual knowledge of Tenant, no party is in breach or default under the Lease. To the actual knowledge of Tenant, no event has occurred which, with the giving of notice or passage of time, or both, would constitute such a breach or default.”</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Tenant represents and warrants to Landlord that it has not dealt with any broker with respect to this Amendment. If Tenant has dealt with any broker or agent, Tenant shall be solely responsible for the payment of all fees and commissions due said broker or agent and Tenant shall protect, indemnify, hold harmless and defend Landlord from all liability in respect thereto. Landlord represents and warrants to Tenant that it has not dealt with any broker with respect to this Amendment. If Landlord has dealt with any broker or agent, Landlord shall be solely responsible for the payment of all fees and commissions due said broker or agent and Landlord shall protect, indemnify, hold harmless and defend Tenant from all liability in respect thereto. The provisions of this Section 8 shall survive any expiration or termination of the Lease.</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287780"/>
                <wp:effectExtent l="0" t="0" r="0" b="0"/>
                <wp:wrapNone/>
                <wp:docPr id="115" name="Frame97"/>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ind w:left="0" w:right="0" w:firstLine="14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Tenant, and the individuals executing this Amendment on behalf of Tenant, represent and warrant to Landlord that Tenant has full power and authority to enter into this Amendment and the person signing on behalf of Tenant has been fully authorized to do so by all necessary corporate or partnership action on the part of Tenant. Landlord, and the individuals executing this Amendment on behalf of Landlord, represent and warrant to Tenant that Landlord has full power and authority to enter into this Amendment and the person signing on behalf of Landlord has been fully authorized to do so by all necessary corporate or partnership action on the part of Landlord.</w:t>
      </w:r>
    </w:p>
    <w:p>
      <w:pPr>
        <w:pStyle w:val="TextBody"/>
        <w:spacing w:before="8"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Amendment may be executed in counterparts, each of which shall be deemed an original part and all of which together shall constitute a single agreement. Signatures on this Amendment sent electronically in PDF format each have the same force and effect as original ink signatures.</w:t>
      </w:r>
    </w:p>
    <w:p>
      <w:pPr>
        <w:pStyle w:val="TextBody"/>
        <w:spacing w:before="2"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Original Lease in Full Force</w:t>
      </w:r>
      <w:r>
        <w:rPr>
          <w:rFonts w:ascii="Times New Roman;sans-serif" w:hAnsi="Times New Roman;sans-serif"/>
          <w:b w:val="false"/>
          <w:color w:val="000000"/>
          <w:sz w:val="22"/>
        </w:rPr>
        <w:t>. The foregoing Recitals are deemed incorporate in and part of this Amendment. If any conflict exists between the terms and conditions of this Amendment and the terms and conditions of the Original Lease, the terms and conditions of this Amendment shall control. Except as amended by this Amendment, all other terms, covenants and conditions of the Original Lease (but not the Umbrella Agreement or the Existing Lease) shall remain in full force and effect and Landlord and Tenant hereby ratify the Original Lease (but not the Umbrella Agreement or the Existing Lease), as amended hereby.</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287780"/>
                <wp:effectExtent l="0" t="0" r="0" b="0"/>
                <wp:wrapNone/>
                <wp:docPr id="116" name="Frame98"/>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91" w:after="283"/>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Amendment is executed as of the Amendment Effective Date.</w:t>
      </w:r>
    </w:p>
    <w:p>
      <w:pPr>
        <w:pStyle w:val="TextBody"/>
        <w:spacing w:before="4" w:after="283"/>
        <w:rPr/>
      </w:pPr>
      <w:r>
        <w:rPr/>
      </w:r>
    </w:p>
    <w:p>
      <w:pPr>
        <w:pStyle w:val="TextBody"/>
        <w:spacing w:lineRule="auto" w:line="240" w:before="91" w:after="283"/>
        <w:rPr>
          <w:rFonts w:ascii="Times New Roman;sans-serif" w:hAnsi="Times New Roman;sans-serif"/>
          <w:b/>
          <w:color w:val="000000"/>
          <w:sz w:val="22"/>
        </w:rPr>
      </w:pPr>
      <w:r>
        <w:rPr>
          <w:rFonts w:ascii="Times New Roman;sans-serif" w:hAnsi="Times New Roman;sans-serif"/>
          <w:b/>
          <w:color w:val="000000"/>
          <w:sz w:val="22"/>
        </w:rPr>
        <w:t>LANDLORD:</w:t>
      </w:r>
    </w:p>
    <w:p>
      <w:pPr>
        <w:pStyle w:val="TextBody"/>
        <w:spacing w:before="10" w:after="283"/>
        <w:rPr/>
      </w:pPr>
      <w:r>
        <w:rPr/>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90,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91" w:after="283"/>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TENANT:</w:t>
      </w:r>
    </w:p>
    <w:tbl>
      <w:tblPr>
        <w:tblW w:w="3824" w:type="dxa"/>
        <w:jc w:val="left"/>
        <w:tblInd w:w="0" w:type="dxa"/>
        <w:tblCellMar>
          <w:top w:w="28" w:type="dxa"/>
          <w:left w:w="28" w:type="dxa"/>
          <w:bottom w:w="28" w:type="dxa"/>
          <w:right w:w="28" w:type="dxa"/>
        </w:tblCellMar>
      </w:tblPr>
      <w:tblGrid>
        <w:gridCol w:w="1223"/>
        <w:gridCol w:w="1076"/>
        <w:gridCol w:w="1525"/>
      </w:tblGrid>
      <w:tr>
        <w:trPr/>
        <w:tc>
          <w:tcPr>
            <w:tcW w:w="1223"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APPFOLIO, INC.,, a Delaware corporation</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91" w:after="283"/>
        <w:rPr/>
      </w:pPr>
      <w:r>
        <w:rPr/>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287780"/>
                <wp:effectExtent l="0" t="0" r="0" b="0"/>
                <wp:wrapNone/>
                <wp:docPr id="117" name="Frame99"/>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spacing w:before="7" w:after="283"/>
        <w:rPr/>
      </w:pPr>
      <w:r>
        <w:rPr/>
      </w:r>
    </w:p>
    <w:p>
      <w:pPr>
        <w:pStyle w:val="TextBody"/>
        <w:spacing w:lineRule="auto" w:line="240" w:before="92" w:after="2"/>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50 Parcel, 70 Parcel and 90 Parcel</w:t>
      </w:r>
    </w:p>
    <w:p>
      <w:pPr>
        <w:pStyle w:val="TextBody"/>
        <w:spacing w:before="0" w:after="0"/>
        <w:rPr/>
      </w:pPr>
      <w:r>
        <w:rPr/>
        <w:drawing>
          <wp:inline distT="0" distB="63500" distL="0" distR="0">
            <wp:extent cx="5829300" cy="7248525"/>
            <wp:effectExtent l="0" t="0" r="0" b="0"/>
            <wp:docPr id="11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9" descr=""/>
                    <pic:cNvPicPr>
                      <a:picLocks noChangeAspect="1" noChangeArrowheads="1"/>
                    </pic:cNvPicPr>
                  </pic:nvPicPr>
                  <pic:blipFill>
                    <a:blip r:embed="rId39"/>
                    <a:stretch>
                      <a:fillRect/>
                    </a:stretch>
                  </pic:blipFill>
                  <pic:spPr bwMode="auto">
                    <a:xfrm>
                      <a:off x="0" y="0"/>
                      <a:ext cx="5829300" cy="7248525"/>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287780"/>
                <wp:effectExtent l="0" t="0" r="0" b="0"/>
                <wp:wrapNone/>
                <wp:docPr id="119" name="Frame100"/>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11" w:after="283"/>
        <w:rPr/>
      </w:pPr>
      <w:r>
        <w:rPr/>
      </w:r>
    </w:p>
    <w:p>
      <w:pPr>
        <w:pStyle w:val="TextBody"/>
        <w:spacing w:before="0" w:after="0"/>
        <w:rPr/>
      </w:pPr>
      <w:r>
        <w:rPr/>
        <w:drawing>
          <wp:inline distT="0" distB="63500" distL="0" distR="0">
            <wp:extent cx="5524500" cy="4933950"/>
            <wp:effectExtent l="0" t="0" r="0" b="0"/>
            <wp:docPr id="1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0" descr=""/>
                    <pic:cNvPicPr>
                      <a:picLocks noChangeAspect="1" noChangeArrowheads="1"/>
                    </pic:cNvPicPr>
                  </pic:nvPicPr>
                  <pic:blipFill>
                    <a:blip r:embed="rId40"/>
                    <a:stretch>
                      <a:fillRect/>
                    </a:stretch>
                  </pic:blipFill>
                  <pic:spPr bwMode="auto">
                    <a:xfrm>
                      <a:off x="0" y="0"/>
                      <a:ext cx="5524500" cy="4933950"/>
                    </a:xfrm>
                    <a:prstGeom prst="rect">
                      <a:avLst/>
                    </a:prstGeom>
                  </pic:spPr>
                </pic:pic>
              </a:graphicData>
            </a:graphic>
          </wp:inline>
        </w:drawing>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287780"/>
                <wp:effectExtent l="0" t="0" r="0" b="0"/>
                <wp:wrapNone/>
                <wp:docPr id="121" name="Frame101"/>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9</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Umbrella Termination</w:t>
      </w:r>
    </w:p>
    <w:p>
      <w:pPr>
        <w:pStyle w:val="TextBody"/>
        <w:spacing w:before="0" w:after="0"/>
        <w:rPr/>
      </w:pPr>
      <w:r>
        <w:rPr/>
      </w:r>
    </w:p>
    <w:p>
      <w:pPr>
        <w:pStyle w:val="TextBody"/>
        <w:spacing w:lineRule="auto" w:line="240" w:before="9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UMBRELLA TERMINATION AGREEMENT</w:t>
      </w:r>
    </w:p>
    <w:p>
      <w:pPr>
        <w:pStyle w:val="TextBody"/>
        <w:spacing w:before="1" w:after="283"/>
        <w:rPr/>
      </w:pPr>
      <w:r>
        <w:rPr/>
      </w:r>
    </w:p>
    <w:p>
      <w:pPr>
        <w:pStyle w:val="TextBody"/>
        <w:spacing w:lineRule="auto" w:line="240" w:before="91" w:after="283"/>
        <w:ind w:left="0" w:right="0" w:firstLine="720"/>
        <w:jc w:val="both"/>
        <w:rPr/>
      </w:pPr>
      <w:r>
        <w:rPr>
          <w:rFonts w:ascii="Times New Roman;sans-serif" w:hAnsi="Times New Roman;sans-serif"/>
          <w:b w:val="false"/>
          <w:color w:val="000000"/>
          <w:sz w:val="22"/>
        </w:rPr>
        <w:t>This Umbrella Termination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dated as of</w:t>
      </w:r>
      <w:r>
        <w:rPr>
          <w:color w:val="000000"/>
          <w:u w:val="single"/>
        </w:rPr>
        <w:t>    </w:t>
      </w:r>
      <w:r>
        <w:rPr>
          <w:rFonts w:ascii="Times New Roman;sans-serif" w:hAnsi="Times New Roman;sans-serif"/>
          <w:b w:val="false"/>
          <w:color w:val="000000"/>
          <w:sz w:val="22"/>
        </w:rPr>
        <w:t>, 2021 (the “</w:t>
      </w:r>
      <w:r>
        <w:rPr>
          <w:rFonts w:ascii="Times New Roman;sans-serif" w:hAnsi="Times New Roman;sans-serif"/>
          <w:b/>
          <w:color w:val="000000"/>
          <w:sz w:val="22"/>
        </w:rPr>
        <w:t>Termination Effective Date</w:t>
      </w:r>
      <w:r>
        <w:rPr>
          <w:color w:val="000000"/>
        </w:rPr>
        <w:t>”</w:t>
      </w:r>
      <w:r>
        <w:rPr>
          <w:rFonts w:ascii="Times New Roman;sans-serif" w:hAnsi="Times New Roman;sans-serif"/>
          <w:b w:val="false"/>
          <w:color w:val="000000"/>
          <w:sz w:val="22"/>
        </w:rPr>
        <w:t>), is made and entered into by and between CASTILIAN 90, LLC, a Delaware limited liability company ("</w:t>
      </w:r>
      <w:r>
        <w:rPr>
          <w:rFonts w:ascii="Times New Roman;sans-serif" w:hAnsi="Times New Roman;sans-serif"/>
          <w:b/>
          <w:color w:val="000000"/>
          <w:sz w:val="22"/>
        </w:rPr>
        <w:t>Castilian 90</w:t>
      </w:r>
      <w:r>
        <w:rPr>
          <w:rFonts w:ascii="Times New Roman;sans-serif" w:hAnsi="Times New Roman;sans-serif"/>
          <w:b w:val="false"/>
          <w:color w:val="000000"/>
          <w:sz w:val="22"/>
        </w:rPr>
        <w:t>"), CASTILIAN 70, LLC, a Delaware limited liability company ("</w:t>
      </w:r>
      <w:r>
        <w:rPr>
          <w:rFonts w:ascii="Times New Roman;sans-serif" w:hAnsi="Times New Roman;sans-serif"/>
          <w:b/>
          <w:color w:val="000000"/>
          <w:sz w:val="22"/>
        </w:rPr>
        <w:t>Castilian 70</w:t>
      </w:r>
      <w:r>
        <w:rPr>
          <w:rFonts w:ascii="Times New Roman;sans-serif" w:hAnsi="Times New Roman;sans-serif"/>
          <w:b w:val="false"/>
          <w:color w:val="000000"/>
          <w:sz w:val="22"/>
        </w:rPr>
        <w:t>"), and CASTILIAN 50, LLC, a Delaware limited liability company ("</w:t>
      </w:r>
      <w:r>
        <w:rPr>
          <w:rFonts w:ascii="Times New Roman;sans-serif" w:hAnsi="Times New Roman;sans-serif"/>
          <w:b/>
          <w:color w:val="000000"/>
          <w:sz w:val="22"/>
        </w:rPr>
        <w:t>Castilian 50</w:t>
      </w:r>
      <w:r>
        <w:rPr>
          <w:rFonts w:ascii="Times New Roman;sans-serif" w:hAnsi="Times New Roman;sans-serif"/>
          <w:b w:val="false"/>
          <w:color w:val="000000"/>
          <w:sz w:val="22"/>
        </w:rPr>
        <w:t>", and, together with Castilian 70 and Castilian 90, collectively, the “Landlords”), and APPFOLIO, INC., a Delaware corporation (“</w:t>
      </w:r>
      <w:r>
        <w:rPr>
          <w:rFonts w:ascii="Times New Roman;sans-serif" w:hAnsi="Times New Roman;sans-serif"/>
          <w:b/>
          <w:color w:val="000000"/>
          <w:sz w:val="22"/>
        </w:rPr>
        <w:t>AppFolio”</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1" w:after="283"/>
        <w:rPr/>
      </w:pPr>
      <w:r>
        <w:rPr/>
      </w:r>
    </w:p>
    <w:p>
      <w:pPr>
        <w:pStyle w:val="TextBody"/>
        <w:spacing w:lineRule="auto" w:line="240" w:before="91" w:after="283"/>
        <w:ind w:left="0" w:right="0" w:firstLine="720"/>
        <w:jc w:val="both"/>
        <w:rPr/>
      </w:pPr>
      <w:r>
        <w:rPr>
          <w:rFonts w:ascii="Times New Roman;sans-serif" w:hAnsi="Times New Roman;sans-serif"/>
          <w:b w:val="false"/>
          <w:color w:val="000000"/>
          <w:sz w:val="22"/>
        </w:rPr>
        <w:t>A.Castilian 90, as landlord, currently leases to AppFolio, as tenant, space located at 90 Castilian Drive, Goleta, California, pursuant to that certain Industrial Lease dated December 6, 2019 (as amended, the "</w:t>
      </w:r>
      <w:r>
        <w:rPr>
          <w:rFonts w:ascii="Times New Roman;sans-serif" w:hAnsi="Times New Roman;sans-serif"/>
          <w:b/>
          <w:color w:val="000000"/>
          <w:sz w:val="22"/>
        </w:rPr>
        <w:t>90 Lease</w:t>
      </w:r>
      <w:r>
        <w:rPr>
          <w:rFonts w:ascii="Times New Roman;sans-serif" w:hAnsi="Times New Roman;sans-serif"/>
          <w:b w:val="false"/>
          <w:color w:val="000000"/>
          <w:sz w:val="22"/>
        </w:rPr>
        <w:t>"). Castilian 70, as landlord, currently leases to AppFolio, as tenant, space located at 70 Castilian Drive, Goleta, California, pursuant to that certain Industrial Lease dated December 6, 2019 (as amended, the "</w:t>
      </w:r>
      <w:r>
        <w:rPr>
          <w:rFonts w:ascii="Times New Roman;sans-serif" w:hAnsi="Times New Roman;sans-serif"/>
          <w:b/>
          <w:color w:val="000000"/>
          <w:sz w:val="22"/>
        </w:rPr>
        <w:t>70 Lease</w:t>
      </w:r>
      <w:r>
        <w:rPr>
          <w:rFonts w:ascii="Times New Roman;sans-serif" w:hAnsi="Times New Roman;sans-serif"/>
          <w:b w:val="false"/>
          <w:color w:val="000000"/>
          <w:sz w:val="22"/>
        </w:rPr>
        <w:t>"). Castilian 50, as landlord, currently leases to AppFolio, as tenant, space located at 50 Castilian Drive, Goleta, California, pursuant to that certain Industrial Lease dated December 6, 2019 (as amended, the "</w:t>
      </w:r>
      <w:r>
        <w:rPr>
          <w:rFonts w:ascii="Times New Roman;sans-serif" w:hAnsi="Times New Roman;sans-serif"/>
          <w:b/>
          <w:color w:val="000000"/>
          <w:sz w:val="22"/>
        </w:rPr>
        <w:t>50 Lease</w:t>
      </w:r>
      <w:r>
        <w:rPr>
          <w:rFonts w:ascii="Times New Roman;sans-serif" w:hAnsi="Times New Roman;sans-serif"/>
          <w:b w:val="false"/>
          <w:color w:val="000000"/>
          <w:sz w:val="22"/>
        </w:rPr>
        <w:t>", and, together with the 70 Lease and the 90 Lease, collectively, the "</w:t>
      </w:r>
      <w:r>
        <w:rPr>
          <w:rFonts w:ascii="Times New Roman;sans-serif" w:hAnsi="Times New Roman;sans-serif"/>
          <w:b/>
          <w:color w:val="000000"/>
          <w:sz w:val="22"/>
        </w:rPr>
        <w:t>Leases</w:t>
      </w:r>
      <w:r>
        <w:rPr>
          <w:rFonts w:ascii="Times New Roman;sans-serif" w:hAnsi="Times New Roman;sans-serif"/>
          <w:b w:val="false"/>
          <w:color w:val="000000"/>
          <w:sz w:val="22"/>
        </w:rPr>
        <w: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B.In connection with the Leases, Castilian 90, Castilian 70 and Castilian 50, each as successor-in-interest to 50 Castilian Drive, LLC, a Delaware limited liability company, and AppFolio are parties to that certain Umbrella Agreement dated as of December 6, 2019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C.AppFolio acknowledges and agrees that the Landlords have satisfied all of their obligations under the Umbrella Agreement and the “Existing Leases” (as defined in the Umbrella Agreement), to AppFolio’s satisfaction. The Landlords and AppFolio have determined that it is in their respective best interests to terminate the Umbrella Agreement and the Existing Leases in their entirety, upon the terms and conditions set forth in this Agreement.</w:t>
      </w:r>
    </w:p>
    <w:p>
      <w:pPr>
        <w:pStyle w:val="TextBody"/>
        <w:spacing w:before="0" w:after="0"/>
        <w:rPr/>
      </w:pPr>
      <w:r>
        <w:rPr/>
      </w:r>
    </w:p>
    <w:p>
      <w:pPr>
        <w:pStyle w:val="TextBody"/>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D.Capitalized terms used but not defined herein shall have their meanings set forth in the Umbrella Agreement.</w:t>
      </w:r>
    </w:p>
    <w:p>
      <w:pPr>
        <w:pStyle w:val="TextBody"/>
        <w:spacing w:before="7" w:after="283"/>
        <w:rPr/>
      </w:pPr>
      <w:r>
        <w:rPr/>
      </w:r>
    </w:p>
    <w:p>
      <w:pPr>
        <w:pStyle w:val="TextBody"/>
        <w:spacing w:lineRule="auto" w:line="2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0" w:after="0"/>
        <w:rPr/>
      </w:pPr>
      <w:r>
        <w:rPr/>
      </w:r>
    </w:p>
    <w:p>
      <w:pPr>
        <w:pStyle w:val="TextBody"/>
        <w:spacing w:lineRule="auto" w:line="240" w:before="92"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Landlords and AppFolio hereby agree as follows:</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Agreement to Terminate</w:t>
      </w:r>
      <w:r>
        <w:rPr>
          <w:rFonts w:ascii="Times New Roman;sans-serif" w:hAnsi="Times New Roman;sans-serif"/>
          <w:b w:val="false"/>
          <w:color w:val="000000"/>
          <w:sz w:val="22"/>
        </w:rPr>
        <w:t>. Effective as of Termination Effective Date, the Umbrella Agreement and the Existing Leases shall immediately and automatically terminate in their entirety and shall be null and void with no force or effect whatsoever. Without limiting the foregoing, no provision of the Umbrella Agreement or any of the Existing Leases will survive such terminations, and the Landlords shall not have any liability or obligation whatsoever under or in connection with the Umbrella Agreement or the Existing Leases, including, without limitation, in connection with the MAC Surviving Liabilities (as defined in the Umbrella Agreement), which MAC Surviving Liabilities shall be null and void, with no force or effect whatsoever, as of the Termination Effective Date. For the avoidance of doubt, the Leases shall not be affected by such terminations and shall remain in full force and effect in accordance with their terms,</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287780"/>
                <wp:effectExtent l="0" t="0" r="0" b="0"/>
                <wp:wrapNone/>
                <wp:docPr id="122" name="Frame102"/>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94" w:after="283"/>
        <w:rPr>
          <w:rFonts w:ascii="Times New Roman;sans-serif" w:hAnsi="Times New Roman;sans-serif"/>
          <w:b w:val="false"/>
          <w:color w:val="000000"/>
          <w:sz w:val="22"/>
        </w:rPr>
      </w:pPr>
      <w:r>
        <w:rPr>
          <w:rFonts w:ascii="Times New Roman;sans-serif" w:hAnsi="Times New Roman;sans-serif"/>
          <w:b w:val="false"/>
          <w:color w:val="000000"/>
          <w:sz w:val="22"/>
        </w:rPr>
        <w:t>provided that the references in the Leases to the Umbrella Agreement and the Existing Leases shall be null and void, with no force or effect whatsoever, as of the Termination Effective Date.</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Each of the Landlords, on behalf of itself and its affiliates, directors, officers, shareholders, members, partners, employees, agents, representatives, successors and assigns, hereby releases AppFolio, and its affiliates, directors, officers, shareholders, members, partners, employees, agents, representatives, successors and assigns from and against any and all actions, suits, claims, damages, liabilities and obligations (collectively, “</w:t>
      </w:r>
      <w:r>
        <w:rPr>
          <w:rFonts w:ascii="Times New Roman;sans-serif" w:hAnsi="Times New Roman;sans-serif"/>
          <w:b/>
          <w:color w:val="000000"/>
          <w:sz w:val="22"/>
        </w:rPr>
        <w:t>Claims</w:t>
      </w:r>
      <w:r>
        <w:rPr>
          <w:color w:val="000000"/>
        </w:rPr>
        <w:t>”</w:t>
      </w:r>
      <w:r>
        <w:rPr>
          <w:rFonts w:ascii="Times New Roman;sans-serif" w:hAnsi="Times New Roman;sans-serif"/>
          <w:b w:val="false"/>
          <w:color w:val="000000"/>
          <w:sz w:val="22"/>
        </w:rPr>
        <w:t>) arising out of or in connection with the Umbrella Agreement or any of the Existing Leases. AppFolio on behalf of itself and its affiliates, directors, officers, shareholders, members, partners, employees, agents, representatives, successors and assigns, hereby releases each of the Landlords, and their respective affiliates, directors, officers, shareholders, members, partners, lenders, ground lessors, employees, agents, representatives, successors and assigns, from and against any and all Claims arising out of or in connection with the Umbrella Agreement or any of the Existing Leases. Each of the Landlords and AppFolio agree that there is a risk that, subsequent to the execution of this Agreement, it will suffer losses or damages which are unknown or unanticipated as of the date hereof, and the Landlords and AppFolio each hereby assume said risk and agree that the releases contained in this Section 2 shall apply to all unknown or unanticipated Claims, as well as those known and anticipated. In connection with the foregoing, the Landlords and AppFolio each hereby waives any and all rights they may have under California Civil Code Section 1542, which Section reads as follows:</w:t>
      </w:r>
    </w:p>
    <w:p>
      <w:pPr>
        <w:pStyle w:val="TextBody"/>
        <w:spacing w:before="9" w:after="283"/>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0" w:after="0"/>
        <w:rPr/>
      </w:pPr>
      <w:r>
        <w:rPr/>
      </w:r>
    </w:p>
    <w:p>
      <w:pPr>
        <w:pStyle w:val="TextBody"/>
        <w:spacing w:before="0" w:after="0"/>
        <w:rPr/>
      </w:pPr>
      <w:r>
        <w:rPr/>
      </w:r>
    </w:p>
    <w:p>
      <w:pPr>
        <w:pStyle w:val="TextBody"/>
        <w:spacing w:before="8" w:after="283"/>
        <w:rPr/>
      </w:pPr>
      <w:r>
        <w:rPr/>
        <w:drawing>
          <wp:inline distT="0" distB="63500" distL="0" distR="0">
            <wp:extent cx="1114425" cy="14605"/>
            <wp:effectExtent l="0" t="0" r="0" b="0"/>
            <wp:docPr id="1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1" descr=""/>
                    <pic:cNvPicPr>
                      <a:picLocks noChangeAspect="1" noChangeArrowheads="1"/>
                    </pic:cNvPicPr>
                  </pic:nvPicPr>
                  <pic:blipFill>
                    <a:blip r:embed="rId41"/>
                    <a:stretch>
                      <a:fillRect/>
                    </a:stretch>
                  </pic:blipFill>
                  <pic:spPr bwMode="auto">
                    <a:xfrm>
                      <a:off x="0" y="0"/>
                      <a:ext cx="1114425" cy="14605"/>
                    </a:xfrm>
                    <a:prstGeom prst="rect">
                      <a:avLst/>
                    </a:prstGeom>
                  </pic:spPr>
                </pic:pic>
              </a:graphicData>
            </a:graphic>
          </wp:inline>
        </w:drawing>
      </w:r>
      <w:r>
        <w:rPr/>
        <w:drawing>
          <wp:inline distT="0" distB="63500" distL="0" distR="0">
            <wp:extent cx="904875" cy="14605"/>
            <wp:effectExtent l="0" t="0" r="0" b="0"/>
            <wp:docPr id="1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2" descr=""/>
                    <pic:cNvPicPr>
                      <a:picLocks noChangeAspect="1" noChangeArrowheads="1"/>
                    </pic:cNvPicPr>
                  </pic:nvPicPr>
                  <pic:blipFill>
                    <a:blip r:embed="rId42"/>
                    <a:stretch>
                      <a:fillRect/>
                    </a:stretch>
                  </pic:blipFill>
                  <pic:spPr bwMode="auto">
                    <a:xfrm>
                      <a:off x="0" y="0"/>
                      <a:ext cx="904875"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90 Castilian Initials    AppFolio Initials</w:t>
      </w:r>
    </w:p>
    <w:p>
      <w:pPr>
        <w:pStyle w:val="TextBody"/>
        <w:spacing w:before="0" w:after="0"/>
        <w:rPr/>
      </w:pPr>
      <w:r>
        <w:rPr/>
      </w:r>
    </w:p>
    <w:p>
      <w:pPr>
        <w:pStyle w:val="TextBody"/>
        <w:spacing w:before="0" w:after="0"/>
        <w:rPr/>
      </w:pPr>
      <w:r>
        <w:rPr/>
      </w:r>
    </w:p>
    <w:p>
      <w:pPr>
        <w:pStyle w:val="TextBody"/>
        <w:spacing w:before="7" w:after="283"/>
        <w:rPr/>
      </w:pPr>
      <w:r>
        <w:rPr/>
        <w:drawing>
          <wp:inline distT="0" distB="63500" distL="0" distR="0">
            <wp:extent cx="1181100" cy="14605"/>
            <wp:effectExtent l="0" t="0" r="0" b="0"/>
            <wp:docPr id="1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3" descr=""/>
                    <pic:cNvPicPr>
                      <a:picLocks noChangeAspect="1" noChangeArrowheads="1"/>
                    </pic:cNvPicPr>
                  </pic:nvPicPr>
                  <pic:blipFill>
                    <a:blip r:embed="rId43"/>
                    <a:stretch>
                      <a:fillRect/>
                    </a:stretch>
                  </pic:blipFill>
                  <pic:spPr bwMode="auto">
                    <a:xfrm>
                      <a:off x="0" y="0"/>
                      <a:ext cx="1181100" cy="14605"/>
                    </a:xfrm>
                    <a:prstGeom prst="rect">
                      <a:avLst/>
                    </a:prstGeom>
                  </pic:spPr>
                </pic:pic>
              </a:graphicData>
            </a:graphic>
          </wp:inline>
        </w:drawing>
      </w:r>
      <w:r>
        <w:rPr/>
        <w:drawing>
          <wp:inline distT="0" distB="63500" distL="0" distR="0">
            <wp:extent cx="1181100" cy="14605"/>
            <wp:effectExtent l="0" t="0" r="0" b="0"/>
            <wp:docPr id="1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4" descr=""/>
                    <pic:cNvPicPr>
                      <a:picLocks noChangeAspect="1" noChangeArrowheads="1"/>
                    </pic:cNvPicPr>
                  </pic:nvPicPr>
                  <pic:blipFill>
                    <a:blip r:embed="rId44"/>
                    <a:stretch>
                      <a:fillRect/>
                    </a:stretch>
                  </pic:blipFill>
                  <pic:spPr bwMode="auto">
                    <a:xfrm>
                      <a:off x="0" y="0"/>
                      <a:ext cx="1181100" cy="14605"/>
                    </a:xfrm>
                    <a:prstGeom prst="rect">
                      <a:avLst/>
                    </a:prstGeom>
                  </pic:spPr>
                </pic:pic>
              </a:graphicData>
            </a:graphic>
          </wp:inline>
        </w:drawing>
      </w:r>
    </w:p>
    <w:p>
      <w:pPr>
        <w:pStyle w:val="TextBody"/>
        <w:spacing w:lineRule="auto" w:line="273" w:before="0" w:after="0"/>
        <w:rPr>
          <w:rFonts w:ascii="Times New Roman;sans-serif" w:hAnsi="Times New Roman;sans-serif"/>
          <w:b w:val="false"/>
          <w:color w:val="000000"/>
          <w:sz w:val="22"/>
        </w:rPr>
      </w:pPr>
      <w:r>
        <w:rPr>
          <w:rFonts w:ascii="Times New Roman;sans-serif" w:hAnsi="Times New Roman;sans-serif"/>
          <w:b w:val="false"/>
          <w:color w:val="000000"/>
          <w:sz w:val="22"/>
        </w:rPr>
        <w:t>70 Castilian Initials    50 Castilian Initials</w:t>
      </w:r>
    </w:p>
    <w:p>
      <w:pPr>
        <w:pStyle w:val="TextBody"/>
        <w:spacing w:before="0" w:after="0"/>
        <w:rPr/>
      </w:pPr>
      <w:r>
        <w:rPr/>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AppFolio hereby represents and warrants to the Landlords that (a) AppFolio has not, either voluntarily or by operation of law, heretofore assigned, encumbered or transferred all or any portion of its right, title and interest in or to the Umbrella Agreement or the Existing Leases; (b) AppFolio has full power and authority to enter into this Agreement, and to consummate the transactions contemplated hereby, and the persons signing on behalf of AppFolio have been fully authorized to do so by all necessary action on the part of AppFolio; and (c) no consent or approval of any other party is required for this Agreement to constitute a legal, valid and binding obligation of AppFolio, or to terminate the Umbrella Agreement or the Existing Leases.</w:t>
      </w:r>
    </w:p>
    <w:p>
      <w:pPr>
        <w:pStyle w:val="TextBody"/>
        <w:spacing w:before="7" w:after="283"/>
        <w:rPr/>
      </w:pPr>
      <w:r>
        <w:rPr/>
      </w:r>
    </w:p>
    <w:p>
      <w:pPr>
        <w:pStyle w:val="TextBody"/>
        <w:spacing w:lineRule="auto" w:line="240" w:before="0" w:after="0"/>
        <w:ind w:left="0" w:right="0" w:hanging="721"/>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92" w:after="283"/>
        <w:ind w:left="0" w:right="0" w:firstLine="14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(and the Leases) is the entire agreement between the parties hereto with respect to the subject matter hereof. This Agreement may be amended only by an agreement in writing, signed by the Landlords and AppFolio.</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287780"/>
                <wp:effectExtent l="0" t="0" r="0" b="0"/>
                <wp:wrapNone/>
                <wp:docPr id="127" name="Frame103"/>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ind w:left="0" w:right="0" w:firstLine="14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Drafting</w:t>
      </w:r>
      <w:r>
        <w:rPr>
          <w:rFonts w:ascii="Times New Roman;sans-serif" w:hAnsi="Times New Roman;sans-serif"/>
          <w:b w:val="false"/>
          <w:color w:val="000000"/>
          <w:sz w:val="22"/>
        </w:rPr>
        <w:t>. The foregoing Recitals are deemed incorporate in and part of this Agreement. Each party hereto has cooperated and participated in the drafting and preparation of this Agreement, and in any construction of this Agreement, the same shall not be construed against either party based on its alleged role as draftsperson. Section and subsection headings contained in this Agreement are for purposes of identification and reference only and shall not affect in any way the meaning or interpretation of any provision of this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All representations, warranties and agreements in this Agreement shall survive termination of the Umbrella Agreement and the Existing Leases, and shall not be merged with any other document or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4.4</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In the event of any action for breach of, or to enforce the provisions of this Agreement, the prevailing party in such action shall be entitled to reasonable attorneys’ fees, costs, and expenses and reasonable attorneys’ fees on appeal or other judicial proceedings.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4.5</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provisions of this Agreement shall be binding upon and inure to the benefit of the parties hereto, and to all of their respective successors and assigns.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4.6</w:t>
      </w:r>
      <w:r>
        <w:rPr>
          <w:rFonts w:ascii="Times New Roman;sans-serif" w:hAnsi="Times New Roman;sans-serif"/>
          <w:b w:val="false"/>
          <w:color w:val="000000"/>
          <w:sz w:val="22"/>
          <w:u w:val="single"/>
        </w:rPr>
        <w:t>California La</w:t>
      </w:r>
      <w:r>
        <w:rPr>
          <w:rFonts w:ascii="Times New Roman;sans-serif" w:hAnsi="Times New Roman;sans-serif"/>
          <w:b w:val="false"/>
          <w:color w:val="000000"/>
          <w:sz w:val="22"/>
        </w:rPr>
        <w:t>w. This Agreement shall be governed by and construed in accordance with California law. Venue for any action hereunder or relating hereto shall solely be in the County of Santa Barbara.</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4.7</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Agreement may be executed in duplicate counterparts, each of which shall be deemed an original, but which, when taken together, shall constitute one and the same instrument. A facsimile signature or a PDF or other electronic format signature shall each be as binding, and have the same force and effect, as an original ink signature.</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4.9</w:t>
      </w:r>
      <w:r>
        <w:rPr>
          <w:rFonts w:ascii="Times New Roman;sans-serif" w:hAnsi="Times New Roman;sans-serif"/>
          <w:b w:val="false"/>
          <w:color w:val="000000"/>
          <w:sz w:val="22"/>
          <w:u w:val="single"/>
        </w:rPr>
        <w:t>Time of the Essence</w:t>
      </w:r>
      <w:r>
        <w:rPr>
          <w:rFonts w:ascii="Times New Roman;sans-serif" w:hAnsi="Times New Roman;sans-serif"/>
          <w:b w:val="false"/>
          <w:color w:val="000000"/>
          <w:sz w:val="22"/>
        </w:rPr>
        <w:t>. Time is of the essence with respect to this Agreement and all obligations hereunder.</w:t>
      </w:r>
    </w:p>
    <w:p>
      <w:pPr>
        <w:pStyle w:val="TextBody"/>
        <w:spacing w:before="7"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4.10</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Each party hereto shall, from time to time, upon the request of another party hereto, execute, acknowledge and deliver all such further agreements and other instruments as may be reasonably required to further evidence the terms of this Agreement.</w:t>
      </w:r>
    </w:p>
    <w:p>
      <w:pPr>
        <w:pStyle w:val="TextBody"/>
        <w:spacing w:before="2"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287780"/>
                <wp:effectExtent l="0" t="0" r="0" b="0"/>
                <wp:wrapNone/>
                <wp:docPr id="128" name="Frame104"/>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94"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Landlords and AppFolio have entered into this Agreement as of the Termination Effective Date.</w:t>
      </w:r>
    </w:p>
    <w:p>
      <w:pPr>
        <w:pStyle w:val="TextBody"/>
        <w:spacing w:before="0" w:after="0"/>
        <w:rPr/>
      </w:pPr>
      <w:r>
        <w:rPr/>
      </w:r>
    </w:p>
    <w:p>
      <w:pPr>
        <w:pStyle w:val="TextBody"/>
        <w:spacing w:before="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90</w:t>
      </w:r>
      <w:r>
        <w:rPr>
          <w:color w:val="000000"/>
        </w:rPr>
        <w: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CASTILIAN 90, LLC, a Delaware limited liability company</w:t>
      </w:r>
    </w:p>
    <w:p>
      <w:pPr>
        <w:pStyle w:val="TextBody"/>
        <w:spacing w:before="0" w:after="0"/>
        <w:rPr/>
      </w:pPr>
      <w:r>
        <w:rPr/>
      </w:r>
    </w:p>
    <w:p>
      <w:pPr>
        <w:pStyle w:val="TextBody"/>
        <w:spacing w:before="0" w:after="0"/>
        <w:rPr/>
      </w:pPr>
      <w:r>
        <w:rPr/>
      </w:r>
    </w:p>
    <w:p>
      <w:pPr>
        <w:pStyle w:val="TextBody"/>
        <w:spacing w:lineRule="auto" w:line="240" w:before="210"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1" w:after="283"/>
        <w:rPr/>
      </w:pPr>
      <w:r>
        <w:rPr/>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2"/>
        </w:rPr>
        <w:t>CASTILIAN 70</w:t>
      </w:r>
      <w:r>
        <w:rPr>
          <w:color w:val="000000"/>
        </w:rPr>
        <w: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CASTILIAN 70, LLC, a Delaware limited liability company</w:t>
      </w:r>
    </w:p>
    <w:p>
      <w:pPr>
        <w:pStyle w:val="TextBody"/>
        <w:spacing w:before="0" w:after="0"/>
        <w:rPr/>
      </w:pPr>
      <w:r>
        <w:rPr/>
      </w:r>
    </w:p>
    <w:p>
      <w:pPr>
        <w:pStyle w:val="TextBody"/>
        <w:spacing w:before="0" w:after="0"/>
        <w:rPr/>
      </w:pPr>
      <w:r>
        <w:rPr/>
      </w:r>
    </w:p>
    <w:p>
      <w:pPr>
        <w:pStyle w:val="TextBody"/>
        <w:spacing w:lineRule="auto" w:line="240" w:before="210"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rPr/>
      </w:pPr>
      <w:r>
        <w:rPr/>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color w:val="000000"/>
          <w:sz w:val="22"/>
        </w:rPr>
        <w:t>CASTILIAN 50</w:t>
      </w:r>
      <w:r>
        <w:rPr>
          <w:color w:val="000000"/>
        </w:rPr>
        <w: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CASTILIAN 50, LLC, a Delaware limited liability company</w:t>
      </w:r>
    </w:p>
    <w:p>
      <w:pPr>
        <w:pStyle w:val="TextBody"/>
        <w:spacing w:before="0" w:after="0"/>
        <w:rPr/>
      </w:pPr>
      <w:r>
        <w:rPr/>
      </w:r>
    </w:p>
    <w:p>
      <w:pPr>
        <w:pStyle w:val="TextBody"/>
        <w:spacing w:before="0" w:after="0"/>
        <w:rPr/>
      </w:pPr>
      <w:r>
        <w:rPr/>
      </w:r>
    </w:p>
    <w:p>
      <w:pPr>
        <w:pStyle w:val="TextBody"/>
        <w:spacing w:lineRule="auto" w:line="240" w:before="205"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27" w:after="283"/>
        <w:rPr/>
      </w:pPr>
      <w:r>
        <w:rPr/>
      </w:r>
    </w:p>
    <w:p>
      <w:pPr>
        <w:pStyle w:val="TextBody"/>
        <w:spacing w:lineRule="auto" w:line="619" w:before="0" w:after="0"/>
        <w:rPr/>
      </w:pPr>
      <w:r>
        <w:rPr>
          <w:color w:val="000000"/>
        </w:rPr>
        <w:t>“</w:t>
      </w:r>
      <w:r>
        <w:rPr>
          <w:rFonts w:ascii="Times New Roman;sans-serif" w:hAnsi="Times New Roman;sans-serif"/>
          <w:b/>
          <w:color w:val="000000"/>
          <w:sz w:val="22"/>
        </w:rPr>
        <w:t>APPFOLIO</w:t>
      </w:r>
      <w:r>
        <w:rPr>
          <w:color w:val="000000"/>
        </w:rPr>
        <w:t xml:space="preserve">” </w:t>
      </w:r>
      <w:r>
        <w:rPr>
          <w:rFonts w:ascii="Times New Roman;sans-serif" w:hAnsi="Times New Roman;sans-serif"/>
          <w:b w:val="false"/>
          <w:color w:val="000000"/>
          <w:sz w:val="22"/>
        </w:rPr>
        <w:t>APPFOLIO, INC.,</w:t>
      </w:r>
    </w:p>
    <w:p>
      <w:pPr>
        <w:pStyle w:val="TextBody"/>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before="0" w:after="0"/>
        <w:rPr/>
      </w:pPr>
      <w:r>
        <w:rPr/>
      </w:r>
    </w:p>
    <w:p>
      <w:pPr>
        <w:pStyle w:val="TextBody"/>
        <w:spacing w:before="0" w:after="0"/>
        <w:rPr/>
      </w:pPr>
      <w:r>
        <w:rPr/>
      </w:r>
    </w:p>
    <w:p>
      <w:pPr>
        <w:pStyle w:val="TextBody"/>
        <w:spacing w:lineRule="auto" w:line="240" w:before="208" w:after="283"/>
        <w:jc w:val="both"/>
        <w:rPr/>
      </w:pPr>
      <w:r>
        <w:rPr>
          <w:rFonts w:ascii="Times New Roman;sans-serif" w:hAnsi="Times New Roman;sans-serif"/>
          <w:b w:val="false"/>
          <w:color w:val="000000"/>
          <w:sz w:val="22"/>
        </w:rPr>
        <w:t>By:</w:t>
      </w:r>
      <w:r>
        <w:rPr>
          <w:color w:val="000000"/>
          <w:u w:val="single"/>
        </w:rPr>
        <w:t>        </w:t>
      </w:r>
      <w:r>
        <w:rPr>
          <w:color w:val="000000"/>
        </w:rPr>
        <w:t xml:space="preserve"> </w:t>
      </w: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 xml:space="preserve">Title: </w:t>
      </w:r>
      <w:r>
        <w:rPr>
          <w:color w:val="000000"/>
          <w:u w:val="single"/>
        </w:rPr>
        <w:t>        </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287780"/>
                <wp:effectExtent l="0" t="0" r="0" b="0"/>
                <wp:wrapNone/>
                <wp:docPr id="129" name="Frame105"/>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C</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Landlord Amendment Work</w:t>
      </w:r>
    </w:p>
    <w:p>
      <w:pPr>
        <w:pStyle w:val="TextBody"/>
        <w:spacing w:before="0" w:after="0"/>
        <w:rPr/>
      </w:pPr>
      <w:r>
        <w:rPr/>
      </w:r>
    </w:p>
    <w:p>
      <w:pPr>
        <w:pStyle w:val="TextBody"/>
        <w:spacing w:lineRule="auto" w:line="240" w:before="91" w:after="283"/>
        <w:rPr>
          <w:rFonts w:ascii="Times New Roman;sans-serif" w:hAnsi="Times New Roman;sans-serif"/>
          <w:b/>
          <w:color w:val="000000"/>
          <w:sz w:val="22"/>
          <w:u w:val="single"/>
        </w:rPr>
      </w:pPr>
      <w:r>
        <w:rPr>
          <w:rFonts w:ascii="Times New Roman;sans-serif" w:hAnsi="Times New Roman;sans-serif"/>
          <w:b/>
          <w:color w:val="000000"/>
          <w:sz w:val="22"/>
          <w:u w:val="single"/>
        </w:rPr>
        <w:t>Roof Scope of Work</w:t>
      </w:r>
    </w:p>
    <w:p>
      <w:pPr>
        <w:pStyle w:val="TextBody"/>
        <w:spacing w:before="5"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Preparation work to existing built-up roof system (including repairs to membrane, flashings and penetrations) and removal of existing counter-flashing skirt at perimeter walls and unused equipment and demolition of existing walk-pad material</w:t>
      </w:r>
    </w:p>
    <w:p>
      <w:pPr>
        <w:pStyle w:val="TextBody"/>
        <w:spacing w:before="3"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Installation of new polyester reinforced maintenance system, including protective walk-pad material and Providing 10 Year Term Material Manufacturer’s Guarantee</w:t>
      </w:r>
    </w:p>
    <w:p>
      <w:pPr>
        <w:pStyle w:val="TextBody"/>
        <w:spacing w:before="1"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New sheet metal components (platform and sleeper covers, counter-flashing inserts, surface- mounted counter-flashings, Pelican hood flashings, T-Top caps, gravity vent and storm collars) and accessories, including PVC/foam block supports and new sleepers</w:t>
      </w:r>
    </w:p>
    <w:p>
      <w:pPr>
        <w:pStyle w:val="TextBody"/>
        <w:spacing w:before="3"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Removal of roof hatch and replacement with new exterior mounted safety handrail with automatic closing gate</w:t>
      </w:r>
    </w:p>
    <w:p>
      <w:pPr>
        <w:pStyle w:val="TextBody"/>
        <w:spacing w:before="6"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New portable safety handrails for low-profile curbed openings of skylight and new safety warning line applications on membrane surface</w:t>
      </w:r>
    </w:p>
    <w:p>
      <w:pPr>
        <w:pStyle w:val="TextBody"/>
        <w:spacing w:before="2" w:after="283"/>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2"/>
        </w:rPr>
        <w:t>Miscellaneous work items and accessories as Landlord deems necessary in connection with roof work, (including any necessary restoration of drain assemblies and gas lines extending across roof membrane surface)</w:t>
      </w:r>
    </w:p>
    <w:p>
      <w:pPr>
        <w:pStyle w:val="TextBody"/>
        <w:spacing w:before="0" w:after="0"/>
        <w:rPr/>
      </w:pPr>
      <w:r>
        <w:rPr/>
      </w:r>
    </w:p>
    <w:p>
      <w:pPr>
        <w:pStyle w:val="TextBody"/>
        <w:spacing w:before="11" w:after="283"/>
        <w:rPr/>
      </w:pPr>
      <w:r>
        <w:rPr/>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HVAC Equipment Replacement Scope of Work</w:t>
      </w:r>
    </w:p>
    <w:p>
      <w:pPr>
        <w:pStyle w:val="TextBody"/>
        <w:spacing w:before="4" w:after="283"/>
        <w:rPr/>
      </w:pPr>
      <w:r>
        <w:rPr/>
      </w:r>
    </w:p>
    <w:p>
      <w:pPr>
        <w:pStyle w:val="TextBody"/>
        <w:spacing w:lineRule="auto" w:line="240" w:before="1" w:after="283"/>
        <w:ind w:left="0" w:right="0" w:hanging="361"/>
        <w:rPr/>
      </w:pPr>
      <w:r>
        <w:rPr>
          <w:color w:val="000000"/>
        </w:rPr>
        <w:t>•</w:t>
      </w:r>
      <w:r>
        <w:rPr>
          <w:rFonts w:ascii="Times New Roman;sans-serif" w:hAnsi="Times New Roman;sans-serif"/>
          <w:b w:val="false"/>
          <w:color w:val="000000"/>
          <w:sz w:val="22"/>
        </w:rPr>
        <w:t>Procure equipment and materials as required for project scope</w:t>
      </w:r>
    </w:p>
    <w:p>
      <w:pPr>
        <w:pStyle w:val="TextBody"/>
        <w:spacing w:lineRule="auto" w:line="240" w:before="139" w:after="283"/>
        <w:ind w:left="0" w:right="0" w:hanging="361"/>
        <w:rPr/>
      </w:pPr>
      <w:r>
        <w:rPr>
          <w:color w:val="000000"/>
        </w:rPr>
        <w:t>•</w:t>
      </w:r>
      <w:r>
        <w:rPr>
          <w:rFonts w:ascii="Times New Roman;sans-serif" w:hAnsi="Times New Roman;sans-serif"/>
          <w:b w:val="false"/>
          <w:color w:val="000000"/>
          <w:sz w:val="22"/>
        </w:rPr>
        <w:t>Protect work areas during performance of work as may be needed</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Provide all cranes and rigging as needed for performance of work</w:t>
      </w:r>
    </w:p>
    <w:p>
      <w:pPr>
        <w:pStyle w:val="TextBody"/>
        <w:spacing w:lineRule="auto" w:line="240" w:before="144" w:after="283"/>
        <w:ind w:left="0" w:right="0" w:hanging="361"/>
        <w:rPr/>
      </w:pPr>
      <w:r>
        <w:rPr>
          <w:color w:val="000000"/>
        </w:rPr>
        <w:t>•</w:t>
      </w:r>
      <w:r>
        <w:rPr>
          <w:rFonts w:ascii="Times New Roman;sans-serif" w:hAnsi="Times New Roman;sans-serif"/>
          <w:b w:val="false"/>
          <w:color w:val="000000"/>
          <w:sz w:val="22"/>
        </w:rPr>
        <w:t>Coordinate with subcontractors as needed for performance of work</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Disconnect horizontal ducting at eight (8) rooftop package HVAC units and prep for re-use</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Disconnect gas connections at twenty-four (24) rooftop package HVAC units and prep for re-use</w:t>
      </w:r>
    </w:p>
    <w:p>
      <w:pPr>
        <w:pStyle w:val="TextBody"/>
        <w:spacing w:lineRule="auto" w:line="417" w:before="144" w:after="283"/>
        <w:ind w:left="0" w:right="0" w:hanging="360"/>
        <w:rPr/>
      </w:pPr>
      <w:r>
        <w:rPr>
          <w:color w:val="000000"/>
        </w:rPr>
        <w:t>•</w:t>
      </w:r>
      <w:r>
        <w:rPr>
          <w:rFonts w:ascii="Times New Roman;sans-serif" w:hAnsi="Times New Roman;sans-serif"/>
          <w:b w:val="false"/>
          <w:color w:val="000000"/>
          <w:sz w:val="22"/>
        </w:rPr>
        <w:t>Disconnect condensate drain piping at twenty-four (24) rooftop package HVAC units and prep for re-use</w:t>
      </w:r>
    </w:p>
    <w:p>
      <w:pPr>
        <w:pStyle w:val="TextBody"/>
        <w:spacing w:lineRule="auto" w:line="422" w:before="13" w:after="283"/>
        <w:ind w:left="0" w:right="0" w:hanging="360"/>
        <w:rPr/>
      </w:pPr>
      <w:r>
        <w:rPr>
          <w:color w:val="000000"/>
        </w:rPr>
        <w:t>•</w:t>
      </w:r>
      <w:r>
        <w:rPr>
          <w:rFonts w:ascii="Times New Roman;sans-serif" w:hAnsi="Times New Roman;sans-serif"/>
          <w:b w:val="false"/>
          <w:color w:val="000000"/>
          <w:sz w:val="22"/>
        </w:rPr>
        <w:t>Disconnect electrical and control wiring connections at twenty-four (24) rooftop package HVAC units and prep for re-use</w:t>
      </w:r>
    </w:p>
    <w:p>
      <w:pPr>
        <w:pStyle w:val="TextBody"/>
        <w:spacing w:lineRule="auto" w:line="417" w:before="8" w:after="283"/>
        <w:ind w:left="0" w:right="0" w:hanging="360"/>
        <w:rPr/>
      </w:pPr>
      <w:r>
        <w:rPr>
          <w:color w:val="000000"/>
        </w:rPr>
        <w:t>•</w:t>
      </w:r>
      <w:r>
        <w:rPr>
          <w:rFonts w:ascii="Times New Roman;sans-serif" w:hAnsi="Times New Roman;sans-serif"/>
          <w:b w:val="false"/>
          <w:color w:val="000000"/>
          <w:sz w:val="22"/>
        </w:rPr>
        <w:t>Detach equipment curb/platforms from twenty-four (24) rooftop package HVAC units and prep for re-use</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287780"/>
                <wp:effectExtent l="0" t="0" r="0" b="0"/>
                <wp:wrapNone/>
                <wp:docPr id="130" name="Frame106"/>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14</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417" w:before="105" w:after="283"/>
        <w:ind w:left="0" w:right="0" w:hanging="360"/>
        <w:rPr/>
      </w:pPr>
      <w:r>
        <w:rPr>
          <w:color w:val="000000"/>
        </w:rPr>
        <w:t>•</w:t>
      </w:r>
      <w:r>
        <w:rPr>
          <w:rFonts w:ascii="Times New Roman;sans-serif" w:hAnsi="Times New Roman;sans-serif"/>
          <w:b w:val="false"/>
          <w:color w:val="000000"/>
          <w:sz w:val="22"/>
        </w:rPr>
        <w:t>Furnish and install one (1) adapter curb on AC-10 where required to meet configuration of new units</w:t>
      </w:r>
    </w:p>
    <w:p>
      <w:pPr>
        <w:pStyle w:val="TextBody"/>
        <w:spacing w:lineRule="auto" w:line="422" w:before="13" w:after="283"/>
        <w:ind w:left="0" w:right="0" w:hanging="360"/>
        <w:rPr/>
      </w:pPr>
      <w:r>
        <w:rPr>
          <w:color w:val="000000"/>
        </w:rPr>
        <w:t>•</w:t>
      </w:r>
      <w:r>
        <w:rPr>
          <w:rFonts w:ascii="Times New Roman;sans-serif" w:hAnsi="Times New Roman;sans-serif"/>
          <w:b w:val="false"/>
          <w:color w:val="000000"/>
          <w:sz w:val="22"/>
        </w:rPr>
        <w:t>Furnish and install twenty-four (24) Title 24 compliant rooftop package HVAC units sized per the existing systems</w:t>
      </w:r>
    </w:p>
    <w:p>
      <w:pPr>
        <w:pStyle w:val="TextBody"/>
        <w:spacing w:lineRule="auto" w:line="417" w:before="8" w:after="283"/>
        <w:ind w:left="0" w:right="0" w:hanging="360"/>
        <w:rPr/>
      </w:pPr>
      <w:r>
        <w:rPr>
          <w:color w:val="000000"/>
        </w:rPr>
        <w:t>•</w:t>
      </w:r>
      <w:r>
        <w:rPr>
          <w:rFonts w:ascii="Times New Roman;sans-serif" w:hAnsi="Times New Roman;sans-serif"/>
          <w:b w:val="false"/>
          <w:color w:val="000000"/>
          <w:sz w:val="22"/>
        </w:rPr>
        <w:t>New HVAC units will be supplied with factory dipped condenser coils for increased protection from high salinity air</w:t>
      </w:r>
    </w:p>
    <w:p>
      <w:pPr>
        <w:pStyle w:val="TextBody"/>
        <w:spacing w:lineRule="auto" w:line="240" w:before="13" w:after="283"/>
        <w:ind w:left="0" w:right="0" w:hanging="361"/>
        <w:rPr/>
      </w:pPr>
      <w:r>
        <w:rPr>
          <w:color w:val="000000"/>
        </w:rPr>
        <w:t>•</w:t>
      </w:r>
      <w:r>
        <w:rPr>
          <w:rFonts w:ascii="Times New Roman;sans-serif" w:hAnsi="Times New Roman;sans-serif"/>
          <w:b w:val="false"/>
          <w:color w:val="000000"/>
          <w:sz w:val="22"/>
        </w:rPr>
        <w:t>Fasten new units to curbs/platforms as may be required</w:t>
      </w:r>
    </w:p>
    <w:p>
      <w:pPr>
        <w:pStyle w:val="TextBody"/>
        <w:spacing w:lineRule="auto" w:line="240" w:before="144" w:after="283"/>
        <w:ind w:left="0" w:right="0" w:hanging="361"/>
        <w:rPr/>
      </w:pPr>
      <w:r>
        <w:rPr>
          <w:color w:val="000000"/>
        </w:rPr>
        <w:t>•</w:t>
      </w:r>
      <w:r>
        <w:rPr>
          <w:rFonts w:ascii="Times New Roman;sans-serif" w:hAnsi="Times New Roman;sans-serif"/>
          <w:b w:val="false"/>
          <w:color w:val="000000"/>
          <w:sz w:val="22"/>
        </w:rPr>
        <w:t>Replace all rooftop ducting as required for connection to new systems</w:t>
      </w:r>
    </w:p>
    <w:p>
      <w:pPr>
        <w:pStyle w:val="TextBody"/>
        <w:spacing w:lineRule="auto" w:line="417" w:before="140" w:after="283"/>
        <w:ind w:left="0" w:right="0" w:hanging="360"/>
        <w:rPr/>
      </w:pPr>
      <w:r>
        <w:rPr>
          <w:color w:val="000000"/>
        </w:rPr>
        <w:t>•</w:t>
      </w:r>
      <w:r>
        <w:rPr>
          <w:rFonts w:ascii="Times New Roman;sans-serif" w:hAnsi="Times New Roman;sans-serif"/>
          <w:b w:val="false"/>
          <w:color w:val="000000"/>
          <w:sz w:val="22"/>
        </w:rPr>
        <w:t>Reconnect existing electrical and control wiring, modify as required for connection to new systems</w:t>
      </w:r>
    </w:p>
    <w:p>
      <w:pPr>
        <w:pStyle w:val="TextBody"/>
        <w:spacing w:lineRule="auto" w:line="422" w:before="13" w:after="283"/>
        <w:ind w:left="0" w:right="0" w:hanging="360"/>
        <w:rPr/>
      </w:pPr>
      <w:r>
        <w:rPr>
          <w:color w:val="000000"/>
        </w:rPr>
        <w:t>•</w:t>
      </w:r>
      <w:r>
        <w:rPr>
          <w:rFonts w:ascii="Times New Roman;sans-serif" w:hAnsi="Times New Roman;sans-serif"/>
          <w:b w:val="false"/>
          <w:color w:val="000000"/>
          <w:sz w:val="22"/>
        </w:rPr>
        <w:t>Furnish and install new fuse electrical disconnects for the new twenty-four (24) rooftop package units</w:t>
      </w:r>
    </w:p>
    <w:p>
      <w:pPr>
        <w:pStyle w:val="TextBody"/>
        <w:spacing w:lineRule="auto" w:line="240" w:before="7" w:after="283"/>
        <w:ind w:left="0" w:right="0" w:hanging="361"/>
        <w:rPr/>
      </w:pPr>
      <w:r>
        <w:rPr>
          <w:color w:val="000000"/>
        </w:rPr>
        <w:t>•</w:t>
      </w:r>
      <w:r>
        <w:rPr>
          <w:rFonts w:ascii="Times New Roman;sans-serif" w:hAnsi="Times New Roman;sans-serif"/>
          <w:b w:val="false"/>
          <w:color w:val="000000"/>
          <w:sz w:val="22"/>
        </w:rPr>
        <w:t>Reconnect existing condensate piping, modify as required for connection to new systems</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Replace defective flex connections</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Reconnect existing gas piping, modify as required for connection to new systems</w:t>
      </w:r>
    </w:p>
    <w:p>
      <w:pPr>
        <w:pStyle w:val="TextBody"/>
        <w:spacing w:lineRule="auto" w:line="240" w:before="144" w:after="283"/>
        <w:ind w:left="0" w:right="0" w:hanging="361"/>
        <w:rPr/>
      </w:pPr>
      <w:r>
        <w:rPr>
          <w:color w:val="000000"/>
        </w:rPr>
        <w:t>•</w:t>
      </w:r>
      <w:r>
        <w:rPr>
          <w:rFonts w:ascii="Times New Roman;sans-serif" w:hAnsi="Times New Roman;sans-serif"/>
          <w:b w:val="false"/>
          <w:color w:val="000000"/>
          <w:sz w:val="22"/>
        </w:rPr>
        <w:t>Re-supporting and sloping existing condensate drains using new non-penetrating rubber supports</w:t>
      </w:r>
    </w:p>
    <w:p>
      <w:pPr>
        <w:pStyle w:val="TextBody"/>
        <w:spacing w:lineRule="auto" w:line="417" w:before="140" w:after="283"/>
        <w:ind w:left="0" w:right="0" w:hanging="360"/>
        <w:rPr/>
      </w:pPr>
      <w:r>
        <w:rPr>
          <w:color w:val="000000"/>
        </w:rPr>
        <w:t>•</w:t>
      </w:r>
      <w:r>
        <w:rPr>
          <w:rFonts w:ascii="Times New Roman;sans-serif" w:hAnsi="Times New Roman;sans-serif"/>
          <w:b w:val="false"/>
          <w:color w:val="000000"/>
          <w:sz w:val="22"/>
        </w:rPr>
        <w:t>Startup operations on new systems and document as required to attempt to maintain manufacture warranty</w:t>
      </w:r>
    </w:p>
    <w:p>
      <w:pPr>
        <w:pStyle w:val="TextBody"/>
        <w:spacing w:lineRule="auto" w:line="240" w:before="13" w:after="283"/>
        <w:ind w:left="0" w:right="0" w:hanging="361"/>
        <w:rPr/>
      </w:pPr>
      <w:r>
        <w:rPr>
          <w:color w:val="000000"/>
        </w:rPr>
        <w:t>•</w:t>
      </w:r>
      <w:r>
        <w:rPr>
          <w:rFonts w:ascii="Times New Roman;sans-serif" w:hAnsi="Times New Roman;sans-serif"/>
          <w:b w:val="false"/>
          <w:color w:val="000000"/>
          <w:sz w:val="22"/>
        </w:rPr>
        <w:t>Post-completion inspection with inspector as required for final permit signoff</w:t>
      </w:r>
    </w:p>
    <w:p>
      <w:pPr>
        <w:pStyle w:val="TextBody"/>
        <w:spacing w:lineRule="auto" w:line="240" w:before="144" w:after="283"/>
        <w:ind w:left="0" w:right="0" w:hanging="361"/>
        <w:rPr/>
      </w:pPr>
      <w:r>
        <w:rPr>
          <w:color w:val="000000"/>
        </w:rPr>
        <w:t>•</w:t>
      </w:r>
      <w:r>
        <w:rPr>
          <w:rFonts w:ascii="Times New Roman;sans-serif" w:hAnsi="Times New Roman;sans-serif"/>
          <w:b w:val="false"/>
          <w:color w:val="000000"/>
          <w:sz w:val="22"/>
        </w:rPr>
        <w:t>Provide closeout package with pertinent material project documentation</w:t>
      </w:r>
    </w:p>
    <w:p>
      <w:pPr>
        <w:pStyle w:val="TextBody"/>
        <w:spacing w:lineRule="auto" w:line="240" w:before="140" w:after="283"/>
        <w:ind w:left="0" w:right="0" w:hanging="361"/>
        <w:rPr/>
      </w:pPr>
      <w:r>
        <w:rPr>
          <w:color w:val="000000"/>
        </w:rPr>
        <w:t>•</w:t>
      </w:r>
      <w:r>
        <w:rPr>
          <w:rFonts w:ascii="Times New Roman;sans-serif" w:hAnsi="Times New Roman;sans-serif"/>
          <w:b w:val="false"/>
          <w:color w:val="000000"/>
          <w:sz w:val="22"/>
        </w:rPr>
        <w:t>Remove and dispose of debris associated with project scope</w:t>
      </w:r>
    </w:p>
    <w:p>
      <w:pPr>
        <w:pStyle w:val="TextBody"/>
        <w:spacing w:lineRule="auto" w:line="240" w:before="144" w:after="283"/>
        <w:ind w:left="0" w:right="0" w:hanging="361"/>
        <w:rPr/>
      </w:pPr>
      <w:r>
        <w:rPr>
          <w:color w:val="000000"/>
        </w:rPr>
        <w:t>•</w:t>
      </w:r>
      <w:r>
        <w:rPr>
          <w:rFonts w:ascii="Times New Roman;sans-serif" w:hAnsi="Times New Roman;sans-serif"/>
          <w:b w:val="false"/>
          <w:color w:val="000000"/>
          <w:sz w:val="22"/>
        </w:rPr>
        <w:t>Provide (1) one year parts and labor 3</w:t>
      </w:r>
      <w:r>
        <w:rPr>
          <w:rFonts w:ascii="Times New Roman;sans-serif" w:hAnsi="Times New Roman;sans-serif"/>
          <w:b w:val="false"/>
          <w:color w:val="000000"/>
          <w:sz w:val="14"/>
        </w:rPr>
        <w:t>rd</w:t>
      </w:r>
      <w:r>
        <w:rPr>
          <w:rFonts w:ascii="Times New Roman;sans-serif" w:hAnsi="Times New Roman;sans-serif"/>
          <w:b w:val="false"/>
          <w:color w:val="000000"/>
          <w:sz w:val="22"/>
        </w:rPr>
        <w:t>-party warranty on all supplied major equipment</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287780"/>
                <wp:effectExtent l="0" t="0" r="0" b="0"/>
                <wp:wrapNone/>
                <wp:docPr id="131" name="Frame107"/>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D</w:t>
      </w:r>
    </w:p>
    <w:p>
      <w:pPr>
        <w:pStyle w:val="TextBody"/>
        <w:spacing w:before="7" w:after="283"/>
        <w:rPr/>
      </w:pPr>
      <w:r>
        <w:rPr/>
      </w:r>
    </w:p>
    <w:p>
      <w:pPr>
        <w:pStyle w:val="TextBody"/>
        <w:spacing w:lineRule="auto" w:line="240" w:before="92"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90 Castilian Parking Area</w:t>
      </w:r>
    </w:p>
    <w:p>
      <w:pPr>
        <w:pStyle w:val="TextBody"/>
        <w:spacing w:before="1" w:after="283"/>
        <w:rPr/>
      </w:pPr>
      <w:r>
        <w:rPr/>
        <w:drawing>
          <wp:inline distT="0" distB="63500" distL="0" distR="0">
            <wp:extent cx="5934075" cy="5086350"/>
            <wp:effectExtent l="0" t="0" r="0" b="0"/>
            <wp:docPr id="1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5" descr=""/>
                    <pic:cNvPicPr>
                      <a:picLocks noChangeAspect="1" noChangeArrowheads="1"/>
                    </pic:cNvPicPr>
                  </pic:nvPicPr>
                  <pic:blipFill>
                    <a:blip r:embed="rId45"/>
                    <a:stretch>
                      <a:fillRect/>
                    </a:stretch>
                  </pic:blipFill>
                  <pic:spPr bwMode="auto">
                    <a:xfrm>
                      <a:off x="0" y="0"/>
                      <a:ext cx="5934075" cy="5086350"/>
                    </a:xfrm>
                    <a:prstGeom prst="rect">
                      <a:avLst/>
                    </a:prstGeom>
                  </pic:spPr>
                </pic:pic>
              </a:graphicData>
            </a:graphic>
          </wp:inline>
        </w:drawing>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287780"/>
                <wp:effectExtent l="0" t="0" r="0" b="0"/>
                <wp:wrapNone/>
                <wp:docPr id="133" name="Frame108"/>
                <a:graphic xmlns:a="http://schemas.openxmlformats.org/drawingml/2006/main">
                  <a:graphicData uri="http://schemas.microsoft.com/office/word/2010/wordprocessingShape">
                    <wps:wsp>
                      <wps:cNvSpPr txBox="1"/>
                      <wps:spPr>
                        <a:xfrm>
                          <a:off x="0" y="0"/>
                          <a:ext cx="6480175" cy="128778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4pt;mso-wrap-distance-left:0pt;mso-wrap-distance-right:0pt;mso-wrap-distance-top:0pt;mso-wrap-distance-bottom:0pt;margin-top:0pt;mso-position-vertical:top;mso-position-vertical-relative:text;margin-left:-412.9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Times New Roman;sans-serif" w:hAnsi="Times New Roman;sans-serif"/>
                                <w:b w:val="false"/>
                                <w:color w:val="000000"/>
                                <w:sz w:val="18"/>
                              </w:rPr>
                            </w:pPr>
                            <w:r>
                              <w:rPr>
                                <w:rFonts w:ascii="Times New Roman;sans-serif" w:hAnsi="Times New Roman;sans-serif"/>
                                <w:b w:val="false"/>
                                <w:color w:val="000000"/>
                                <w:sz w:val="18"/>
                              </w:rPr>
                              <w:t>16</w:t>
                            </w:r>
                          </w:p>
                        </w:tc>
                      </w:tr>
                    </w:tbl>
                    <w:tbl>
                      <w:tblPr>
                        <w:tblW w:w="4785" w:type="dxa"/>
                        <w:jc w:val="left"/>
                        <w:tblInd w:w="0" w:type="dxa"/>
                        <w:tblCellMar>
                          <w:top w:w="28" w:type="dxa"/>
                          <w:left w:w="28" w:type="dxa"/>
                          <w:bottom w:w="28" w:type="dxa"/>
                          <w:right w:w="28" w:type="dxa"/>
                        </w:tblCellMar>
                      </w:tblPr>
                      <w:tblGrid>
                        <w:gridCol w:w="1531"/>
                        <w:gridCol w:w="1346"/>
                        <w:gridCol w:w="1908"/>
                      </w:tblGrid>
                      <w:tr>
                        <w:trPr/>
                        <w:tc>
                          <w:tcPr>
                            <w:tcW w:w="1531"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 Castilian-AppFolio-First Amendment to Industrial Lease (Final)</w:t>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40" w:before="91" w:after="283"/>
        <w:rPr>
          <w:rFonts w:ascii="Times New Roman;sans-serif" w:hAnsi="Times New Roman;sans-serif"/>
          <w:b/>
          <w:color w:val="000000"/>
          <w:sz w:val="22"/>
          <w:u w:val="single"/>
        </w:rPr>
      </w:pPr>
      <w:r>
        <w:rPr>
          <w:rFonts w:ascii="Times New Roman;sans-serif" w:hAnsi="Times New Roman;sans-serif"/>
          <w:b/>
          <w:color w:val="000000"/>
          <w:sz w:val="22"/>
          <w:u w:val="single"/>
        </w:rPr>
        <w:t>UMBRELLA TERMINATION AGREEMENT</w:t>
      </w:r>
    </w:p>
    <w:p>
      <w:pPr>
        <w:pStyle w:val="TextBody"/>
        <w:spacing w:before="7" w:after="283"/>
        <w:rPr/>
      </w:pPr>
      <w:r>
        <w:rPr/>
      </w:r>
    </w:p>
    <w:p>
      <w:pPr>
        <w:pStyle w:val="TextBody"/>
        <w:spacing w:lineRule="auto" w:line="240" w:before="92" w:after="283"/>
        <w:ind w:left="0" w:right="0" w:firstLine="720"/>
        <w:rPr/>
      </w:pPr>
      <w:r>
        <w:rPr>
          <w:rFonts w:ascii="Times New Roman;sans-serif" w:hAnsi="Times New Roman;sans-serif"/>
          <w:b w:val="false"/>
          <w:color w:val="000000"/>
          <w:sz w:val="22"/>
        </w:rPr>
        <w:t>This    Umbrella    Termination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dated    as    February 10, 2022 (the “</w:t>
      </w:r>
      <w:r>
        <w:rPr>
          <w:rFonts w:ascii="Times New Roman;sans-serif" w:hAnsi="Times New Roman;sans-serif"/>
          <w:b/>
          <w:color w:val="000000"/>
          <w:sz w:val="22"/>
        </w:rPr>
        <w:t>Termination Effective Date</w:t>
      </w:r>
      <w:r>
        <w:rPr>
          <w:color w:val="000000"/>
        </w:rPr>
        <w:t>”</w:t>
      </w:r>
      <w:r>
        <w:rPr>
          <w:rFonts w:ascii="Times New Roman;sans-serif" w:hAnsi="Times New Roman;sans-serif"/>
          <w:b w:val="false"/>
          <w:color w:val="000000"/>
          <w:sz w:val="22"/>
        </w:rPr>
        <w:t>), is made and entered into by and between CASTILIAN 90, LLC, a Delaware limited liability company ("</w:t>
      </w:r>
      <w:r>
        <w:rPr>
          <w:rFonts w:ascii="Times New Roman;sans-serif" w:hAnsi="Times New Roman;sans-serif"/>
          <w:b/>
          <w:color w:val="000000"/>
          <w:sz w:val="22"/>
        </w:rPr>
        <w:t>Castilian 90</w:t>
      </w:r>
      <w:r>
        <w:rPr>
          <w:rFonts w:ascii="Times New Roman;sans-serif" w:hAnsi="Times New Roman;sans-serif"/>
          <w:b w:val="false"/>
          <w:color w:val="000000"/>
          <w:sz w:val="22"/>
        </w:rPr>
        <w:t>"), CASTILIAN 70, LLC, a Delaware limited liability company ("</w:t>
      </w:r>
      <w:r>
        <w:rPr>
          <w:rFonts w:ascii="Times New Roman;sans-serif" w:hAnsi="Times New Roman;sans-serif"/>
          <w:b/>
          <w:color w:val="000000"/>
          <w:sz w:val="22"/>
        </w:rPr>
        <w:t>Castilian 70</w:t>
      </w:r>
      <w:r>
        <w:rPr>
          <w:rFonts w:ascii="Times New Roman;sans-serif" w:hAnsi="Times New Roman;sans-serif"/>
          <w:b w:val="false"/>
          <w:color w:val="000000"/>
          <w:sz w:val="22"/>
        </w:rPr>
        <w:t>"), and CASTILIAN 50, LLC, a Delaware limited liability company ("</w:t>
      </w:r>
      <w:r>
        <w:rPr>
          <w:rFonts w:ascii="Times New Roman;sans-serif" w:hAnsi="Times New Roman;sans-serif"/>
          <w:b/>
          <w:color w:val="000000"/>
          <w:sz w:val="22"/>
        </w:rPr>
        <w:t>Castilian 50</w:t>
      </w:r>
      <w:r>
        <w:rPr>
          <w:rFonts w:ascii="Times New Roman;sans-serif" w:hAnsi="Times New Roman;sans-serif"/>
          <w:b w:val="false"/>
          <w:color w:val="000000"/>
          <w:sz w:val="22"/>
        </w:rPr>
        <w:t>", and, together with Castilian 70 and Castilian 90, collectively, the “Landlords”), and APPFOLIO, INC., a Delaware corporation (“</w:t>
      </w:r>
      <w:r>
        <w:rPr>
          <w:rFonts w:ascii="Times New Roman;sans-serif" w:hAnsi="Times New Roman;sans-serif"/>
          <w:b/>
          <w:color w:val="000000"/>
          <w:sz w:val="22"/>
        </w:rPr>
        <w:t>AppFolio”</w:t>
      </w:r>
      <w:r>
        <w:rPr>
          <w:rFonts w:ascii="Times New Roman;sans-serif" w:hAnsi="Times New Roman;sans-serif"/>
          <w:b w:val="false"/>
          <w:color w:val="000000"/>
          <w:sz w:val="22"/>
        </w:rPr>
        <w:t>).</w:t>
      </w:r>
    </w:p>
    <w:p>
      <w:pPr>
        <w:pStyle w:val="TextBody"/>
        <w:spacing w:before="2"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before="6" w:after="283"/>
        <w:rPr/>
      </w:pPr>
      <w:r>
        <w:rPr/>
      </w:r>
    </w:p>
    <w:p>
      <w:pPr>
        <w:pStyle w:val="TextBody"/>
        <w:spacing w:lineRule="auto" w:line="240" w:before="1" w:after="283"/>
        <w:ind w:left="0" w:right="0" w:firstLine="720"/>
        <w:rPr/>
      </w:pPr>
      <w:r>
        <w:rPr>
          <w:rFonts w:ascii="Times New Roman;sans-serif" w:hAnsi="Times New Roman;sans-serif"/>
          <w:b w:val="false"/>
          <w:color w:val="000000"/>
          <w:sz w:val="22"/>
        </w:rPr>
        <w:t>A.Castilian 90, as landlord, currently leases to AppFolio, as tenant, space located at 90 Castilian Drive, Goleta, California, pursuant to that certain Industrial Lease dated December 6, 2019 (as amended, the "</w:t>
      </w:r>
      <w:r>
        <w:rPr>
          <w:rFonts w:ascii="Times New Roman;sans-serif" w:hAnsi="Times New Roman;sans-serif"/>
          <w:b/>
          <w:color w:val="000000"/>
          <w:sz w:val="22"/>
        </w:rPr>
        <w:t>90 Lease</w:t>
      </w:r>
      <w:r>
        <w:rPr>
          <w:rFonts w:ascii="Times New Roman;sans-serif" w:hAnsi="Times New Roman;sans-serif"/>
          <w:b w:val="false"/>
          <w:color w:val="000000"/>
          <w:sz w:val="22"/>
        </w:rPr>
        <w:t>"). Castilian 70, as landlord, currently leases to AppFolio, as tenant, space located at 70 Castilian Drive, Goleta, California, pursuant to that certain Industrial Lease dated December 6, 2019 (as amended, the "</w:t>
      </w:r>
      <w:r>
        <w:rPr>
          <w:rFonts w:ascii="Times New Roman;sans-serif" w:hAnsi="Times New Roman;sans-serif"/>
          <w:b/>
          <w:color w:val="000000"/>
          <w:sz w:val="22"/>
        </w:rPr>
        <w:t>70 Lease</w:t>
      </w:r>
      <w:r>
        <w:rPr>
          <w:rFonts w:ascii="Times New Roman;sans-serif" w:hAnsi="Times New Roman;sans-serif"/>
          <w:b w:val="false"/>
          <w:color w:val="000000"/>
          <w:sz w:val="22"/>
        </w:rPr>
        <w:t>"). Castilian 50, as landlord, currently leases to AppFolio, as tenant, space located at 50 Castilian Drive, Goleta, California, pursuant to that certain Industrial Lease dated December 6, 2019 (as amended, the "</w:t>
      </w:r>
      <w:r>
        <w:rPr>
          <w:rFonts w:ascii="Times New Roman;sans-serif" w:hAnsi="Times New Roman;sans-serif"/>
          <w:b/>
          <w:color w:val="000000"/>
          <w:sz w:val="22"/>
        </w:rPr>
        <w:t>50 Lease</w:t>
      </w:r>
      <w:r>
        <w:rPr>
          <w:rFonts w:ascii="Times New Roman;sans-serif" w:hAnsi="Times New Roman;sans-serif"/>
          <w:b w:val="false"/>
          <w:color w:val="000000"/>
          <w:sz w:val="22"/>
        </w:rPr>
        <w:t>", and, together with the 70 Lease and the 90 Lease, collectively, the "</w:t>
      </w:r>
      <w:r>
        <w:rPr>
          <w:rFonts w:ascii="Times New Roman;sans-serif" w:hAnsi="Times New Roman;sans-serif"/>
          <w:b/>
          <w:color w:val="000000"/>
          <w:sz w:val="22"/>
        </w:rPr>
        <w:t>Leases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val="false"/>
          <w:color w:val="000000"/>
          <w:sz w:val="22"/>
        </w:rPr>
        <w:t>B.In connection with the Leases, Castilian 90, Castilian 70 and Castilian 50, each as successor-in-interest to 50 Castilian Drive, LLC, a Delaware limited liability company, and AppFolio are parties to that certain Umbrella Agreement dated as of December 6, 2019 (the “</w:t>
      </w:r>
      <w:r>
        <w:rPr>
          <w:rFonts w:ascii="Times New Roman;sans-serif" w:hAnsi="Times New Roman;sans-serif"/>
          <w:b/>
          <w:color w:val="000000"/>
          <w:sz w:val="22"/>
        </w:rPr>
        <w:t>Umbrella Agreement</w:t>
      </w:r>
      <w:r>
        <w:rPr>
          <w:color w:val="000000"/>
        </w:rPr>
        <w:t>”</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C.AppFolio acknowledges and agrees that the Landlords have satisfied all of their obligations under the Umbrella Agreement and the “Existing Leases” (as defined in the Umbrella Agreement), to AppFolio’s satisfaction. The Landlords and AppFolio have determined that it is in their respective best interests to terminate the Umbrella Agreement and the Existing Leases in their entirety, upon the terms and conditions set forth in this Agreement.</w:t>
      </w:r>
    </w:p>
    <w:p>
      <w:pPr>
        <w:pStyle w:val="TextBody"/>
        <w:spacing w:before="3" w:after="283"/>
        <w:rPr/>
      </w:pPr>
      <w:r>
        <w:rPr/>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D.Capitalized terms used but not defined herein shall have their meanings set forth in the Umbrella Agreement.</w:t>
      </w:r>
    </w:p>
    <w:p>
      <w:pPr>
        <w:pStyle w:val="TextBody"/>
        <w:spacing w:before="0" w:after="0"/>
        <w:rPr/>
      </w:pPr>
      <w:r>
        <w:rPr/>
      </w:r>
    </w:p>
    <w:p>
      <w:pPr>
        <w:pStyle w:val="TextBody"/>
        <w:spacing w:lineRule="auto" w:line="240" w:before="9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before="2" w:after="283"/>
        <w:rPr/>
      </w:pPr>
      <w:r>
        <w:rPr/>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Landlords and AppFolio hereby agree as follows: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1.</w:t>
      </w:r>
      <w:r>
        <w:rPr/>
        <w:drawing>
          <wp:inline distT="0" distB="63500" distL="0" distR="0">
            <wp:extent cx="1447800" cy="14605"/>
            <wp:effectExtent l="0" t="0" r="0" b="0"/>
            <wp:docPr id="1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6" descr=""/>
                    <pic:cNvPicPr>
                      <a:picLocks noChangeAspect="1" noChangeArrowheads="1"/>
                    </pic:cNvPicPr>
                  </pic:nvPicPr>
                  <pic:blipFill>
                    <a:blip r:embed="rId46"/>
                    <a:stretch>
                      <a:fillRect/>
                    </a:stretch>
                  </pic:blipFill>
                  <pic:spPr bwMode="auto">
                    <a:xfrm>
                      <a:off x="0" y="0"/>
                      <a:ext cx="1447800" cy="14605"/>
                    </a:xfrm>
                    <a:prstGeom prst="rect">
                      <a:avLst/>
                    </a:prstGeom>
                  </pic:spPr>
                </pic:pic>
              </a:graphicData>
            </a:graphic>
          </wp:inline>
        </w:drawing>
      </w:r>
      <w:r>
        <w:rPr>
          <w:rFonts w:ascii="Times New Roman;sans-serif" w:hAnsi="Times New Roman;sans-serif"/>
          <w:b w:val="false"/>
          <w:color w:val="000000"/>
          <w:sz w:val="22"/>
        </w:rPr>
        <w:t>Agreement to Terminate. Effective as of Termination Effective Date, the Umbrella Agreement and the Existing Leases shall immediately and automatically terminate in their entirety and shall be null and void with no force or effect whatsoever. Without limiting the foregoing, no provision of the Umbrella Agreement or any of the Existing Leases will survive such terminations, and the Landlords shall not have any liability or obligation whatsoever under or in connection with the Umbrella Agreement or the Existing Leases, including, without limitation, in connection with the MAC Surviving Liabilities (as defined in the Umbrella Agreement), which MAC Surviving Liabilities shall be null and void, with no force or effect whatsoever, as of the Termination Effective Date. For the avoidance of doubt, the Leases shall not be affected by such terminations and shall remain in full force and effect in accordance with their terms, provided that the references in the Leases to the Umbrella Agreement and the Existing Leases shall be null and void, with no force or effect whatsoever, as of the Termination Effective Date.</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271270"/>
                <wp:effectExtent l="0" t="0" r="0" b="0"/>
                <wp:wrapNone/>
                <wp:docPr id="135" name="Frame109"/>
                <a:graphic xmlns:a="http://schemas.openxmlformats.org/drawingml/2006/main">
                  <a:graphicData uri="http://schemas.microsoft.com/office/word/2010/wordprocessingShape">
                    <wps:wsp>
                      <wps:cNvSpPr txBox="1"/>
                      <wps:spPr>
                        <a:xfrm>
                          <a:off x="0" y="0"/>
                          <a:ext cx="6480175" cy="127127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81" w:after="283"/>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Each of the Landlords, on behalf of itself and its affiliates, directors, officers, shareholders, members, partners, employees, agents, representatives, successors and assigns, hereby releases AppFolio, and its affiliates, directors, officers, shareholders, members, partners, employees, agents, representatives, successors and assigns from and against any and all actions, suits, claims, damages, liabilities and obligations (collectively, “</w:t>
      </w:r>
      <w:r>
        <w:rPr>
          <w:rFonts w:ascii="Times New Roman;sans-serif" w:hAnsi="Times New Roman;sans-serif"/>
          <w:b/>
          <w:color w:val="000000"/>
          <w:sz w:val="22"/>
        </w:rPr>
        <w:t>Claims</w:t>
      </w:r>
      <w:r>
        <w:rPr>
          <w:color w:val="000000"/>
        </w:rPr>
        <w:t>”</w:t>
      </w:r>
      <w:r>
        <w:rPr>
          <w:rFonts w:ascii="Times New Roman;sans-serif" w:hAnsi="Times New Roman;sans-serif"/>
          <w:b w:val="false"/>
          <w:color w:val="000000"/>
          <w:sz w:val="22"/>
        </w:rPr>
        <w:t>) arising out of or in connection with the Umbrella Agreement or any of the Existing Leases. AppFolio on behalf of itself and its affiliates, directors, officers, shareholders, members, partners, employees, agents, representatives, successors and assigns, hereby releases each of the Landlords, and their respective affiliates, directors, officers, shareholders, members, partners, lenders, ground lessors, employees, agents, representatives, successors and assigns, from and against any and all Claims arising out of or in connection with the Umbrella Agreement or any of the Existing Leases. Each of the Landlords and AppFolio agree that there is a risk that, subsequent to the execution of this Agreement, it will suffer losses or damages which are unknown or unanticipated as of the date hereof, and the Landlords and AppFolio each hereby assume said risk and agree that the releases contained in this Section 2 shall apply to all unknown or unanticipated Claims, as well as those known and anticipated. In connection with the foregoing, the Landlords and AppFolio each hereby waives any and all rights they may have under California Civil Code Section 1542, which Section reads as follows:</w:t>
      </w:r>
    </w:p>
    <w:p>
      <w:pPr>
        <w:pStyle w:val="TextBody"/>
        <w:spacing w:before="8" w:after="283"/>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0" w:after="0"/>
        <w:rPr/>
      </w:pPr>
      <w:r>
        <w:rPr/>
      </w:r>
    </w:p>
    <w:p>
      <w:pPr>
        <w:pStyle w:val="TextBody"/>
        <w:spacing w:before="9" w:after="283"/>
        <w:rPr/>
      </w:pPr>
      <w:r>
        <w:rPr/>
      </w:r>
    </w:p>
    <w:p>
      <w:pPr>
        <w:pStyle w:val="TextBody"/>
        <w:spacing w:lineRule="auto" w:line="240" w:before="0" w:after="0"/>
        <w:rPr>
          <w:color w:val="000000"/>
          <w:u w:val="single"/>
        </w:rPr>
      </w:pPr>
      <w:r>
        <w:rPr>
          <w:color w:val="000000"/>
          <w:u w:val="single"/>
        </w:rPr>
        <w:t>    </w:t>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90 Castilian Initials    AppFolio Initials</w:t>
      </w:r>
    </w:p>
    <w:p>
      <w:pPr>
        <w:pStyle w:val="TextBody"/>
        <w:spacing w:before="0" w:after="0"/>
        <w:rPr/>
      </w:pPr>
      <w:r>
        <w:rPr/>
      </w:r>
    </w:p>
    <w:p>
      <w:pPr>
        <w:pStyle w:val="TextBody"/>
        <w:spacing w:before="0" w:after="0"/>
        <w:rPr/>
      </w:pPr>
      <w:r>
        <w:rPr/>
      </w:r>
    </w:p>
    <w:p>
      <w:pPr>
        <w:pStyle w:val="TextBody"/>
        <w:spacing w:before="3" w:after="283"/>
        <w:rPr/>
      </w:pPr>
      <w:r>
        <w:rPr/>
        <w:drawing>
          <wp:inline distT="0" distB="63500" distL="0" distR="0">
            <wp:extent cx="1181100" cy="14605"/>
            <wp:effectExtent l="0" t="0" r="0" b="0"/>
            <wp:docPr id="1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7" descr=""/>
                    <pic:cNvPicPr>
                      <a:picLocks noChangeAspect="1" noChangeArrowheads="1"/>
                    </pic:cNvPicPr>
                  </pic:nvPicPr>
                  <pic:blipFill>
                    <a:blip r:embed="rId47"/>
                    <a:stretch>
                      <a:fillRect/>
                    </a:stretch>
                  </pic:blipFill>
                  <pic:spPr bwMode="auto">
                    <a:xfrm>
                      <a:off x="0" y="0"/>
                      <a:ext cx="1181100" cy="14605"/>
                    </a:xfrm>
                    <a:prstGeom prst="rect">
                      <a:avLst/>
                    </a:prstGeom>
                  </pic:spPr>
                </pic:pic>
              </a:graphicData>
            </a:graphic>
          </wp:inline>
        </w:drawing>
      </w:r>
      <w:r>
        <w:rPr/>
        <w:drawing>
          <wp:inline distT="0" distB="63500" distL="0" distR="0">
            <wp:extent cx="1181100" cy="14605"/>
            <wp:effectExtent l="0" t="0" r="0" b="0"/>
            <wp:docPr id="1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8" descr=""/>
                    <pic:cNvPicPr>
                      <a:picLocks noChangeAspect="1" noChangeArrowheads="1"/>
                    </pic:cNvPicPr>
                  </pic:nvPicPr>
                  <pic:blipFill>
                    <a:blip r:embed="rId48"/>
                    <a:stretch>
                      <a:fillRect/>
                    </a:stretch>
                  </pic:blipFill>
                  <pic:spPr bwMode="auto">
                    <a:xfrm>
                      <a:off x="0" y="0"/>
                      <a:ext cx="1181100" cy="14605"/>
                    </a:xfrm>
                    <a:prstGeom prst="rect">
                      <a:avLst/>
                    </a:prstGeom>
                  </pic:spPr>
                </pic:pic>
              </a:graphicData>
            </a:graphic>
          </wp:inline>
        </w:drawing>
      </w:r>
    </w:p>
    <w:p>
      <w:pPr>
        <w:pStyle w:val="TextBody"/>
        <w:spacing w:lineRule="auto" w:line="240" w:before="1" w:after="283"/>
        <w:rPr>
          <w:rFonts w:ascii="Times New Roman;sans-serif" w:hAnsi="Times New Roman;sans-serif"/>
          <w:b w:val="false"/>
          <w:color w:val="000000"/>
          <w:sz w:val="22"/>
        </w:rPr>
      </w:pPr>
      <w:r>
        <w:rPr>
          <w:rFonts w:ascii="Times New Roman;sans-serif" w:hAnsi="Times New Roman;sans-serif"/>
          <w:b w:val="false"/>
          <w:color w:val="000000"/>
          <w:sz w:val="22"/>
        </w:rPr>
        <w:t>70 Castilian Initials    50 Castilian Initials</w:t>
      </w:r>
    </w:p>
    <w:p>
      <w:pPr>
        <w:pStyle w:val="TextBody"/>
        <w:spacing w:before="0" w:after="0"/>
        <w:rPr/>
      </w:pPr>
      <w:r>
        <w:rPr/>
      </w:r>
    </w:p>
    <w:p>
      <w:pPr>
        <w:pStyle w:val="TextBody"/>
        <w:spacing w:before="9"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AppFolio hereby represents and warrants to the Landlords that (a) AppFolio has not, either voluntarily or by operation of law, heretofore assigned, encumbered or transferred all or any portion of its right, title and interest in or to the Umbrella Agreement or the Existing Leases; (b) AppFolio has full power and authority to enter into this Agreement, and to consummate the transactions contemplated hereby, and the persons signing on behalf of AppFolio have been fully authorized to do so by all necessary action on the part of AppFolio; and (c) no consent or approval of any other party is required for this Agreement to constitute a legal, valid and binding obligation of AppFolio, or to terminate the Umbrella Agreement or the Existing Leases.</w:t>
      </w:r>
    </w:p>
    <w:p>
      <w:pPr>
        <w:pStyle w:val="TextBody"/>
        <w:spacing w:before="0" w:after="0"/>
        <w:rPr/>
      </w:pPr>
      <w:r>
        <w:rPr/>
      </w:r>
    </w:p>
    <w:p>
      <w:pPr>
        <w:pStyle w:val="TextBody"/>
        <w:spacing w:lineRule="auto" w:line="240" w:before="0" w:after="0"/>
        <w:ind w:left="0" w:right="0" w:hanging="721"/>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(and the Leases) is the entire agreement between the parties hereto with respect to the subject matter hereof. This Agreement may be amended only by an agreement in writing, signed by the Landlords and AppFolio.</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4.2</w:t>
      </w:r>
      <w:r>
        <w:rPr>
          <w:rFonts w:ascii="Times New Roman;sans-serif" w:hAnsi="Times New Roman;sans-serif"/>
          <w:b w:val="false"/>
          <w:color w:val="000000"/>
          <w:sz w:val="22"/>
          <w:u w:val="single"/>
        </w:rPr>
        <w:t>Drafting</w:t>
      </w:r>
      <w:r>
        <w:rPr>
          <w:rFonts w:ascii="Times New Roman;sans-serif" w:hAnsi="Times New Roman;sans-serif"/>
          <w:b w:val="false"/>
          <w:color w:val="000000"/>
          <w:sz w:val="22"/>
        </w:rPr>
        <w:t>. The foregoing Recitals are deemed incorporate in and part of this Agreement. Each party hereto has cooperated and participated in the drafting and preparation of this Agreement, and in any construction of this Agreement, the same shall not be construed against either party based on its alleged role as draftsperson. Section and subsection headings contained in this Agreement are</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271270"/>
                <wp:effectExtent l="0" t="0" r="0" b="0"/>
                <wp:wrapNone/>
                <wp:docPr id="138" name="Frame110"/>
                <a:graphic xmlns:a="http://schemas.openxmlformats.org/drawingml/2006/main">
                  <a:graphicData uri="http://schemas.microsoft.com/office/word/2010/wordprocessingShape">
                    <wps:wsp>
                      <wps:cNvSpPr txBox="1"/>
                      <wps:spPr>
                        <a:xfrm>
                          <a:off x="0" y="0"/>
                          <a:ext cx="6480175" cy="127127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83" w:after="283"/>
        <w:rPr>
          <w:rFonts w:ascii="Times New Roman;sans-serif" w:hAnsi="Times New Roman;sans-serif"/>
          <w:b w:val="false"/>
          <w:color w:val="000000"/>
          <w:sz w:val="22"/>
        </w:rPr>
      </w:pPr>
      <w:r>
        <w:rPr>
          <w:rFonts w:ascii="Times New Roman;sans-serif" w:hAnsi="Times New Roman;sans-serif"/>
          <w:b w:val="false"/>
          <w:color w:val="000000"/>
          <w:sz w:val="22"/>
        </w:rPr>
        <w:t>for purposes of identification and reference only and shall not affect in any way the meaning or interpretation of any provision of this Agreement.</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4.3</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All representations, warranties and agreements in this Agreement shall survive termination of the Umbrella Agreement and the Existing Leases, and shall not be merged with any other document or agreement.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2"/>
        </w:rPr>
        <w:t>4.4</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In the event of any action for breach of, or to enforce the provisions of this Agreement, the prevailing party in such action shall be entitled to reasonable attorneys’ fees, costs, and expenses and reasonable attorneys’ fees on appeal or other judicial proceedings.</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4.5</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provisions of this Agreement shall be binding upon and inure to the benefit of the parties hereto, and to all of their respective successors and assigns.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4.6</w:t>
      </w:r>
      <w:r>
        <w:rPr>
          <w:rFonts w:ascii="Times New Roman;sans-serif" w:hAnsi="Times New Roman;sans-serif"/>
          <w:b w:val="false"/>
          <w:color w:val="000000"/>
          <w:sz w:val="22"/>
          <w:u w:val="single"/>
        </w:rPr>
        <w:t>California La</w:t>
      </w:r>
      <w:r>
        <w:rPr>
          <w:rFonts w:ascii="Times New Roman;sans-serif" w:hAnsi="Times New Roman;sans-serif"/>
          <w:b w:val="false"/>
          <w:color w:val="000000"/>
          <w:sz w:val="22"/>
        </w:rPr>
        <w:t>w. This Agreement shall be governed by and construed in accordance with California law. Venue for any action hereunder or relating hereto shall solely be in the County of Santa Barbara.</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4.7</w:t>
      </w:r>
      <w:r>
        <w:rPr>
          <w:rFonts w:ascii="Times New Roman;sans-serif" w:hAnsi="Times New Roman;sans-serif"/>
          <w:b w:val="false"/>
          <w:color w:val="000000"/>
          <w:sz w:val="22"/>
          <w:u w:val="single"/>
        </w:rPr>
        <w:t>Counterparts; PDF Signatures</w:t>
      </w:r>
      <w:r>
        <w:rPr>
          <w:rFonts w:ascii="Times New Roman;sans-serif" w:hAnsi="Times New Roman;sans-serif"/>
          <w:b w:val="false"/>
          <w:color w:val="000000"/>
          <w:sz w:val="22"/>
        </w:rPr>
        <w:t>. This Agreement may be executed in duplicate counterparts, each of which shall be deemed an original, but which, when taken together, shall constitute one and the same instrument. A facsimile signature or a PDF or other electronic format signature shall each be as binding, and have the same force and effect, as an original ink signature.</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4.8</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pStyle w:val="TextBody"/>
        <w:spacing w:before="7"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2"/>
        </w:rPr>
        <w:t>4.9</w:t>
      </w:r>
      <w:r>
        <w:rPr>
          <w:rFonts w:ascii="Times New Roman;sans-serif" w:hAnsi="Times New Roman;sans-serif"/>
          <w:b w:val="false"/>
          <w:color w:val="000000"/>
          <w:sz w:val="22"/>
          <w:u w:val="single"/>
        </w:rPr>
        <w:t>Time of the Essence</w:t>
      </w:r>
      <w:r>
        <w:rPr>
          <w:rFonts w:ascii="Times New Roman;sans-serif" w:hAnsi="Times New Roman;sans-serif"/>
          <w:b w:val="false"/>
          <w:color w:val="000000"/>
          <w:sz w:val="22"/>
        </w:rPr>
        <w:t>. Time is of the essence with respect to this Agreement and all obligations hereunder.</w:t>
      </w:r>
    </w:p>
    <w:p>
      <w:pPr>
        <w:pStyle w:val="TextBody"/>
        <w:spacing w:before="2"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2"/>
        </w:rPr>
        <w:t>4.10</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 Each party hereto shall, from time to time, upon the request of another party hereto, execute, acknowledge and deliver all such further agreements and other instruments as may be reasonably required to further evidence the terms of this Agreement.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271270"/>
                <wp:effectExtent l="0" t="0" r="0" b="0"/>
                <wp:wrapNone/>
                <wp:docPr id="139" name="Frame111"/>
                <a:graphic xmlns:a="http://schemas.openxmlformats.org/drawingml/2006/main">
                  <a:graphicData uri="http://schemas.microsoft.com/office/word/2010/wordprocessingShape">
                    <wps:wsp>
                      <wps:cNvSpPr txBox="1"/>
                      <wps:spPr>
                        <a:xfrm>
                          <a:off x="0" y="0"/>
                          <a:ext cx="6480175" cy="127127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83"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the Landlords and AppFolio have entered into this Agreement as of the Termination Effective Date.</w:t>
      </w:r>
    </w:p>
    <w:p>
      <w:pPr>
        <w:pStyle w:val="TextBody"/>
        <w:spacing w:before="0" w:after="0"/>
        <w:rPr/>
      </w:pPr>
      <w:r>
        <w:rPr/>
      </w:r>
    </w:p>
    <w:p>
      <w:pPr>
        <w:pStyle w:val="TextBody"/>
        <w:spacing w:before="1"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90</w:t>
      </w:r>
      <w:r>
        <w:rPr>
          <w:color w:val="000000"/>
        </w:rPr>
        <w:t>”</w:t>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90,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bl>
    <w:p>
      <w:pPr>
        <w:pStyle w:val="TextBody"/>
        <w:spacing w:before="0" w:after="0"/>
        <w:rPr/>
      </w:pPr>
      <w:r>
        <w:rPr/>
      </w:r>
    </w:p>
    <w:p>
      <w:pPr>
        <w:pStyle w:val="TextBody"/>
        <w:spacing w:before="2" w:after="283"/>
        <w:rPr/>
      </w:pPr>
      <w:r>
        <w:rPr/>
      </w:r>
    </w:p>
    <w:p>
      <w:pPr>
        <w:pStyle w:val="TextBody"/>
        <w:spacing w:lineRule="auto" w:line="240" w:before="0" w:after="0"/>
        <w:rPr/>
      </w:pPr>
      <w:r>
        <w:rPr>
          <w:color w:val="000000"/>
        </w:rPr>
        <w:t>“</w:t>
      </w:r>
      <w:r>
        <w:rPr>
          <w:rFonts w:ascii="Times New Roman;sans-serif" w:hAnsi="Times New Roman;sans-serif"/>
          <w:b/>
          <w:color w:val="000000"/>
          <w:sz w:val="22"/>
        </w:rPr>
        <w:t>CASTILIAN 50</w:t>
      </w:r>
      <w:r>
        <w:rPr>
          <w:color w:val="000000"/>
        </w:rPr>
        <w:t>”</w:t>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50,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9" w:after="283"/>
        <w:rPr/>
      </w:pPr>
      <w:r>
        <w:rPr/>
      </w:r>
    </w:p>
    <w:p>
      <w:pPr>
        <w:pStyle w:val="TextBody"/>
        <w:spacing w:before="1" w:after="283"/>
        <w:rPr/>
      </w:pPr>
      <w:r>
        <w:rPr/>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2"/>
        </w:rPr>
        <w:t>CASTILIAN 70</w:t>
      </w:r>
      <w:r>
        <w:rPr>
          <w:color w:val="000000"/>
        </w:rPr>
        <w:t>”</w:t>
      </w:r>
    </w:p>
    <w:tbl>
      <w:tblPr>
        <w:tblW w:w="5144" w:type="dxa"/>
        <w:jc w:val="left"/>
        <w:tblInd w:w="0" w:type="dxa"/>
        <w:tblCellMar>
          <w:top w:w="28" w:type="dxa"/>
          <w:left w:w="28" w:type="dxa"/>
          <w:bottom w:w="28" w:type="dxa"/>
          <w:right w:w="28" w:type="dxa"/>
        </w:tblCellMar>
      </w:tblPr>
      <w:tblGrid>
        <w:gridCol w:w="1648"/>
        <w:gridCol w:w="1449"/>
        <w:gridCol w:w="2047"/>
      </w:tblGrid>
      <w:tr>
        <w:trPr/>
        <w:tc>
          <w:tcPr>
            <w:tcW w:w="1648"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CASTILIAN 70, LLC, a Delaware limited liability company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Brian Rupp</w:t>
            </w:r>
          </w:p>
        </w:tc>
      </w:tr>
      <w:tr>
        <w:trPr/>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as authorized signatory</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2"/>
        </w:rPr>
        <w:t>"</w:t>
      </w:r>
      <w:r>
        <w:rPr>
          <w:rFonts w:ascii="Times New Roman;sans-serif" w:hAnsi="Times New Roman;sans-serif"/>
          <w:b/>
          <w:color w:val="000000"/>
          <w:sz w:val="22"/>
        </w:rPr>
        <w:t>APPFOLIO"</w:t>
      </w:r>
    </w:p>
    <w:tbl>
      <w:tblPr>
        <w:tblW w:w="3824" w:type="dxa"/>
        <w:jc w:val="left"/>
        <w:tblInd w:w="0" w:type="dxa"/>
        <w:tblCellMar>
          <w:top w:w="28" w:type="dxa"/>
          <w:left w:w="28" w:type="dxa"/>
          <w:bottom w:w="28" w:type="dxa"/>
          <w:right w:w="28" w:type="dxa"/>
        </w:tblCellMar>
      </w:tblPr>
      <w:tblGrid>
        <w:gridCol w:w="1223"/>
        <w:gridCol w:w="1076"/>
        <w:gridCol w:w="1525"/>
      </w:tblGrid>
      <w:tr>
        <w:trPr/>
        <w:tc>
          <w:tcPr>
            <w:tcW w:w="1223"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APPFOLIO, INC.,, a Delaware corporation</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Jason Randall</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9" w:after="283"/>
        <w:rPr/>
      </w:pPr>
      <w:r>
        <w:rPr/>
      </w:r>
    </w:p>
    <w:p>
      <w:pPr>
        <w:pStyle w:val="TextBody"/>
        <w:spacing w:before="0" w:after="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271270"/>
                <wp:effectExtent l="0" t="0" r="0" b="0"/>
                <wp:wrapNone/>
                <wp:docPr id="140" name="Frame112"/>
                <a:graphic xmlns:a="http://schemas.openxmlformats.org/drawingml/2006/main">
                  <a:graphicData uri="http://schemas.microsoft.com/office/word/2010/wordprocessingShape">
                    <wps:wsp>
                      <wps:cNvSpPr txBox="1"/>
                      <wps:spPr>
                        <a:xfrm>
                          <a:off x="0" y="0"/>
                          <a:ext cx="6480175" cy="127127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r>
                    </w:tbl>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Castilian-AppFolio-Umbrella Termination Agreement (Final)</w:t>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10.14</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LIST OF INDEMNITEES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individuals identified below is a party to an indemnification agreement with AppFolio, Inc. in the form attached herewith as Exhibit 10.14. </w:t>
      </w:r>
    </w:p>
    <w:tbl>
      <w:tblPr>
        <w:tblW w:w="3674" w:type="dxa"/>
        <w:jc w:val="center"/>
        <w:tblInd w:w="0" w:type="dxa"/>
        <w:tblCellMar>
          <w:top w:w="28" w:type="dxa"/>
          <w:left w:w="28" w:type="dxa"/>
          <w:bottom w:w="28" w:type="dxa"/>
          <w:right w:w="28" w:type="dxa"/>
        </w:tblCellMar>
      </w:tblPr>
      <w:tblGrid>
        <w:gridCol w:w="694"/>
        <w:gridCol w:w="608"/>
        <w:gridCol w:w="617"/>
        <w:gridCol w:w="513"/>
        <w:gridCol w:w="513"/>
        <w:gridCol w:w="729"/>
      </w:tblGrid>
      <w:tr>
        <w:trPr/>
        <w:tc>
          <w:tcPr>
            <w:tcW w:w="69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Signed</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Walker</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Bliss</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Ida Kane</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Andreas von Blottnitz</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Klaus Schauser</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Kerr</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Rauth</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16, 2015</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 2017</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2019</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Agnes Bundy Scanlan</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 2020</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Shane Trigg</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2020</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 Wilson</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2021</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3"/>
          <w:u w:val="single"/>
        </w:rPr>
      </w:pPr>
      <w:r>
        <w:rPr>
          <w:rFonts w:ascii="Times New Roman;sans-serif" w:hAnsi="Times New Roman;sans-serif"/>
          <w:b/>
          <w:color w:val="000000"/>
          <w:sz w:val="23"/>
          <w:u w:val="single"/>
        </w:rPr>
        <w:t>INDEMNIFICATION AGREEMENT</w:t>
      </w:r>
    </w:p>
    <w:p>
      <w:pPr>
        <w:pStyle w:val="TextBody"/>
        <w:spacing w:lineRule="auto" w:line="288" w:before="0" w:after="240"/>
        <w:ind w:left="0" w:right="0" w:firstLine="720"/>
        <w:jc w:val="both"/>
        <w:rPr/>
      </w:pPr>
      <w:r>
        <w:rPr>
          <w:rFonts w:ascii="Times New Roman;sans-serif" w:hAnsi="Times New Roman;sans-serif"/>
          <w:b w:val="false"/>
          <w:color w:val="000000"/>
          <w:sz w:val="23"/>
        </w:rPr>
        <w:t>This Indemnification Agreement (this “</w:t>
      </w:r>
      <w:r>
        <w:rPr>
          <w:rFonts w:ascii="Times New Roman;sans-serif" w:hAnsi="Times New Roman;sans-serif"/>
          <w:b/>
          <w:color w:val="000000"/>
          <w:sz w:val="23"/>
        </w:rPr>
        <w:t>Agreement</w:t>
      </w:r>
      <w:r>
        <w:rPr>
          <w:color w:val="000000"/>
        </w:rPr>
        <w:t>”</w:t>
      </w:r>
      <w:r>
        <w:rPr>
          <w:rFonts w:ascii="Times New Roman;sans-serif" w:hAnsi="Times New Roman;sans-serif"/>
          <w:b w:val="false"/>
          <w:color w:val="000000"/>
          <w:sz w:val="23"/>
        </w:rPr>
        <w:t>), dated ________, 20 , is by and between AppFolio, Inc., a Delaware corporation (the “</w:t>
      </w:r>
      <w:r>
        <w:rPr>
          <w:rFonts w:ascii="Times New Roman;sans-serif" w:hAnsi="Times New Roman;sans-serif"/>
          <w:b/>
          <w:color w:val="000000"/>
          <w:sz w:val="23"/>
        </w:rPr>
        <w:t>Company</w:t>
      </w:r>
      <w:r>
        <w:rPr>
          <w:color w:val="000000"/>
        </w:rPr>
        <w:t>”</w:t>
      </w:r>
      <w:r>
        <w:rPr>
          <w:rFonts w:ascii="Times New Roman;sans-serif" w:hAnsi="Times New Roman;sans-serif"/>
          <w:b w:val="false"/>
          <w:color w:val="000000"/>
          <w:sz w:val="23"/>
        </w:rPr>
        <w:t>), and __________ (“</w:t>
      </w:r>
      <w:r>
        <w:rPr>
          <w:rFonts w:ascii="Times New Roman;sans-serif" w:hAnsi="Times New Roman;sans-serif"/>
          <w:b/>
          <w:color w:val="000000"/>
          <w:sz w:val="23"/>
        </w:rPr>
        <w:t>Indemnitee</w:t>
      </w:r>
      <w:r>
        <w:rPr>
          <w:color w:val="000000"/>
        </w:rPr>
        <w:t>”</w:t>
      </w:r>
      <w:r>
        <w:rPr>
          <w:rFonts w:ascii="Times New Roman;sans-serif" w:hAnsi="Times New Roman;sans-serif"/>
          <w:b w:val="false"/>
          <w:color w:val="000000"/>
          <w:sz w:val="23"/>
        </w:rPr>
        <w:t>).</w:t>
      </w:r>
    </w:p>
    <w:p>
      <w:pPr>
        <w:pStyle w:val="TextBody"/>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RECITALS</w:t>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3"/>
        </w:rPr>
        <w:t>A. Indemnitee is a director or an officer of the Company.</w:t>
      </w:r>
    </w:p>
    <w:p>
      <w:pPr>
        <w:pStyle w:val="TextBody"/>
        <w:spacing w:lineRule="auto" w:line="288" w:before="0" w:after="240"/>
        <w:jc w:val="both"/>
        <w:rPr/>
      </w:pPr>
      <w:r>
        <w:rPr>
          <w:color w:val="000000"/>
        </w:rPr>
        <w:t>    </w:t>
      </w:r>
      <w:r>
        <w:rPr>
          <w:rFonts w:ascii="Times New Roman;sans-serif" w:hAnsi="Times New Roman;sans-serif"/>
          <w:b w:val="false"/>
          <w:color w:val="000000"/>
          <w:sz w:val="23"/>
        </w:rPr>
        <w:t>B. The board of directors of the Company (the “</w:t>
      </w:r>
      <w:r>
        <w:rPr>
          <w:rFonts w:ascii="Times New Roman;sans-serif" w:hAnsi="Times New Roman;sans-serif"/>
          <w:b/>
          <w:color w:val="000000"/>
          <w:sz w:val="23"/>
        </w:rPr>
        <w:t>Board</w:t>
      </w:r>
      <w:r>
        <w:rPr>
          <w:color w:val="000000"/>
        </w:rPr>
        <w:t>”</w:t>
      </w:r>
      <w:r>
        <w:rPr>
          <w:rFonts w:ascii="Times New Roman;sans-serif" w:hAnsi="Times New Roman;sans-serif"/>
          <w:b w:val="false"/>
          <w:color w:val="000000"/>
          <w:sz w:val="23"/>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pStyle w:val="TextBody"/>
        <w:spacing w:lineRule="auto" w:line="288" w:before="0" w:after="240"/>
        <w:jc w:val="both"/>
        <w:rPr/>
      </w:pPr>
      <w:r>
        <w:rPr>
          <w:color w:val="000000"/>
        </w:rPr>
        <w:t>    </w:t>
      </w:r>
      <w:r>
        <w:rPr>
          <w:rFonts w:ascii="Times New Roman;sans-serif" w:hAnsi="Times New Roman;sans-serif"/>
          <w:b w:val="false"/>
          <w:color w:val="000000"/>
          <w:sz w:val="23"/>
        </w:rPr>
        <w:t>C.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sans-serif" w:hAnsi="Times New Roman;sans-serif"/>
          <w:b/>
          <w:color w:val="000000"/>
          <w:sz w:val="23"/>
        </w:rPr>
        <w:t>Constituent Documents</w:t>
      </w:r>
      <w:r>
        <w:rPr>
          <w:color w:val="000000"/>
        </w:rPr>
        <w:t>”</w:t>
      </w:r>
      <w:r>
        <w:rPr>
          <w:rFonts w:ascii="Times New Roman;sans-serif" w:hAnsi="Times New Roman;sans-serif"/>
          <w:b w:val="false"/>
          <w:color w:val="000000"/>
          <w:sz w:val="23"/>
        </w:rPr>
        <w:t>), any change in the composition of the Board or any change in control or business combination transaction relating to the 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3"/>
        </w:rPr>
        <w:t>NOW, THEREFORE, in consideration of the foregoing and the Indemnitee’s agreement to continue to provide services to the Company, the parties hereby agree as follows:</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 </w:t>
      </w:r>
      <w:r>
        <w:rPr>
          <w:rFonts w:ascii="Times New Roman;sans-serif" w:hAnsi="Times New Roman;sans-serif"/>
          <w:b w:val="false"/>
          <w:color w:val="000000"/>
          <w:sz w:val="23"/>
          <w:u w:val="single"/>
        </w:rPr>
        <w:t>Services to the Company</w:t>
      </w:r>
      <w:r>
        <w:rPr>
          <w:rFonts w:ascii="Times New Roman;sans-serif" w:hAnsi="Times New Roman;sans-serif"/>
          <w:b w:val="false"/>
          <w:color w:val="000000"/>
          <w:sz w:val="23"/>
        </w:rPr>
        <w:t>. Indemnitee agrees to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pStyle w:val="TextBody"/>
        <w:spacing w:lineRule="auto" w:line="288" w:before="0" w:after="240"/>
        <w:ind w:left="0" w:right="0" w:firstLine="720"/>
        <w:rPr/>
      </w:pPr>
      <w:r>
        <w:rPr>
          <w:rFonts w:ascii="Times New Roman;sans-serif" w:hAnsi="Times New Roman;sans-serif"/>
          <w:b w:val="false"/>
          <w:color w:val="000000"/>
          <w:sz w:val="23"/>
        </w:rPr>
        <w:t xml:space="preserve">2. </w:t>
      </w:r>
      <w:r>
        <w:rPr>
          <w:rFonts w:ascii="Times New Roman;sans-serif" w:hAnsi="Times New Roman;sans-serif"/>
          <w:b w:val="false"/>
          <w:color w:val="000000"/>
          <w:sz w:val="23"/>
          <w:u w:val="single"/>
        </w:rPr>
        <w:t>Definitions</w:t>
      </w:r>
      <w:r>
        <w:rPr>
          <w:rFonts w:ascii="Times New Roman;sans-serif" w:hAnsi="Times New Roman;sans-serif"/>
          <w:b w:val="false"/>
          <w:color w:val="000000"/>
          <w:sz w:val="23"/>
        </w:rPr>
        <w:t>. For purposes of this Agreement, the following terms shall have the following meanings: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color w:val="000000"/>
        </w:rPr>
        <w:t>“</w:t>
      </w:r>
      <w:r>
        <w:rPr>
          <w:rFonts w:ascii="Times New Roman;sans-serif" w:hAnsi="Times New Roman;sans-serif"/>
          <w:b/>
          <w:color w:val="000000"/>
          <w:sz w:val="23"/>
        </w:rPr>
        <w:t>Agreement</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color w:val="000000"/>
        </w:rPr>
        <w:t>“</w:t>
      </w:r>
      <w:r>
        <w:rPr>
          <w:rFonts w:ascii="Times New Roman;sans-serif" w:hAnsi="Times New Roman;sans-serif"/>
          <w:b/>
          <w:color w:val="000000"/>
          <w:sz w:val="23"/>
        </w:rPr>
        <w:t>Beneficial Owner</w:t>
      </w:r>
      <w:r>
        <w:rPr>
          <w:color w:val="000000"/>
        </w:rPr>
        <w:t xml:space="preserve">” </w:t>
      </w:r>
      <w:r>
        <w:rPr>
          <w:rFonts w:ascii="Times New Roman;sans-serif" w:hAnsi="Times New Roman;sans-serif"/>
          <w:b w:val="false"/>
          <w:color w:val="000000"/>
          <w:sz w:val="23"/>
        </w:rPr>
        <w:t>has the meaning given to the term “beneficial owner” in Rule 13d-3 under the Exchange Act.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(c) </w:t>
      </w:r>
      <w:r>
        <w:rPr>
          <w:color w:val="000000"/>
        </w:rPr>
        <w:t>“</w:t>
      </w:r>
      <w:r>
        <w:rPr>
          <w:rFonts w:ascii="Times New Roman;sans-serif" w:hAnsi="Times New Roman;sans-serif"/>
          <w:b/>
          <w:color w:val="000000"/>
          <w:sz w:val="23"/>
        </w:rPr>
        <w:t>Board</w:t>
      </w:r>
      <w:r>
        <w:rPr>
          <w:color w:val="000000"/>
        </w:rPr>
        <w:t xml:space="preserve">” </w:t>
      </w:r>
      <w:r>
        <w:rPr>
          <w:rFonts w:ascii="Times New Roman;sans-serif" w:hAnsi="Times New Roman;sans-serif"/>
          <w:b w:val="false"/>
          <w:color w:val="000000"/>
          <w:sz w:val="23"/>
        </w:rPr>
        <w:t>shall have the meaning ascribed to it in the Recitals above.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(d) </w:t>
      </w:r>
      <w:r>
        <w:rPr>
          <w:color w:val="000000"/>
        </w:rPr>
        <w:t>“</w:t>
      </w:r>
      <w:r>
        <w:rPr>
          <w:rFonts w:ascii="Times New Roman;sans-serif" w:hAnsi="Times New Roman;sans-serif"/>
          <w:b/>
          <w:color w:val="000000"/>
          <w:sz w:val="23"/>
        </w:rPr>
        <w:t>Business Combination</w:t>
      </w:r>
      <w:r>
        <w:rPr>
          <w:color w:val="000000"/>
        </w:rPr>
        <w:t xml:space="preserve">” </w:t>
      </w:r>
      <w:r>
        <w:rPr>
          <w:rFonts w:ascii="Times New Roman;sans-serif" w:hAnsi="Times New Roman;sans-serif"/>
          <w:b w:val="false"/>
          <w:color w:val="000000"/>
          <w:sz w:val="23"/>
        </w:rPr>
        <w:t xml:space="preserve">means a reorganization, a merger or a consolidation.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 </w:t>
      </w:r>
      <w:r>
        <w:rPr>
          <w:color w:val="000000"/>
        </w:rPr>
        <w:t>“</w:t>
      </w:r>
      <w:r>
        <w:rPr>
          <w:rFonts w:ascii="Times New Roman;sans-serif" w:hAnsi="Times New Roman;sans-serif"/>
          <w:b/>
          <w:color w:val="000000"/>
          <w:sz w:val="23"/>
        </w:rPr>
        <w:t>Change in Control</w:t>
      </w:r>
      <w:r>
        <w:rPr>
          <w:color w:val="000000"/>
        </w:rPr>
        <w:t xml:space="preserve">” </w:t>
      </w:r>
      <w:r>
        <w:rPr>
          <w:rFonts w:ascii="Times New Roman;sans-serif" w:hAnsi="Times New Roman;sans-serif"/>
          <w:b w:val="false"/>
          <w:color w:val="000000"/>
          <w:sz w:val="23"/>
        </w:rPr>
        <w:t>means the occurrence after the date of this Agreement of any of the following events:</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Acquisition of Stock by Third Party</w:t>
      </w:r>
      <w:r>
        <w:rPr>
          <w:rFonts w:ascii="Times New Roman;sans-serif" w:hAnsi="Times New Roman;sans-serif"/>
          <w:b w:val="false"/>
          <w:color w:val="000000"/>
          <w:sz w:val="23"/>
        </w:rPr>
        <w:t xml:space="preserve">. Any Person (as defined below) who is not a current stockholder of the Company becomes hereafter the Beneficial Owner, directly or indirectly, of securities of the </w:t>
      </w:r>
      <w:r>
        <w:rPr>
          <w:rFonts w:ascii="Times New Roman;sans-serif" w:hAnsi="Times New Roman;sans-serif"/>
          <w:b w:val="false"/>
          <w:color w:val="000000"/>
          <w:sz w:val="24"/>
        </w:rPr>
        <w:t>Company</w:t>
      </w:r>
      <w:r>
        <w:rPr>
          <w:color w:val="000000"/>
        </w:rPr>
        <w:t xml:space="preserve"> </w:t>
      </w:r>
      <w:r>
        <w:rPr>
          <w:rFonts w:ascii="Times New Roman;sans-serif" w:hAnsi="Times New Roman;sans-serif"/>
          <w:b w:val="false"/>
          <w:color w:val="000000"/>
          <w:sz w:val="23"/>
        </w:rPr>
        <w:t>representing thirty percent (30%) or more of the Company’s Voting Securities, unless the change in the relative Beneficial Ownership of the Company’s securities by any Person results solely from a reduction in the aggregate number of outstanding Voting Securities;</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14"/>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4"/>
          <w:u w:val="single"/>
        </w:rPr>
        <w:t>Corporate Transactions</w:t>
      </w:r>
      <w:r>
        <w:rPr>
          <w:rFonts w:ascii="Times New Roman;sans-serif" w:hAnsi="Times New Roman;sans-serif"/>
          <w:b w:val="false"/>
          <w:color w:val="000000"/>
          <w:sz w:val="24"/>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u w:val="single"/>
        </w:rPr>
        <w:t>Change in Board of Directors</w:t>
      </w:r>
      <w:r>
        <w:rPr>
          <w:rFonts w:ascii="Times New Roman;sans-serif" w:hAnsi="Times New Roman;sans-serif"/>
          <w:b w:val="false"/>
          <w:color w:val="000000"/>
          <w:sz w:val="23"/>
        </w:rPr>
        <w:t>. The Continuing Directors cease for any reason to constitute at least a majority of the members of the Board; or</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3"/>
          <w:u w:val="single"/>
        </w:rPr>
        <w:t>Liquidation</w:t>
      </w:r>
      <w:r>
        <w:rPr>
          <w:rFonts w:ascii="Times New Roman;sans-serif" w:hAnsi="Times New Roman;sans-serif"/>
          <w:b w:val="false"/>
          <w:i/>
          <w:color w:val="000000"/>
          <w:sz w:val="23"/>
        </w:rPr>
        <w:t>.</w:t>
      </w:r>
      <w:r>
        <w:rPr>
          <w:color w:val="000000"/>
        </w:rPr>
        <w:t xml:space="preserve"> </w:t>
      </w:r>
      <w:r>
        <w:rPr>
          <w:rFonts w:ascii="Times New Roman;sans-serif" w:hAnsi="Times New Roman;sans-serif"/>
          <w:b w:val="false"/>
          <w:color w:val="000000"/>
          <w:sz w:val="23"/>
        </w:rPr>
        <w:t>The stockholders of the Company approve a plan of complete liquidation or dissolution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(f) </w:t>
      </w:r>
      <w:r>
        <w:rPr>
          <w:color w:val="000000"/>
        </w:rPr>
        <w:t>“</w:t>
      </w:r>
      <w:r>
        <w:rPr>
          <w:rFonts w:ascii="Times New Roman;sans-serif" w:hAnsi="Times New Roman;sans-serif"/>
          <w:b/>
          <w:color w:val="000000"/>
          <w:sz w:val="23"/>
        </w:rPr>
        <w:t>Claim</w:t>
      </w:r>
      <w:r>
        <w:rPr>
          <w:color w:val="000000"/>
        </w:rPr>
        <w:t xml:space="preserve">” </w:t>
      </w:r>
      <w:r>
        <w:rPr>
          <w:rFonts w:ascii="Times New Roman;sans-serif" w:hAnsi="Times New Roman;sans-serif"/>
          <w:b w:val="false"/>
          <w:color w:val="000000"/>
          <w:sz w:val="23"/>
        </w:rPr>
        <w:t>means:</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any threatened, pending or completed action, suit, demand, proceeding or alternative dispute resolution mechanism, whether civil, criminal, administrative, arbitrative, investigative or other, and whether made pursuant to federal, state or other law; or</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any inquiry, hearing or investigation that the Indemnitee determines might lead to the institution of any such action, suit, proceeding or alternative dispute resolution mechanism.</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(g) </w:t>
      </w:r>
      <w:r>
        <w:rPr>
          <w:color w:val="000000"/>
        </w:rPr>
        <w:t>“</w:t>
      </w:r>
      <w:r>
        <w:rPr>
          <w:rFonts w:ascii="Times New Roman;sans-serif" w:hAnsi="Times New Roman;sans-serif"/>
          <w:b/>
          <w:color w:val="000000"/>
          <w:sz w:val="23"/>
        </w:rPr>
        <w:t>Company</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(h) </w:t>
      </w:r>
      <w:r>
        <w:rPr>
          <w:color w:val="000000"/>
        </w:rPr>
        <w:t>“</w:t>
      </w:r>
      <w:r>
        <w:rPr>
          <w:rFonts w:ascii="Times New Roman;sans-serif" w:hAnsi="Times New Roman;sans-serif"/>
          <w:b/>
          <w:color w:val="000000"/>
          <w:sz w:val="23"/>
        </w:rPr>
        <w:t>Constituent Documents</w:t>
      </w:r>
      <w:r>
        <w:rPr>
          <w:color w:val="000000"/>
        </w:rPr>
        <w:t xml:space="preserve">” </w:t>
      </w:r>
      <w:r>
        <w:rPr>
          <w:rFonts w:ascii="Times New Roman;sans-serif" w:hAnsi="Times New Roman;sans-serif"/>
          <w:b w:val="false"/>
          <w:color w:val="000000"/>
          <w:sz w:val="23"/>
        </w:rPr>
        <w:t>shall have the meaning ascribed to it in the Recitals above.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 </w:t>
      </w:r>
      <w:r>
        <w:rPr>
          <w:color w:val="000000"/>
        </w:rPr>
        <w:t>“</w:t>
      </w:r>
      <w:r>
        <w:rPr>
          <w:rFonts w:ascii="Times New Roman;sans-serif" w:hAnsi="Times New Roman;sans-serif"/>
          <w:b/>
          <w:color w:val="000000"/>
          <w:sz w:val="23"/>
        </w:rPr>
        <w:t>Continuing Directors</w:t>
      </w:r>
      <w:r>
        <w:rPr>
          <w:color w:val="000000"/>
        </w:rPr>
        <w:t xml:space="preserve">” </w:t>
      </w:r>
      <w:r>
        <w:rPr>
          <w:rFonts w:ascii="Times New Roman;sans-serif" w:hAnsi="Times New Roman;sans-serif"/>
          <w:b w:val="false"/>
          <w:color w:val="000000"/>
          <w:sz w:val="23"/>
        </w:rPr>
        <w:t>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(j) </w:t>
      </w:r>
      <w:r>
        <w:rPr>
          <w:color w:val="000000"/>
        </w:rPr>
        <w:t>“</w:t>
      </w:r>
      <w:r>
        <w:rPr>
          <w:rFonts w:ascii="Times New Roman;sans-serif" w:hAnsi="Times New Roman;sans-serif"/>
          <w:b/>
          <w:color w:val="000000"/>
          <w:sz w:val="23"/>
        </w:rPr>
        <w:t>Delaware Court</w:t>
      </w:r>
      <w:r>
        <w:rPr>
          <w:color w:val="000000"/>
        </w:rPr>
        <w:t xml:space="preserve">” </w:t>
      </w:r>
      <w:r>
        <w:rPr>
          <w:rFonts w:ascii="Times New Roman;sans-serif" w:hAnsi="Times New Roman;sans-serif"/>
          <w:b w:val="false"/>
          <w:color w:val="000000"/>
          <w:sz w:val="23"/>
        </w:rPr>
        <w:t>means the Court of Chancery of the State of Delaware.</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15"/>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(k) </w:t>
      </w:r>
      <w:r>
        <w:rPr>
          <w:color w:val="000000"/>
        </w:rPr>
        <w:t>“</w:t>
      </w:r>
      <w:r>
        <w:rPr>
          <w:rFonts w:ascii="Times New Roman;sans-serif" w:hAnsi="Times New Roman;sans-serif"/>
          <w:b/>
          <w:color w:val="000000"/>
          <w:sz w:val="23"/>
        </w:rPr>
        <w:t>Disinterested Director</w:t>
      </w:r>
      <w:r>
        <w:rPr>
          <w:color w:val="000000"/>
        </w:rPr>
        <w:t xml:space="preserve">” </w:t>
      </w:r>
      <w:r>
        <w:rPr>
          <w:rFonts w:ascii="Times New Roman;sans-serif" w:hAnsi="Times New Roman;sans-serif"/>
          <w:b w:val="false"/>
          <w:color w:val="000000"/>
          <w:sz w:val="23"/>
        </w:rPr>
        <w:t>means a director of the Company who is not and was not a party to the Claim in respect of which indemnification is sought by Indemnitee.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(l) </w:t>
      </w:r>
      <w:r>
        <w:rPr>
          <w:color w:val="000000"/>
        </w:rPr>
        <w:t>“</w:t>
      </w:r>
      <w:r>
        <w:rPr>
          <w:rFonts w:ascii="Times New Roman;sans-serif" w:hAnsi="Times New Roman;sans-serif"/>
          <w:b/>
          <w:color w:val="000000"/>
          <w:sz w:val="23"/>
        </w:rPr>
        <w:t>Enterprise</w:t>
      </w:r>
      <w:r>
        <w:rPr>
          <w:color w:val="000000"/>
        </w:rPr>
        <w:t xml:space="preserve">” </w:t>
      </w:r>
      <w:r>
        <w:rPr>
          <w:rFonts w:ascii="Times New Roman;sans-serif" w:hAnsi="Times New Roman;sans-serif"/>
          <w:b w:val="false"/>
          <w:color w:val="000000"/>
          <w:sz w:val="23"/>
        </w:rPr>
        <w:t>means, any corporation, limited liability company, partnership, joint venture, trust or other entity.</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(m) </w:t>
      </w:r>
      <w:r>
        <w:rPr>
          <w:color w:val="000000"/>
        </w:rPr>
        <w:t>“</w:t>
      </w:r>
      <w:r>
        <w:rPr>
          <w:rFonts w:ascii="Times New Roman;sans-serif" w:hAnsi="Times New Roman;sans-serif"/>
          <w:b/>
          <w:color w:val="000000"/>
          <w:sz w:val="23"/>
        </w:rPr>
        <w:t>Exchange Act</w:t>
      </w:r>
      <w:r>
        <w:rPr>
          <w:color w:val="000000"/>
        </w:rPr>
        <w:t xml:space="preserve">” </w:t>
      </w:r>
      <w:r>
        <w:rPr>
          <w:rFonts w:ascii="Times New Roman;sans-serif" w:hAnsi="Times New Roman;sans-serif"/>
          <w:b w:val="false"/>
          <w:color w:val="000000"/>
          <w:sz w:val="23"/>
        </w:rPr>
        <w:t>means the Securities Exchange Act of 1934, as amended.</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(n) </w:t>
      </w:r>
      <w:r>
        <w:rPr>
          <w:color w:val="000000"/>
        </w:rPr>
        <w:t>“</w:t>
      </w:r>
      <w:r>
        <w:rPr>
          <w:rFonts w:ascii="Times New Roman;sans-serif" w:hAnsi="Times New Roman;sans-serif"/>
          <w:b/>
          <w:color w:val="000000"/>
          <w:sz w:val="23"/>
        </w:rPr>
        <w:t>Expense Advance</w:t>
      </w:r>
      <w:r>
        <w:rPr>
          <w:color w:val="000000"/>
        </w:rPr>
        <w:t xml:space="preserve">” </w:t>
      </w:r>
      <w:r>
        <w:rPr>
          <w:rFonts w:ascii="Times New Roman;sans-serif" w:hAnsi="Times New Roman;sans-serif"/>
          <w:b w:val="false"/>
          <w:color w:val="000000"/>
          <w:sz w:val="23"/>
        </w:rPr>
        <w:t>means any payment of Expense advanced to Indemnitee by the Company pursuant to Section 4 or Section 5 hereof.</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(o) </w:t>
      </w:r>
      <w:r>
        <w:rPr>
          <w:color w:val="000000"/>
        </w:rPr>
        <w:t>“</w:t>
      </w:r>
      <w:r>
        <w:rPr>
          <w:rFonts w:ascii="Times New Roman;sans-serif" w:hAnsi="Times New Roman;sans-serif"/>
          <w:b/>
          <w:color w:val="000000"/>
          <w:sz w:val="23"/>
        </w:rPr>
        <w:t>Expenses</w:t>
      </w:r>
      <w:r>
        <w:rPr>
          <w:color w:val="000000"/>
        </w:rPr>
        <w:t xml:space="preserve">” </w:t>
      </w:r>
      <w:r>
        <w:rPr>
          <w:rFonts w:ascii="Times New Roman;sans-serif" w:hAnsi="Times New Roman;sans-serif"/>
          <w:b w:val="false"/>
          <w:color w:val="000000"/>
          <w:sz w:val="23"/>
        </w:rPr>
        <w:t>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(p) </w:t>
      </w:r>
      <w:r>
        <w:rPr>
          <w:color w:val="000000"/>
        </w:rPr>
        <w:t>“</w:t>
      </w:r>
      <w:r>
        <w:rPr>
          <w:rFonts w:ascii="Times New Roman;sans-serif" w:hAnsi="Times New Roman;sans-serif"/>
          <w:b/>
          <w:color w:val="000000"/>
          <w:sz w:val="23"/>
        </w:rPr>
        <w:t>Indemnifiable Event</w:t>
      </w:r>
      <w:r>
        <w:rPr>
          <w:color w:val="000000"/>
        </w:rPr>
        <w:t xml:space="preserve">” </w:t>
      </w:r>
      <w:r>
        <w:rPr>
          <w:rFonts w:ascii="Times New Roman;sans-serif" w:hAnsi="Times New Roman;sans-serif"/>
          <w:b w:val="false"/>
          <w:color w:val="000000"/>
          <w:sz w:val="23"/>
        </w:rPr>
        <w:t>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(q) </w:t>
      </w:r>
      <w:r>
        <w:rPr>
          <w:color w:val="000000"/>
        </w:rPr>
        <w:t>“</w:t>
      </w:r>
      <w:r>
        <w:rPr>
          <w:rFonts w:ascii="Times New Roman;sans-serif" w:hAnsi="Times New Roman;sans-serif"/>
          <w:b/>
          <w:color w:val="000000"/>
          <w:sz w:val="23"/>
        </w:rPr>
        <w:t>Indemnitee</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(r) </w:t>
      </w:r>
      <w:r>
        <w:rPr>
          <w:color w:val="000000"/>
        </w:rPr>
        <w:t>“</w:t>
      </w:r>
      <w:r>
        <w:rPr>
          <w:rFonts w:ascii="Times New Roman;sans-serif" w:hAnsi="Times New Roman;sans-serif"/>
          <w:b/>
          <w:color w:val="000000"/>
          <w:sz w:val="23"/>
        </w:rPr>
        <w:t>Independent Counsel</w:t>
      </w:r>
      <w:r>
        <w:rPr>
          <w:color w:val="000000"/>
        </w:rPr>
        <w:t xml:space="preserve">” </w:t>
      </w:r>
      <w:r>
        <w:rPr>
          <w:rFonts w:ascii="Times New Roman;sans-serif" w:hAnsi="Times New Roman;sans-serif"/>
          <w:b w:val="false"/>
          <w:color w:val="000000"/>
          <w:sz w:val="23"/>
        </w:rPr>
        <w:t>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 </w:t>
      </w:r>
      <w:r>
        <w:rPr>
          <w:color w:val="000000"/>
        </w:rPr>
        <w:t>“</w:t>
      </w:r>
      <w:r>
        <w:rPr>
          <w:rFonts w:ascii="Times New Roman;sans-serif" w:hAnsi="Times New Roman;sans-serif"/>
          <w:b/>
          <w:color w:val="000000"/>
          <w:sz w:val="23"/>
        </w:rPr>
        <w:t>Losses</w:t>
      </w:r>
      <w:r>
        <w:rPr>
          <w:color w:val="000000"/>
        </w:rPr>
        <w:t xml:space="preserve">” </w:t>
      </w:r>
      <w:r>
        <w:rPr>
          <w:rFonts w:ascii="Times New Roman;sans-serif" w:hAnsi="Times New Roman;sans-serif"/>
          <w:b w:val="false"/>
          <w:color w:val="000000"/>
          <w:sz w:val="23"/>
        </w:rPr>
        <w:t xml:space="preserve">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4" name="Frame116"/>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 </w:t>
      </w:r>
      <w:r>
        <w:rPr>
          <w:color w:val="000000"/>
        </w:rPr>
        <w:t>“</w:t>
      </w:r>
      <w:r>
        <w:rPr>
          <w:rFonts w:ascii="Times New Roman;sans-serif" w:hAnsi="Times New Roman;sans-serif"/>
          <w:b/>
          <w:color w:val="000000"/>
          <w:sz w:val="23"/>
        </w:rPr>
        <w:t>Notification Date</w:t>
      </w:r>
      <w:r>
        <w:rPr>
          <w:color w:val="000000"/>
        </w:rPr>
        <w:t xml:space="preserve">” </w:t>
      </w:r>
      <w:r>
        <w:rPr>
          <w:rFonts w:ascii="Times New Roman;sans-serif" w:hAnsi="Times New Roman;sans-serif"/>
          <w:b w:val="false"/>
          <w:color w:val="000000"/>
          <w:sz w:val="23"/>
        </w:rPr>
        <w:t>shall have the meaning ascribed to it in Section 10(c) below.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(u) </w:t>
      </w:r>
      <w:r>
        <w:rPr>
          <w:color w:val="000000"/>
        </w:rPr>
        <w:t>“</w:t>
      </w:r>
      <w:r>
        <w:rPr>
          <w:rFonts w:ascii="Times New Roman;sans-serif" w:hAnsi="Times New Roman;sans-serif"/>
          <w:b/>
          <w:color w:val="000000"/>
          <w:sz w:val="23"/>
        </w:rPr>
        <w:t>Other Indemnity Provisions</w:t>
      </w:r>
      <w:r>
        <w:rPr>
          <w:color w:val="000000"/>
        </w:rPr>
        <w:t xml:space="preserve">” </w:t>
      </w:r>
      <w:r>
        <w:rPr>
          <w:rFonts w:ascii="Times New Roman;sans-serif" w:hAnsi="Times New Roman;sans-serif"/>
          <w:b w:val="false"/>
          <w:color w:val="000000"/>
          <w:sz w:val="23"/>
        </w:rPr>
        <w:t>shall have the meaning ascribed to it in Section 14 below.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(v) </w:t>
      </w:r>
      <w:r>
        <w:rPr>
          <w:color w:val="000000"/>
        </w:rPr>
        <w:t>“</w:t>
      </w:r>
      <w:r>
        <w:rPr>
          <w:rFonts w:ascii="Times New Roman;sans-serif" w:hAnsi="Times New Roman;sans-serif"/>
          <w:b/>
          <w:color w:val="000000"/>
          <w:sz w:val="23"/>
        </w:rPr>
        <w:t>Person</w:t>
      </w:r>
      <w:r>
        <w:rPr>
          <w:color w:val="000000"/>
        </w:rPr>
        <w:t xml:space="preserve">” </w:t>
      </w:r>
      <w:r>
        <w:rPr>
          <w:rFonts w:ascii="Times New Roman;sans-serif" w:hAnsi="Times New Roman;sans-serif"/>
          <w:b w:val="false"/>
          <w:color w:val="000000"/>
          <w:sz w:val="23"/>
        </w:rPr>
        <w:t xml:space="preserve">means any individual, corporation, firm, partnership, joint venture, limited liability company, estate, trust, business association, organization, governmental entity or other entity and includes the meaning set forth in Sections 13(d) and 14(d) of the Exchange Act.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(w) </w:t>
      </w:r>
      <w:r>
        <w:rPr>
          <w:color w:val="000000"/>
        </w:rPr>
        <w:t>“</w:t>
      </w:r>
      <w:r>
        <w:rPr>
          <w:rFonts w:ascii="Times New Roman;sans-serif" w:hAnsi="Times New Roman;sans-serif"/>
          <w:b/>
          <w:color w:val="000000"/>
          <w:sz w:val="23"/>
        </w:rPr>
        <w:t>Standard of Conduct Determination</w:t>
      </w:r>
      <w:r>
        <w:rPr>
          <w:color w:val="000000"/>
        </w:rPr>
        <w:t xml:space="preserve">” </w:t>
      </w:r>
      <w:r>
        <w:rPr>
          <w:rFonts w:ascii="Times New Roman;sans-serif" w:hAnsi="Times New Roman;sans-serif"/>
          <w:b w:val="false"/>
          <w:color w:val="000000"/>
          <w:sz w:val="23"/>
        </w:rPr>
        <w:t>shall have the meaning ascribed to it in Section 10(b) below.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(x) </w:t>
      </w:r>
      <w:r>
        <w:rPr>
          <w:color w:val="000000"/>
        </w:rPr>
        <w:t>“</w:t>
      </w:r>
      <w:r>
        <w:rPr>
          <w:rFonts w:ascii="Times New Roman;sans-serif" w:hAnsi="Times New Roman;sans-serif"/>
          <w:b/>
          <w:color w:val="000000"/>
          <w:sz w:val="23"/>
        </w:rPr>
        <w:t>Voting Securities</w:t>
      </w:r>
      <w:r>
        <w:rPr>
          <w:color w:val="000000"/>
        </w:rPr>
        <w:t xml:space="preserve">” </w:t>
      </w:r>
      <w:r>
        <w:rPr>
          <w:rFonts w:ascii="Times New Roman;sans-serif" w:hAnsi="Times New Roman;sans-serif"/>
          <w:b w:val="false"/>
          <w:color w:val="000000"/>
          <w:sz w:val="23"/>
        </w:rPr>
        <w:t>means any securities of the Company that vote generally in the election of directors.</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3. </w:t>
      </w:r>
      <w:r>
        <w:rPr>
          <w:rFonts w:ascii="Times New Roman;sans-serif" w:hAnsi="Times New Roman;sans-serif"/>
          <w:b w:val="false"/>
          <w:color w:val="000000"/>
          <w:sz w:val="23"/>
          <w:u w:val="single"/>
        </w:rPr>
        <w:t>Indemnification</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Subject to the terms of this Agreement, the 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4. </w:t>
      </w:r>
      <w:r>
        <w:rPr>
          <w:rFonts w:ascii="Times New Roman;sans-serif" w:hAnsi="Times New Roman;sans-serif"/>
          <w:b w:val="false"/>
          <w:color w:val="000000"/>
          <w:sz w:val="23"/>
          <w:u w:val="single"/>
        </w:rPr>
        <w:t>Advancement of Expenses</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and Indemnitee hereby agrees, to repay any amounts paid, advanced or reimbursed by the Company pursuant to this Section 4 in respect of Expenses relating to, arising out of or resulting from any Claim in respect of which it shall be determined, pursuant to Section 10,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5. </w:t>
      </w:r>
      <w:r>
        <w:rPr>
          <w:rFonts w:ascii="Times New Roman;sans-serif" w:hAnsi="Times New Roman;sans-serif"/>
          <w:b w:val="false"/>
          <w:color w:val="000000"/>
          <w:sz w:val="23"/>
          <w:u w:val="single"/>
        </w:rPr>
        <w:t>Indemnification for Expenses in Enforcing Rights</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 xml:space="preserve">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17"/>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 Indemnitee shall be required to reimburse the Company in the event that a final judicial determination is made that such action brought by Indemnitee was frivolous or not made in good faith.</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6. </w:t>
      </w:r>
      <w:r>
        <w:rPr>
          <w:rFonts w:ascii="Times New Roman;sans-serif" w:hAnsi="Times New Roman;sans-serif"/>
          <w:b w:val="false"/>
          <w:color w:val="000000"/>
          <w:sz w:val="23"/>
          <w:u w:val="single"/>
        </w:rPr>
        <w:t>Partial Indemnity</w:t>
      </w:r>
      <w:r>
        <w:rPr>
          <w:rFonts w:ascii="Times New Roman;sans-serif" w:hAnsi="Times New Roman;sans-serif"/>
          <w:b w:val="false"/>
          <w:color w:val="000000"/>
          <w:sz w:val="23"/>
        </w:rPr>
        <w:t xml:space="preserve">.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 </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7. </w:t>
      </w:r>
      <w:r>
        <w:rPr>
          <w:rFonts w:ascii="Times New Roman;sans-serif" w:hAnsi="Times New Roman;sans-serif"/>
          <w:b w:val="false"/>
          <w:color w:val="000000"/>
          <w:sz w:val="23"/>
          <w:u w:val="single"/>
        </w:rPr>
        <w:t>Contribution in the Event of Joint Liability</w:t>
      </w:r>
      <w:r>
        <w:rPr>
          <w:rFonts w:ascii="Times New Roman;sans-serif" w:hAnsi="Times New Roman;sans-serif"/>
          <w:b w:val="false"/>
          <w:color w:val="000000"/>
          <w:sz w:val="23"/>
        </w:rPr>
        <w:t>. To the fullest extent permissible under applicable law, if the indemnification and hold harmless rights provided for in this Agreement are unavailable to Indemnitee in whole or in part for any reason whatsoever, the Company, in lieu of indemnifying and holding harmless Indemnitee, shall pay, in the first instance, the entire amount incurred by Indemnitee, whether for judgments, liabilities, fines, penalties, amounts paid or to be paid in settlement and/or for Expenses, in connection with any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8. </w:t>
      </w:r>
      <w:r>
        <w:rPr>
          <w:rFonts w:ascii="Times New Roman;sans-serif" w:hAnsi="Times New Roman;sans-serif"/>
          <w:b w:val="false"/>
          <w:color w:val="000000"/>
          <w:sz w:val="23"/>
          <w:u w:val="single"/>
        </w:rPr>
        <w:t>Notification and Defense of Claims</w:t>
      </w:r>
      <w:r>
        <w:rPr>
          <w:rFonts w:ascii="Times New Roman;sans-serif" w:hAnsi="Times New Roman;sans-serif"/>
          <w:b w:val="false"/>
          <w:color w:val="000000"/>
          <w:sz w:val="23"/>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u w:val="single"/>
        </w:rPr>
        <w:t>Notification of Claims</w:t>
      </w:r>
      <w:r>
        <w:rPr>
          <w:rFonts w:ascii="Times New Roman;sans-serif" w:hAnsi="Times New Roman;sans-serif"/>
          <w:b w:val="false"/>
          <w:color w:val="000000"/>
          <w:sz w:val="23"/>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u w:val="single"/>
        </w:rPr>
        <w:t>Defense of Claims</w:t>
      </w:r>
      <w:r>
        <w:rPr>
          <w:rFonts w:ascii="Times New Roman;sans-serif" w:hAnsi="Times New Roman;sans-serif"/>
          <w:b w:val="false"/>
          <w:color w:val="000000"/>
          <w:sz w:val="23"/>
        </w:rPr>
        <w:t xml:space="preserve">.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Indemnitee’s counsel has reasonably determined that there may be a conflict of interest between Indemnitee and the Company in the defense of such Claim, (iii) after a Change in Control,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18"/>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9. </w:t>
      </w:r>
      <w:r>
        <w:rPr>
          <w:rFonts w:ascii="Times New Roman;sans-serif" w:hAnsi="Times New Roman;sans-serif"/>
          <w:b w:val="false"/>
          <w:color w:val="000000"/>
          <w:sz w:val="23"/>
          <w:u w:val="single"/>
        </w:rPr>
        <w:t>Procedure Upon Application for Indemnification</w:t>
      </w:r>
      <w:r>
        <w:rPr>
          <w:rFonts w:ascii="Times New Roman;sans-serif" w:hAnsi="Times New Roman;sans-serif"/>
          <w:b w:val="false"/>
          <w:color w:val="000000"/>
          <w:sz w:val="23"/>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19"/>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before="0" w:after="120"/>
        <w:rPr/>
      </w:pPr>
      <w:r>
        <w:rPr/>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10. </w:t>
      </w:r>
      <w:r>
        <w:rPr>
          <w:rFonts w:ascii="Times New Roman;sans-serif" w:hAnsi="Times New Roman;sans-serif"/>
          <w:b w:val="false"/>
          <w:color w:val="000000"/>
          <w:sz w:val="23"/>
          <w:u w:val="single"/>
        </w:rPr>
        <w:t>Determination of Right to Indemnification</w:t>
      </w:r>
      <w:r>
        <w:rPr>
          <w:rFonts w:ascii="Times New Roman;sans-serif" w:hAnsi="Times New Roman;sans-serif"/>
          <w:b w:val="false"/>
          <w:color w:val="000000"/>
          <w:sz w:val="23"/>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u w:val="single"/>
        </w:rPr>
        <w:t>Mandatory Indemnification; Indemnification as a Witness</w:t>
      </w:r>
      <w:r>
        <w:rPr>
          <w:rFonts w:ascii="Times New Roman;sans-serif" w:hAnsi="Times New Roman;sans-serif"/>
          <w:b w:val="false"/>
          <w:color w:val="000000"/>
          <w:sz w:val="23"/>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Mandatory Indemnification</w:t>
      </w:r>
      <w:r>
        <w:rPr>
          <w:rFonts w:ascii="Times New Roman;sans-serif" w:hAnsi="Times New Roman;sans-serif"/>
          <w:b w:val="false"/>
          <w:color w:val="000000"/>
          <w:sz w:val="23"/>
        </w:rPr>
        <w:t>. To the extent that Indemnitee shall have been successful on the merits or otherwise in defense of any Claim relating to an Indemnifiable Event or any portion thereof or in defense of any issue or matter therein, including without limitation dismissal without prejudice or settlement of the Claim (subject to the terms of Section 12 below), Indemnitee shall be indemnified against all Losses relating to such Claim in accordance with Section 3 to the fullest extent allowable by law.</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u w:val="single"/>
        </w:rPr>
        <w:t>Indemnification as a Witness</w:t>
      </w:r>
      <w:r>
        <w:rPr>
          <w:rFonts w:ascii="Times New Roman;sans-serif" w:hAnsi="Times New Roman;sans-serif"/>
          <w:b w:val="false"/>
          <w:color w:val="000000"/>
          <w:sz w:val="23"/>
        </w:rPr>
        <w:t>.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u w:val="single"/>
        </w:rPr>
        <w:t>Standard of Conduct</w:t>
      </w:r>
      <w:r>
        <w:rPr>
          <w:rFonts w:ascii="Times New Roman;sans-serif" w:hAnsi="Times New Roman;sans-serif"/>
          <w:b w:val="false"/>
          <w:color w:val="000000"/>
          <w:sz w:val="23"/>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sans-serif" w:hAnsi="Times New Roman;sans-serif"/>
          <w:b/>
          <w:color w:val="000000"/>
          <w:sz w:val="23"/>
        </w:rPr>
        <w:t>Standard of Conduct Determination</w:t>
      </w:r>
      <w:r>
        <w:rPr>
          <w:color w:val="000000"/>
        </w:rPr>
        <w:t>”</w:t>
      </w:r>
      <w:r>
        <w:rPr>
          <w:rFonts w:ascii="Times New Roman;sans-serif" w:hAnsi="Times New Roman;sans-serif"/>
          <w:b w:val="false"/>
          <w:color w:val="000000"/>
          <w:sz w:val="23"/>
        </w:rPr>
        <w:t>) shall be made as follows:</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pStyle w:val="TextBody"/>
        <w:spacing w:lineRule="auto" w:line="288" w:before="0" w:after="12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Company shall indemnify and hold harmless Indemnitee against and, if requested by Indemnitee, shall reimburse Indemnitee for, or advance to Indemnitee, within twenty (20) calendar days of such request, any and all Expenses incurred by Indemnitee in cooperating with the Person or Persons making such Standard of Conduct Determination.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u w:val="single"/>
        </w:rPr>
        <w:t>Making the Standard of Conduct Determination</w:t>
      </w:r>
      <w:r>
        <w:rPr>
          <w:rFonts w:ascii="Times New Roman;sans-serif" w:hAnsi="Times New Roman;sans-serif"/>
          <w:b w:val="false"/>
          <w:color w:val="000000"/>
          <w:sz w:val="23"/>
        </w:rPr>
        <w:t>. The Company shall use its reasonable best efforts to cause any Standard of Conduct Determination required under Section 10(b) to be made as promptly as practicable.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Times New Roman;sans-serif" w:hAnsi="Times New Roman;sans-serif"/>
          <w:b/>
          <w:color w:val="000000"/>
          <w:sz w:val="23"/>
        </w:rPr>
        <w:t>Notification Date</w:t>
      </w:r>
      <w:r>
        <w:rPr>
          <w:color w:val="000000"/>
        </w:rPr>
        <w:t>”</w:t>
      </w:r>
      <w:r>
        <w:rPr>
          <w:rFonts w:ascii="Times New Roman;sans-serif" w:hAnsi="Times New Roman;sans-serif"/>
          <w:b w:val="false"/>
          <w:color w:val="000000"/>
          <w:sz w:val="23"/>
        </w:rPr>
        <w:t xml:space="preserve">) and (B) the selection of an Independent Counsel, if such determination is to be made by Independent Counsel, then Indemnitee shall be deemed to have satisfied the applicable standard of conduct, absent (i) a misstatement by Indemnitee of a material fact, or an omission of a material fact necessary to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20"/>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make Indemnitee’s statement not materially misleading, in connection with the request for indemnification, or (ii) a final judicial determination that any or all such indemnification is expressly prohibited under applicable law; provided, however, that such thirty (30) calendar day period may be extended for a reasonable time, not to exceed an additional fifteen (15) calendar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3"/>
          <w:u w:val="single"/>
        </w:rPr>
        <w:t>Payment of Indemnification</w:t>
      </w:r>
      <w:r>
        <w:rPr>
          <w:rFonts w:ascii="Times New Roman;sans-serif" w:hAnsi="Times New Roman;sans-serif"/>
          <w:b w:val="false"/>
          <w:color w:val="000000"/>
          <w:sz w:val="23"/>
        </w:rPr>
        <w:t>. If, in regard to any Losses:</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Indemnitee shall be entitled to indemnification pursuant to Section 10(a);</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no Standard of Conduct Determination is legally required as a condition to indemnification of Indemnitee hereunder; or</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rPr>
        <w:t>Indemnitee has been determined or deemed pursuant to Section 10(b) or Section 10(c) to have satisfied the Standard of Conduct Determination,</w:t>
      </w:r>
    </w:p>
    <w:p>
      <w:pPr>
        <w:pStyle w:val="TextBody"/>
        <w:spacing w:lineRule="auto" w:line="288" w:before="0" w:after="12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then the Company shall pay to Indemnitee, within twenty (20) calendar days after the later of (A) the Notification Date or (B) the earliest date on which the applicable criterion specified in clause (i), (ii) or (iii) is satisfied, an amount equal to such Losses.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3"/>
          <w:u w:val="single"/>
        </w:rPr>
        <w:t>Selection of Independent Counsel for Standard of Conduct Determination</w:t>
      </w:r>
      <w:r>
        <w:rPr>
          <w:rFonts w:ascii="Times New Roman;sans-serif" w:hAnsi="Times New Roman;sans-serif"/>
          <w:b w:val="false"/>
          <w:color w:val="000000"/>
          <w:sz w:val="23"/>
        </w:rPr>
        <w:t xml:space="preserve">. If a Standard of Conduct Determination is to be made by Independent Counsel pursuant to Section 10(b)(i),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10(e) to make the Standard of Conduct Determination shall have been selected within twenty (20) calendar days after the Company gives its initial notice pursuant to the first sentence of this Section 10(e) or Indemnitee gives its initial notice pursuant to the second sentence of this Section 10(e), as the case may be, either the Company or Indemnitee may petition the Delaware Court to resolve any objection which shall have been made by </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21"/>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Company or Indemnitee to the other’s selection of Independent Counsel and/or to appoint as Independent Counsel an individual or firm to be selected by the Court or such other person as the Court shall designate, and the individual or firm with respect to whom all 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 expenses, claims, liabilities and damages arising out of or relating to this Agreement or its engagement pursuant hereto.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3"/>
          <w:u w:val="single"/>
        </w:rPr>
        <w:t>Presumptions and Defenses</w:t>
      </w:r>
      <w:r>
        <w:rPr>
          <w:rFonts w:ascii="Times New Roman;sans-serif" w:hAnsi="Times New Roman;sans-serif"/>
          <w:b w:val="false"/>
          <w:color w:val="000000"/>
          <w:sz w:val="23"/>
        </w:rPr>
        <w:t>.</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Indemnitee’s Entitlement to Indemnification</w:t>
      </w:r>
      <w:r>
        <w:rPr>
          <w:rFonts w:ascii="Times New Roman;sans-serif" w:hAnsi="Times New Roman;sans-serif"/>
          <w:b w:val="false"/>
          <w:color w:val="000000"/>
          <w:sz w:val="23"/>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u w:val="single"/>
        </w:rPr>
        <w:t>Reliance as a Safe Harbor</w:t>
      </w:r>
      <w:r>
        <w:rPr>
          <w:rFonts w:ascii="Times New Roman;sans-serif" w:hAnsi="Times New Roman;sans-serif"/>
          <w:b w:val="false"/>
          <w:color w:val="000000"/>
          <w:sz w:val="23"/>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u w:val="single"/>
        </w:rPr>
        <w:t>No Other Presumptions</w:t>
      </w:r>
      <w:r>
        <w:rPr>
          <w:rFonts w:ascii="Times New Roman;sans-serif" w:hAnsi="Times New Roman;sans-serif"/>
          <w:b w:val="false"/>
          <w:color w:val="000000"/>
          <w:sz w:val="23"/>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3"/>
          <w:u w:val="single"/>
        </w:rPr>
        <w:t>Defense to Indemnification and Burden of Proof</w:t>
      </w:r>
      <w:r>
        <w:rPr>
          <w:rFonts w:ascii="Times New Roman;sans-serif" w:hAnsi="Times New Roman;sans-serif"/>
          <w:b w:val="false"/>
          <w:color w:val="000000"/>
          <w:sz w:val="23"/>
        </w:rPr>
        <w:t xml:space="preserve">.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1155"/>
                <wp:effectExtent l="0" t="0" r="0" b="0"/>
                <wp:wrapNone/>
                <wp:docPr id="150" name="Frame122"/>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action or any related Standard of Conduct Determination, the burden of proving such a defense or that the Indemnitee did not satisfy the applicable standard of conduct shall be on the Company.</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(v) </w:t>
      </w:r>
      <w:r>
        <w:rPr>
          <w:rFonts w:ascii="Times New Roman;sans-serif" w:hAnsi="Times New Roman;sans-serif"/>
          <w:b w:val="false"/>
          <w:color w:val="000000"/>
          <w:sz w:val="23"/>
          <w:u w:val="single"/>
        </w:rPr>
        <w:t>Resolution of Claims</w:t>
      </w:r>
      <w:r>
        <w:rPr>
          <w:rFonts w:ascii="Times New Roman;sans-serif" w:hAnsi="Times New Roman;sans-serif"/>
          <w:b w:val="false"/>
          <w:color w:val="000000"/>
          <w:sz w:val="23"/>
        </w:rPr>
        <w:t>. The Company acknowledges that a settlement or other disposition short of final judgment may be successful on the merits or otherwise for purposes of Section 10(a)(i)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for purposes of Section 10(a)(i). The Company shall have the burden of proof to overcome this presumption.</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11. </w:t>
      </w:r>
      <w:r>
        <w:rPr>
          <w:rFonts w:ascii="Times New Roman;sans-serif" w:hAnsi="Times New Roman;sans-serif"/>
          <w:b w:val="false"/>
          <w:color w:val="000000"/>
          <w:sz w:val="23"/>
          <w:u w:val="single"/>
        </w:rPr>
        <w:t>Exclusions from Indemnification</w:t>
      </w:r>
      <w:r>
        <w:rPr>
          <w:rFonts w:ascii="Times New Roman;sans-serif" w:hAnsi="Times New Roman;sans-serif"/>
          <w:b w:val="false"/>
          <w:color w:val="000000"/>
          <w:sz w:val="23"/>
        </w:rPr>
        <w:t>. Notwithstanding anything in this Agreement to the contrary, the Company shall not be obligated to:</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indemnify or advance funds to Indemnitee for Expenses or Losses with respect to proceedings initiated by Indemnitee, including any proceedings against the Company or its directors, officers, employees or other indemnitees and not by way of defense, except:</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proceedings referenced in Section 5 above (unless a court of competent jurisdiction determines that each of the material assertions made by Indemnitee in such proceeding was not made in good faith or was frivolous); or</w:t>
      </w:r>
    </w:p>
    <w:p>
      <w:pPr>
        <w:pStyle w:val="TextBody"/>
        <w:spacing w:lineRule="auto" w:line="288"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where the Company has joined in or the Board has consented to the initiation of such proceedings.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indemnify Indemnitee if a final decision by a court of competent jurisdiction determines that such indemnification is prohibited by applicable law.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rPr>
        <w:t>indemnify Indemnitee for the disgorgement of profits arising from the purchase or sale by Indemnitee of securities of the Company in violation of Section 16(b) of the Exchange Act, or any similar successor statute, state law or other law.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3"/>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12. </w:t>
      </w:r>
      <w:r>
        <w:rPr>
          <w:rFonts w:ascii="Times New Roman;sans-serif" w:hAnsi="Times New Roman;sans-serif"/>
          <w:b w:val="false"/>
          <w:color w:val="000000"/>
          <w:sz w:val="23"/>
          <w:u w:val="single"/>
        </w:rPr>
        <w:t>Settlement of Claims</w:t>
      </w:r>
      <w:r>
        <w:rPr>
          <w:rFonts w:ascii="Times New Roman;sans-serif" w:hAnsi="Times New Roman;sans-serif"/>
          <w:b w:val="false"/>
          <w:color w:val="000000"/>
          <w:sz w:val="23"/>
        </w:rPr>
        <w:t xml:space="preserve">. The Company shall not be liable to Indemnitee under this 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 The Company shall not, without the prior written consent of Indemnitee, effect any settlement of any Claim relating to an Indemnifiable Event which the Indemnitee is or could have been a party unless such settlement solely involves the payment of money and includes a complete </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51" name="Frame123"/>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and unconditional release of the Indemnitee from all liability on all claims that are the subject matter of such Claim.</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13. </w:t>
      </w:r>
      <w:r>
        <w:rPr>
          <w:rFonts w:ascii="Times New Roman;sans-serif" w:hAnsi="Times New Roman;sans-serif"/>
          <w:b w:val="false"/>
          <w:color w:val="000000"/>
          <w:sz w:val="23"/>
          <w:u w:val="single"/>
        </w:rPr>
        <w:t>Duration</w:t>
      </w:r>
      <w:r>
        <w:rPr>
          <w:rFonts w:ascii="Times New Roman;sans-serif" w:hAnsi="Times New Roman;sans-serif"/>
          <w:b w:val="false"/>
          <w:color w:val="000000"/>
          <w:sz w:val="23"/>
        </w:rPr>
        <w:t>. All agreements and obligations of the Company contained herein shall continue during the period that Indemnitee is a director, officer, employee or agent of the 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14. </w:t>
      </w:r>
      <w:r>
        <w:rPr>
          <w:rFonts w:ascii="Times New Roman;sans-serif" w:hAnsi="Times New Roman;sans-serif"/>
          <w:b w:val="false"/>
          <w:color w:val="000000"/>
          <w:sz w:val="23"/>
          <w:u w:val="single"/>
        </w:rPr>
        <w:t>Non-Exclusivity</w:t>
      </w:r>
      <w:r>
        <w:rPr>
          <w:rFonts w:ascii="Times New Roman;sans-serif" w:hAnsi="Times New Roman;sans-serif"/>
          <w:b w:val="false"/>
          <w:color w:val="000000"/>
          <w:sz w:val="23"/>
        </w:rPr>
        <w:t>. The rights of Indemnitee hereunder will be in addition to any other rights Indemnitee may have under the Constituent Documents, the law of the State of Delaware, any other contract or otherwise (collectively, “</w:t>
      </w:r>
      <w:r>
        <w:rPr>
          <w:rFonts w:ascii="Times New Roman;sans-serif" w:hAnsi="Times New Roman;sans-serif"/>
          <w:b/>
          <w:color w:val="000000"/>
          <w:sz w:val="23"/>
        </w:rPr>
        <w:t>Other Indemnity Provisions</w:t>
      </w:r>
      <w:r>
        <w:rPr>
          <w:color w:val="000000"/>
        </w:rPr>
        <w:t>”</w:t>
      </w:r>
      <w:r>
        <w:rPr>
          <w:rFonts w:ascii="Times New Roman;sans-serif" w:hAnsi="Times New Roman;sans-serif"/>
          <w:b w:val="false"/>
          <w:color w:val="000000"/>
          <w:sz w:val="23"/>
        </w:rPr>
        <w:t>); provided, however,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assertion or employment of any right or remedy hereunder, or otherwise, shall not prevent the concurrent assertion or employment of any other right or remedy.</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15. </w:t>
      </w:r>
      <w:r>
        <w:rPr>
          <w:rFonts w:ascii="Times New Roman;sans-serif" w:hAnsi="Times New Roman;sans-serif"/>
          <w:b w:val="false"/>
          <w:color w:val="000000"/>
          <w:sz w:val="23"/>
          <w:u w:val="single"/>
        </w:rPr>
        <w:t>Liability Insurance</w:t>
      </w:r>
      <w:r>
        <w:rPr>
          <w:rFonts w:ascii="Times New Roman;sans-serif" w:hAnsi="Times New Roman;sans-serif"/>
          <w:b w:val="false"/>
          <w:color w:val="000000"/>
          <w:sz w:val="23"/>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16. </w:t>
      </w:r>
      <w:r>
        <w:rPr>
          <w:rFonts w:ascii="Times New Roman;sans-serif" w:hAnsi="Times New Roman;sans-serif"/>
          <w:b w:val="false"/>
          <w:color w:val="000000"/>
          <w:sz w:val="23"/>
          <w:u w:val="single"/>
        </w:rPr>
        <w:t>No Duplication of Payments</w:t>
      </w:r>
      <w:r>
        <w:rPr>
          <w:rFonts w:ascii="Times New Roman;sans-serif" w:hAnsi="Times New Roman;sans-serif"/>
          <w:b w:val="false"/>
          <w:color w:val="000000"/>
          <w:sz w:val="23"/>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(including from another Enterprise) indemnifiable by the Company hereunder; provided that the foregoing shall not affect the rights of Indemnitee or the Fund Indemnitors (as defined below) as set forth in Section 17.</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17. </w:t>
      </w:r>
      <w:r>
        <w:rPr>
          <w:rFonts w:ascii="Times New Roman;sans-serif" w:hAnsi="Times New Roman;sans-serif"/>
          <w:b w:val="false"/>
          <w:color w:val="000000"/>
          <w:sz w:val="23"/>
          <w:u w:val="single"/>
        </w:rPr>
        <w:t>Primacy of Indemnification</w:t>
      </w:r>
      <w:r>
        <w:rPr>
          <w:rFonts w:ascii="Times New Roman;sans-serif" w:hAnsi="Times New Roman;sans-serif"/>
          <w:b w:val="false"/>
          <w:color w:val="000000"/>
          <w:sz w:val="23"/>
        </w:rPr>
        <w:t xml:space="preserve">. The Company hereby acknowledges that Indemnitee has or may have in the future certain rights to indemnification, advancement of expenses and/or insurance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1155"/>
                <wp:effectExtent l="0" t="0" r="0" b="0"/>
                <wp:wrapNone/>
                <wp:docPr id="152" name="Frame124"/>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3"/>
        </w:rPr>
        <w:t>provided by Investment Group of Santa Barbara and certain of its affiliates (collectively, the “</w:t>
      </w:r>
      <w:r>
        <w:rPr>
          <w:rFonts w:ascii="Times New Roman;sans-serif" w:hAnsi="Times New Roman;sans-serif"/>
          <w:b/>
          <w:color w:val="000000"/>
          <w:sz w:val="23"/>
        </w:rPr>
        <w:t>Fund Indemnitors</w:t>
      </w:r>
      <w:r>
        <w:rPr>
          <w:color w:val="000000"/>
        </w:rPr>
        <w:t>”</w:t>
      </w:r>
      <w:r>
        <w:rPr>
          <w:rFonts w:ascii="Times New Roman;sans-serif" w:hAnsi="Times New Roman;sans-serif"/>
          <w:b w:val="false"/>
          <w:color w:val="000000"/>
          <w:sz w:val="23"/>
        </w:rPr>
        <w:t xml:space="preserve">).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 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 </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18. </w:t>
      </w:r>
      <w:r>
        <w:rPr>
          <w:rFonts w:ascii="Times New Roman;sans-serif" w:hAnsi="Times New Roman;sans-serif"/>
          <w:b w:val="false"/>
          <w:color w:val="000000"/>
          <w:sz w:val="23"/>
          <w:u w:val="single"/>
        </w:rPr>
        <w:t>Subrogation</w:t>
      </w:r>
      <w:r>
        <w:rPr>
          <w:rFonts w:ascii="Times New Roman;sans-serif" w:hAnsi="Times New Roman;sans-serif"/>
          <w:b w:val="false"/>
          <w:color w:val="000000"/>
          <w:sz w:val="23"/>
        </w:rPr>
        <w:t xml:space="preserve">.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 </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19. </w:t>
      </w:r>
      <w:r>
        <w:rPr>
          <w:rFonts w:ascii="Times New Roman;sans-serif" w:hAnsi="Times New Roman;sans-serif"/>
          <w:b w:val="false"/>
          <w:color w:val="000000"/>
          <w:sz w:val="23"/>
          <w:u w:val="single"/>
        </w:rPr>
        <w:t>Amendments; Waivers</w:t>
      </w:r>
      <w:r>
        <w:rPr>
          <w:rFonts w:ascii="Times New Roman;sans-serif" w:hAnsi="Times New Roman;sans-serif"/>
          <w:b w:val="false"/>
          <w:color w:val="000000"/>
          <w:sz w:val="23"/>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20. </w:t>
      </w:r>
      <w:r>
        <w:rPr>
          <w:rFonts w:ascii="Times New Roman;sans-serif" w:hAnsi="Times New Roman;sans-serif"/>
          <w:b w:val="false"/>
          <w:color w:val="000000"/>
          <w:sz w:val="23"/>
          <w:u w:val="single"/>
        </w:rPr>
        <w:t>Enforcement and Binding Effect</w:t>
      </w:r>
      <w:r>
        <w:rPr>
          <w:rFonts w:ascii="Times New Roman;sans-serif" w:hAnsi="Times New Roman;sans-serif"/>
          <w:b w:val="false"/>
          <w:color w:val="000000"/>
          <w:sz w:val="23"/>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rPr>
        <w:t xml:space="preserve">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53" name="Frame125"/>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21. </w:t>
      </w:r>
      <w:r>
        <w:rPr>
          <w:rFonts w:ascii="Times New Roman;sans-serif" w:hAnsi="Times New Roman;sans-serif"/>
          <w:b w:val="false"/>
          <w:color w:val="000000"/>
          <w:sz w:val="23"/>
          <w:u w:val="single"/>
        </w:rPr>
        <w:t>Severability</w:t>
      </w:r>
      <w:r>
        <w:rPr>
          <w:rFonts w:ascii="Times New Roman;sans-serif" w:hAnsi="Times New Roman;sans-serif"/>
          <w:b w:val="false"/>
          <w:color w:val="000000"/>
          <w:sz w:val="23"/>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22. </w:t>
      </w:r>
      <w:r>
        <w:rPr>
          <w:rFonts w:ascii="Times New Roman;sans-serif" w:hAnsi="Times New Roman;sans-serif"/>
          <w:b w:val="false"/>
          <w:color w:val="000000"/>
          <w:sz w:val="23"/>
          <w:u w:val="single"/>
        </w:rPr>
        <w:t>Notices</w:t>
      </w:r>
      <w:r>
        <w:rPr>
          <w:rFonts w:ascii="Times New Roman;sans-serif" w:hAnsi="Times New Roman;sans-serif"/>
          <w:b w:val="false"/>
          <w:color w:val="000000"/>
          <w:sz w:val="23"/>
        </w:rPr>
        <w:t>. All notices, requests, demands and other communications hereunder shall be in writing and shall be deemed to have been duly given if delivered by hand, against receipt, or mailed, by postage prepaid, certified or registered mail:</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if to Indemnitee, to the address set forth on the signature page hereto.</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if to the Company, to:</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AppFolio, Inc.</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Attn: Matt Mazza, General Counsel</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50 Castilian Drive</w:t>
      </w:r>
    </w:p>
    <w:p>
      <w:pPr>
        <w:pStyle w:val="TextBody"/>
        <w:spacing w:lineRule="auto" w:line="288" w:before="0" w:after="240"/>
        <w:rPr>
          <w:rFonts w:ascii="Times New Roman;sans-serif" w:hAnsi="Times New Roman;sans-serif"/>
          <w:b w:val="false"/>
          <w:color w:val="000000"/>
          <w:sz w:val="23"/>
        </w:rPr>
      </w:pPr>
      <w:r>
        <w:rPr>
          <w:rFonts w:ascii="Times New Roman;sans-serif" w:hAnsi="Times New Roman;sans-serif"/>
          <w:b w:val="false"/>
          <w:color w:val="000000"/>
          <w:sz w:val="23"/>
        </w:rPr>
        <w:t>Goleta, California 93117</w:t>
      </w:r>
    </w:p>
    <w:p>
      <w:pPr>
        <w:pStyle w:val="TextBody"/>
        <w:spacing w:lineRule="auto" w:line="288" w:before="0" w:after="240"/>
        <w:jc w:val="both"/>
        <w:rPr>
          <w:color w:val="000000"/>
        </w:rPr>
      </w:pPr>
      <w:r>
        <w:rPr>
          <w:color w:val="000000"/>
        </w:rPr>
        <w:t>    </w:t>
      </w:r>
      <w:r>
        <w:rPr>
          <w:rFonts w:ascii="Times New Roman;sans-serif" w:hAnsi="Times New Roman;sans-serif"/>
          <w:b w:val="false"/>
          <w:color w:val="000000"/>
          <w:sz w:val="23"/>
        </w:rPr>
        <w:t>Notice of change of address shall be effective only when given in accordance with this Section. All notices complying with this Section shall be deemed to have been received on the date of hand delivery or on the third business day after mailing.</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23. </w:t>
      </w:r>
      <w:r>
        <w:rPr>
          <w:rFonts w:ascii="Times New Roman;sans-serif" w:hAnsi="Times New Roman;sans-serif"/>
          <w:b w:val="false"/>
          <w:color w:val="000000"/>
          <w:sz w:val="23"/>
          <w:u w:val="single"/>
        </w:rPr>
        <w:t>Governing Law and Forum</w:t>
      </w:r>
      <w:r>
        <w:rPr>
          <w:rFonts w:ascii="Times New Roman;sans-serif" w:hAnsi="Times New Roman;sans-serif"/>
          <w:b w:val="false"/>
          <w:color w:val="000000"/>
          <w:sz w:val="23"/>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24. </w:t>
      </w:r>
      <w:r>
        <w:rPr>
          <w:rFonts w:ascii="Times New Roman;sans-serif" w:hAnsi="Times New Roman;sans-serif"/>
          <w:b w:val="false"/>
          <w:color w:val="000000"/>
          <w:sz w:val="23"/>
          <w:u w:val="single"/>
        </w:rPr>
        <w:t>Headings</w:t>
      </w:r>
      <w:r>
        <w:rPr>
          <w:rFonts w:ascii="Times New Roman;sans-serif" w:hAnsi="Times New Roman;sans-serif"/>
          <w:b w:val="false"/>
          <w:color w:val="000000"/>
          <w:sz w:val="23"/>
        </w:rPr>
        <w:t>. The headings of the sections and paragraphs of this Agreement are inserted for convenience only and shall not be deemed to constitute part of this Agreement or to affect the construction or interpretation thereof.</w:t>
      </w:r>
    </w:p>
    <w:p>
      <w:pPr>
        <w:pStyle w:val="TextBody"/>
        <w:spacing w:lineRule="auto" w:line="288" w:before="0" w:after="240"/>
        <w:ind w:left="0" w:right="0" w:firstLine="720"/>
        <w:jc w:val="both"/>
        <w:rPr/>
      </w:pPr>
      <w:r>
        <w:rPr>
          <w:rFonts w:ascii="Times New Roman;sans-serif" w:hAnsi="Times New Roman;sans-serif"/>
          <w:b w:val="false"/>
          <w:color w:val="000000"/>
          <w:sz w:val="23"/>
        </w:rPr>
        <w:t xml:space="preserve">25. </w:t>
      </w:r>
      <w:r>
        <w:rPr>
          <w:rFonts w:ascii="Times New Roman;sans-serif" w:hAnsi="Times New Roman;sans-serif"/>
          <w:b w:val="false"/>
          <w:color w:val="000000"/>
          <w:sz w:val="23"/>
          <w:u w:val="single"/>
        </w:rPr>
        <w:t>Counterparts</w:t>
      </w:r>
      <w:r>
        <w:rPr>
          <w:rFonts w:ascii="Times New Roman;sans-serif" w:hAnsi="Times New Roman;sans-serif"/>
          <w:b w:val="false"/>
          <w:color w:val="000000"/>
          <w:sz w:val="23"/>
        </w:rPr>
        <w:t>. This Agreement may be executed in one or more counterparts, each of which shall for all purposes be deemed to be an original, but all of which together shall constitute one and the same Agreement.</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54" name="Frame126"/>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val="false"/>
          <w:i/>
          <w:color w:val="000000"/>
          <w:sz w:val="23"/>
        </w:rPr>
      </w:pPr>
      <w:r>
        <w:rPr>
          <w:rFonts w:ascii="Times New Roman;sans-serif" w:hAnsi="Times New Roman;sans-serif"/>
          <w:b w:val="false"/>
          <w:i/>
          <w:color w:val="000000"/>
          <w:sz w:val="23"/>
        </w:rPr>
        <w:t>[Remainder of Page Intentionally Left Blank; Signature Page Follows]</w:t>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before="0" w:after="120"/>
        <w:rPr/>
      </w:pPr>
      <w:r>
        <w:rPr/>
      </w:r>
    </w:p>
    <w:p>
      <w:pPr>
        <w:pStyle w:val="TextBody"/>
        <w:spacing w:lineRule="auto" w:line="288" w:before="0" w:after="240"/>
        <w:ind w:left="0" w:right="0" w:firstLine="720"/>
        <w:jc w:val="both"/>
        <w:rPr>
          <w:color w:val="000000"/>
        </w:rPr>
      </w:pP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55" name="Frame127"/>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rPr/>
                      </w:pPr>
                      <w:r>
                        <w:rPr/>
                      </w:r>
                    </w:p>
                  </w:txbxContent>
                </v:textbox>
              </v:rect>
            </w:pict>
          </mc:Fallback>
        </mc:AlternateContent>
      </w:r>
    </w:p>
    <w:p>
      <w:pPr>
        <w:pStyle w:val="TextBody"/>
        <w:spacing w:lineRule="auto" w:line="288" w:before="0" w:after="12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IN WITNESS WHEREOF, the parties hereto have executed this Agreement as of the date first above written.</w:t>
      </w:r>
    </w:p>
    <w:p>
      <w:pPr>
        <w:pStyle w:val="TextBody"/>
        <w:spacing w:before="0" w:after="120"/>
        <w:ind w:left="0" w:right="0" w:firstLine="720"/>
        <w:rPr/>
      </w:pPr>
      <w:r>
        <w:rPr/>
      </w:r>
    </w:p>
    <w:p>
      <w:pPr>
        <w:pStyle w:val="TextBody"/>
        <w:spacing w:lineRule="auto" w:line="288" w:before="0" w:after="240"/>
        <w:rPr>
          <w:rFonts w:ascii="Times New Roman;sans-serif" w:hAnsi="Times New Roman;sans-serif"/>
          <w:b/>
          <w:color w:val="000000"/>
          <w:sz w:val="23"/>
        </w:rPr>
      </w:pPr>
      <w:r>
        <w:rPr>
          <w:rFonts w:ascii="Times New Roman;sans-serif" w:hAnsi="Times New Roman;sans-serif"/>
          <w:b/>
          <w:color w:val="000000"/>
          <w:sz w:val="23"/>
        </w:rPr>
        <w:t>COMPANY:</w:t>
      </w:r>
    </w:p>
    <w:p>
      <w:pPr>
        <w:pStyle w:val="TextBody"/>
        <w:spacing w:lineRule="auto" w:line="288" w:before="0" w:after="480"/>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88" w:before="0" w:after="240"/>
        <w:rPr/>
      </w:pPr>
      <w:r>
        <w:rPr>
          <w:rFonts w:ascii="Times New Roman;sans-serif" w:hAnsi="Times New Roman;sans-serif"/>
          <w:b w:val="false"/>
          <w:color w:val="000000"/>
          <w:sz w:val="23"/>
        </w:rPr>
        <w:t xml:space="preserve">By: </w:t>
      </w:r>
      <w:r>
        <w:rPr>
          <w:color w:val="000000"/>
          <w:u w:val="single"/>
        </w:rPr>
        <w:t>    </w:t>
      </w:r>
    </w:p>
    <w:p>
      <w:pPr>
        <w:pStyle w:val="TextBody"/>
        <w:spacing w:lineRule="auto" w:line="288" w:before="0" w:after="240"/>
        <w:rPr/>
      </w:pPr>
      <w:r>
        <w:rPr>
          <w:rFonts w:ascii="Times New Roman;sans-serif" w:hAnsi="Times New Roman;sans-serif"/>
          <w:b w:val="false"/>
          <w:color w:val="000000"/>
          <w:sz w:val="23"/>
        </w:rPr>
        <w:t xml:space="preserve">Name: </w:t>
      </w:r>
      <w:r>
        <w:rPr>
          <w:color w:val="000000"/>
          <w:u w:val="single"/>
        </w:rPr>
        <w:t>    </w:t>
      </w:r>
    </w:p>
    <w:p>
      <w:pPr>
        <w:pStyle w:val="TextBody"/>
        <w:spacing w:lineRule="auto" w:line="288" w:before="0" w:after="480"/>
        <w:rPr/>
      </w:pPr>
      <w:r>
        <w:rPr>
          <w:rFonts w:ascii="Times New Roman;sans-serif" w:hAnsi="Times New Roman;sans-serif"/>
          <w:b w:val="false"/>
          <w:color w:val="000000"/>
          <w:sz w:val="23"/>
        </w:rPr>
        <w:t xml:space="preserve">Its: </w:t>
      </w:r>
      <w:r>
        <w:rPr>
          <w:color w:val="000000"/>
          <w:u w:val="single"/>
        </w:rPr>
        <w:t>    </w:t>
      </w:r>
    </w:p>
    <w:p>
      <w:pPr>
        <w:pStyle w:val="TextBody"/>
        <w:spacing w:lineRule="auto" w:line="288" w:before="0" w:after="240"/>
        <w:rPr>
          <w:rFonts w:ascii="Times New Roman;sans-serif" w:hAnsi="Times New Roman;sans-serif"/>
          <w:b/>
          <w:color w:val="000000"/>
          <w:sz w:val="23"/>
        </w:rPr>
      </w:pPr>
      <w:r>
        <w:rPr>
          <w:rFonts w:ascii="Times New Roman;sans-serif" w:hAnsi="Times New Roman;sans-serif"/>
          <w:b/>
          <w:color w:val="000000"/>
          <w:sz w:val="23"/>
        </w:rPr>
        <w:t>INDEMNITEE:</w:t>
      </w:r>
    </w:p>
    <w:p>
      <w:pPr>
        <w:pStyle w:val="TextBody"/>
        <w:spacing w:before="0" w:after="0"/>
        <w:rPr/>
      </w:pPr>
      <w:r>
        <w:rPr/>
      </w:r>
    </w:p>
    <w:p>
      <w:pPr>
        <w:pStyle w:val="TextBody"/>
        <w:spacing w:before="0" w:after="0"/>
        <w:rPr/>
      </w:pPr>
      <w:r>
        <w:rPr/>
      </w:r>
    </w:p>
    <w:p>
      <w:pPr>
        <w:pStyle w:val="TextBody"/>
        <w:spacing w:lineRule="auto" w:line="288" w:before="0" w:after="480"/>
        <w:rPr>
          <w:color w:val="000000"/>
          <w:u w:val="single"/>
        </w:rPr>
      </w:pPr>
      <w:r>
        <w:rPr>
          <w:color w:val="000000"/>
          <w:u w:val="single"/>
        </w:rPr>
        <w:t>    </w:t>
      </w:r>
    </w:p>
    <w:p>
      <w:pPr>
        <w:pStyle w:val="TextBody"/>
        <w:spacing w:lineRule="auto" w:line="288" w:before="0" w:after="0"/>
        <w:rPr>
          <w:color w:val="000000"/>
          <w:u w:val="single"/>
        </w:rPr>
      </w:pPr>
      <w:r>
        <w:rPr>
          <w:color w:val="000000"/>
          <w:u w:val="single"/>
        </w:rPr>
        <w:t>    </w:t>
      </w:r>
    </w:p>
    <w:p>
      <w:pPr>
        <w:pStyle w:val="TextBody"/>
        <w:spacing w:lineRule="auto" w:line="288" w:before="0" w:after="240"/>
        <w:jc w:val="center"/>
        <w:rPr>
          <w:rFonts w:ascii="Times New Roman;sans-serif" w:hAnsi="Times New Roman;sans-serif"/>
          <w:b w:val="false"/>
          <w:color w:val="000000"/>
          <w:sz w:val="23"/>
        </w:rPr>
      </w:pPr>
      <w:r>
        <w:rPr>
          <w:rFonts w:ascii="Times New Roman;sans-serif" w:hAnsi="Times New Roman;sans-serif"/>
          <w:b w:val="false"/>
          <w:color w:val="000000"/>
          <w:sz w:val="23"/>
        </w:rPr>
        <w:t>(Print Name)</w:t>
      </w:r>
    </w:p>
    <w:p>
      <w:pPr>
        <w:pStyle w:val="TextBody"/>
        <w:spacing w:lineRule="auto" w:line="288" w:before="0" w:after="0"/>
        <w:rPr>
          <w:rFonts w:ascii="Times New Roman;sans-serif" w:hAnsi="Times New Roman;sans-serif"/>
          <w:b/>
          <w:i/>
          <w:color w:val="000000"/>
          <w:sz w:val="23"/>
        </w:rPr>
      </w:pPr>
      <w:r>
        <w:rPr>
          <w:rFonts w:ascii="Times New Roman;sans-serif" w:hAnsi="Times New Roman;sans-serif"/>
          <w:b/>
          <w:i/>
          <w:color w:val="000000"/>
          <w:sz w:val="23"/>
        </w:rPr>
        <w:t>Address:    50 Castilian Drive</w:t>
      </w:r>
    </w:p>
    <w:p>
      <w:pPr>
        <w:pStyle w:val="TextBody"/>
        <w:spacing w:lineRule="auto" w:line="288" w:before="0" w:after="0"/>
        <w:rPr>
          <w:color w:val="000000"/>
        </w:rPr>
      </w:pPr>
      <w:r>
        <w:rPr>
          <w:color w:val="000000"/>
        </w:rPr>
        <w:t>    </w:t>
      </w:r>
      <w:r>
        <w:rPr>
          <w:rFonts w:ascii="Times New Roman;sans-serif" w:hAnsi="Times New Roman;sans-serif"/>
          <w:b/>
          <w:i/>
          <w:color w:val="000000"/>
          <w:sz w:val="23"/>
        </w:rPr>
        <w:t>Goleta, CA 93117</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10.16</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6415"/>
                <wp:effectExtent l="0" t="0" r="0" b="0"/>
                <wp:wrapNone/>
                <wp:docPr id="156" name="Frame1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Indemnification Agreement]</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Indemnification Agreement]</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00"/>
        <w:jc w:val="center"/>
        <w:rPr>
          <w:rFonts w:ascii="Times New Roman;sans-serif" w:hAnsi="Times New Roman;sans-serif"/>
          <w:b/>
          <w:color w:val="000000"/>
          <w:sz w:val="23"/>
        </w:rPr>
      </w:pPr>
      <w:r>
        <w:rPr>
          <w:rFonts w:ascii="Times New Roman;sans-serif" w:hAnsi="Times New Roman;sans-serif"/>
          <w:b/>
          <w:color w:val="000000"/>
          <w:sz w:val="23"/>
        </w:rPr>
        <w:t>NOTICE OF RESTRICTED STOCK UNIT AWARD</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Unless otherwise defined herein, the terms defined in the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2015 Stock Incentive Plan (the “</w:t>
      </w:r>
      <w:r>
        <w:rPr>
          <w:rFonts w:ascii="Times New Roman;sans-serif" w:hAnsi="Times New Roman;sans-serif"/>
          <w:b/>
          <w:i/>
          <w:color w:val="000000"/>
          <w:sz w:val="23"/>
        </w:rPr>
        <w:t>Plan</w:t>
      </w:r>
      <w:r>
        <w:rPr>
          <w:color w:val="000000"/>
        </w:rPr>
        <w:t>”</w:t>
      </w:r>
      <w:r>
        <w:rPr>
          <w:rFonts w:ascii="Times New Roman;sans-serif" w:hAnsi="Times New Roman;sans-serif"/>
          <w:b w:val="false"/>
          <w:color w:val="000000"/>
          <w:sz w:val="23"/>
        </w:rPr>
        <w:t>) shall have the same meanings in this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the attached Restricted Stock Unit Agreement (the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 You have been granted an award of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under the Plan subject to the terms and conditions of the Plan, this Notice and the attached RSU Agreement.</w:t>
      </w:r>
    </w:p>
    <w:tbl>
      <w:tblPr>
        <w:tblW w:w="10205" w:type="dxa"/>
        <w:jc w:val="left"/>
        <w:tblInd w:w="0" w:type="dxa"/>
        <w:tblCellMar>
          <w:top w:w="28" w:type="dxa"/>
          <w:left w:w="28" w:type="dxa"/>
          <w:bottom w:w="28" w:type="dxa"/>
          <w:right w:w="28" w:type="dxa"/>
        </w:tblCellMar>
      </w:tblPr>
      <w:tblGrid>
        <w:gridCol w:w="868"/>
        <w:gridCol w:w="764"/>
        <w:gridCol w:w="690"/>
        <w:gridCol w:w="2336"/>
        <w:gridCol w:w="2296"/>
        <w:gridCol w:w="3251"/>
      </w:tblGrid>
      <w:tr>
        <w:trPr/>
        <w:tc>
          <w:tcPr>
            <w:tcW w:w="86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Name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Date of Grant</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Grant Number:</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Number of RSUs</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Vesting Commencement Date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Vesting shall commence on [•]</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color w:val="000000"/>
                <w:sz w:val="23"/>
              </w:rPr>
              <w:t>Expiration Date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The date on which settlement of all RSUs granted hereunder occurs. This RSU expires earlier if your Service terminates earlier, as described in the RSU Agreement.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Vesting Schedule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w:t>
            </w:r>
          </w:p>
        </w:tc>
      </w:tr>
    </w:tbl>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You acknowledge that the vesting of the RSUs pursuant to this Notice is earned only by continuing Service. By accepting this award, you and the Company agree that this award is granted under and governed by the terms and conditions of the Plan, the Notice and the RSU Agreement.  As described in your RSU Agreement, you hereby authorize the Company and/or the Employer to, and the Company and/or the Employer shall, satisfy all withholding and payment obligations of the Company and/or the Employer by withholding Shares that otherwise would be issued to you when your RSUs are settled.  You acknowledge and agree that the Vesting Schedule may change prospectively in the event that your Service status changes between full and part-time status in accordance with Company policies relating to work schedules and vesting of awards.  You further acknowledge that the grant of this RSU by the Company is at the Company’s sole discretion, and does not entitle you to further grant(s) of RSU(s) or any other award(s) under the Plan or any other plan or program maintained by the Company or any Parent, Subsidiary or Affiliate of the Company.  By accepting this RSU, you consent to electronic delivery as set forth in the RSU Agreement.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3"/>
        </w:rPr>
      </w:pPr>
      <w:r>
        <w:rPr>
          <w:rFonts w:ascii="Times New Roman;sans-serif" w:hAnsi="Times New Roman;sans-serif"/>
          <w:b w:val="false"/>
          <w:color w:val="000000"/>
          <w:sz w:val="23"/>
        </w:rPr>
        <w:t>AppFolio, Inc.</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RESTRICTED STOCK UNIT AGREEMENT</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You have been granted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by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subject to the terms, restrictions and conditions of the Plan, the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this Restricted Stock Unit Agreement (this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w:t>
      </w:r>
    </w:p>
    <w:p>
      <w:pPr>
        <w:pStyle w:val="TextBody"/>
        <w:spacing w:lineRule="auto" w:line="240" w:before="0" w:after="240"/>
        <w:jc w:val="both"/>
        <w:rPr/>
      </w:pPr>
      <w:r>
        <w:rPr>
          <w:rFonts w:ascii="Times;sans-serif" w:hAnsi="Times;sans-serif"/>
          <w:b/>
          <w:color w:val="000000"/>
          <w:sz w:val="23"/>
        </w:rPr>
        <w:t>1.</w:t>
      </w:r>
      <w:r>
        <w:rPr>
          <w:rFonts w:ascii="Times New Roman;sans-serif" w:hAnsi="Times New Roman;sans-serif"/>
          <w:b/>
          <w:color w:val="000000"/>
          <w:sz w:val="23"/>
          <w:u w:val="single"/>
        </w:rPr>
        <w:t>Settlement</w:t>
      </w:r>
      <w:r>
        <w:rPr>
          <w:rFonts w:ascii="Times New Roman;sans-serif" w:hAnsi="Times New Roman;sans-serif"/>
          <w:b w:val="false"/>
          <w:color w:val="000000"/>
          <w:sz w:val="23"/>
        </w:rPr>
        <w:t>. Settlement of RSUs shall be made in the same calendar year as the applicable date of vesting under the vesting schedule set forth in the Notice; provided, however, that if the vesting date under the vesting schedule set forth in the Notice is in December, then settlement of any RSUs that vest in December shall be within 30 days of vesting. Settlement of RSUs shall be in Shares. Settlement means the delivery of the Shares vested under an RSU. No fractional RSUs or rights for fractional Shares shall be created pursuant to this RSU Agreement.</w:t>
      </w:r>
    </w:p>
    <w:p>
      <w:pPr>
        <w:pStyle w:val="TextBody"/>
        <w:spacing w:lineRule="auto" w:line="240" w:before="0" w:after="240"/>
        <w:jc w:val="both"/>
        <w:rPr/>
      </w:pPr>
      <w:r>
        <w:rPr>
          <w:rFonts w:ascii="Times;sans-serif" w:hAnsi="Times;sans-serif"/>
          <w:b/>
          <w:color w:val="000000"/>
          <w:sz w:val="23"/>
        </w:rPr>
        <w:t>2.</w:t>
      </w:r>
      <w:r>
        <w:rPr>
          <w:rFonts w:ascii="Times New Roman;sans-serif" w:hAnsi="Times New Roman;sans-serif"/>
          <w:b/>
          <w:color w:val="000000"/>
          <w:sz w:val="23"/>
          <w:u w:val="single"/>
        </w:rPr>
        <w:t>No Stockholder Rights</w:t>
      </w:r>
      <w:r>
        <w:rPr>
          <w:rFonts w:ascii="Times New Roman;sans-serif" w:hAnsi="Times New Roman;sans-serif"/>
          <w:b w:val="false"/>
          <w:color w:val="000000"/>
          <w:sz w:val="23"/>
        </w:rPr>
        <w:t>. Unless and until such time as Shares are issued in settlement of vested RSUs, you shall have no ownership of the Shares allocated to the RSUs and shall have no right to dividends or to vote such Shares.</w:t>
      </w:r>
    </w:p>
    <w:p>
      <w:pPr>
        <w:pStyle w:val="TextBody"/>
        <w:spacing w:lineRule="auto" w:line="240" w:before="0" w:after="240"/>
        <w:jc w:val="both"/>
        <w:rPr/>
      </w:pPr>
      <w:r>
        <w:rPr>
          <w:rFonts w:ascii="Times;sans-serif" w:hAnsi="Times;sans-serif"/>
          <w:b/>
          <w:color w:val="000000"/>
          <w:sz w:val="23"/>
        </w:rPr>
        <w:t>3.</w:t>
      </w:r>
      <w:r>
        <w:rPr>
          <w:rFonts w:ascii="Times New Roman;sans-serif" w:hAnsi="Times New Roman;sans-serif"/>
          <w:b/>
          <w:color w:val="000000"/>
          <w:sz w:val="23"/>
          <w:u w:val="single"/>
        </w:rPr>
        <w:t>Dividend Equivalents</w:t>
      </w:r>
      <w:r>
        <w:rPr>
          <w:rFonts w:ascii="Times New Roman;sans-serif" w:hAnsi="Times New Roman;sans-serif"/>
          <w:b w:val="false"/>
          <w:color w:val="000000"/>
          <w:sz w:val="23"/>
        </w:rPr>
        <w:t>. Dividends, if any (whether in cash or Shares), shall not be credited to you.</w:t>
      </w:r>
    </w:p>
    <w:p>
      <w:pPr>
        <w:pStyle w:val="TextBody"/>
        <w:spacing w:lineRule="auto" w:line="240" w:before="0" w:after="240"/>
        <w:jc w:val="both"/>
        <w:rPr/>
      </w:pPr>
      <w:r>
        <w:rPr>
          <w:rFonts w:ascii="Times;sans-serif" w:hAnsi="Times;sans-serif"/>
          <w:b/>
          <w:color w:val="000000"/>
          <w:sz w:val="23"/>
        </w:rPr>
        <w:t>4.</w:t>
      </w:r>
      <w:r>
        <w:rPr>
          <w:rFonts w:ascii="Times New Roman;sans-serif" w:hAnsi="Times New Roman;sans-serif"/>
          <w:b/>
          <w:color w:val="000000"/>
          <w:sz w:val="23"/>
          <w:u w:val="single"/>
        </w:rPr>
        <w:t>No Transfer</w:t>
      </w:r>
      <w:r>
        <w:rPr>
          <w:rFonts w:ascii="Times New Roman;sans-serif" w:hAnsi="Times New Roman;sans-serif"/>
          <w:b w:val="false"/>
          <w:color w:val="000000"/>
          <w:sz w:val="23"/>
        </w:rPr>
        <w:t>. RSUs may not be sold, assigned, transferred, pledged, hypothecated, or otherwise disposed of in any manner other than by will or by the laws of descent or distribution or court order or unless otherwise permitted by the Committee on a case-by-case basis.</w:t>
      </w:r>
    </w:p>
    <w:p>
      <w:pPr>
        <w:pStyle w:val="TextBody"/>
        <w:spacing w:lineRule="auto" w:line="240" w:before="0" w:after="240"/>
        <w:jc w:val="both"/>
        <w:rPr/>
      </w:pPr>
      <w:r>
        <w:rPr>
          <w:rFonts w:ascii="Times;sans-serif" w:hAnsi="Times;sans-serif"/>
          <w:b/>
          <w:color w:val="000000"/>
          <w:sz w:val="23"/>
        </w:rPr>
        <w:t>5.</w:t>
      </w:r>
      <w:r>
        <w:rPr>
          <w:rFonts w:ascii="Times New Roman;sans-serif" w:hAnsi="Times New Roman;sans-serif"/>
          <w:b/>
          <w:color w:val="000000"/>
          <w:sz w:val="23"/>
          <w:u w:val="single"/>
        </w:rPr>
        <w:t>Termination</w:t>
      </w:r>
      <w:r>
        <w:rPr>
          <w:rFonts w:ascii="Times New Roman;sans-serif" w:hAnsi="Times New Roman;sans-serif"/>
          <w:b w:val="false"/>
          <w:color w:val="000000"/>
          <w:sz w:val="23"/>
        </w:rPr>
        <w:t>. If your Service terminates for any reason, all unvested RSUs shall be automatically forfeited to the Company, and all rights you have to such RSUs shall immediately terminate. In case of any dispute as to whether your termination of Service has occurred, the Committee shall have sole discretion to determine whether such termination has occurred and the effective date of such termination.</w:t>
      </w:r>
    </w:p>
    <w:p>
      <w:pPr>
        <w:pStyle w:val="TextBody"/>
        <w:spacing w:lineRule="auto" w:line="240" w:before="0" w:after="240"/>
        <w:jc w:val="both"/>
        <w:rPr/>
      </w:pPr>
      <w:r>
        <w:rPr>
          <w:rFonts w:ascii="Times;sans-serif" w:hAnsi="Times;sans-serif"/>
          <w:b/>
          <w:color w:val="000000"/>
          <w:sz w:val="23"/>
        </w:rPr>
        <w:t>6.</w:t>
      </w:r>
      <w:r>
        <w:rPr>
          <w:rFonts w:ascii="Times New Roman;sans-serif" w:hAnsi="Times New Roman;sans-serif"/>
          <w:b/>
          <w:color w:val="000000"/>
          <w:sz w:val="23"/>
          <w:u w:val="single"/>
        </w:rPr>
        <w:t>Construction</w:t>
      </w:r>
      <w:r>
        <w:rPr>
          <w:rFonts w:ascii="Times New Roman;sans-serif" w:hAnsi="Times New Roman;sans-serif"/>
          <w:b w:val="false"/>
          <w:color w:val="000000"/>
          <w:sz w:val="23"/>
        </w:rPr>
        <w:t>. This RSU Agreement is the result of negotiations between and has been reviewed by each of the parties hereto and their respective counsel, if any; accordingly, this RSU Agreement shall be deemed to be the product of all of the parties hereto, and no ambiguity shall be construed in favor of or against any one of the parties hereto.</w:t>
      </w:r>
    </w:p>
    <w:p>
      <w:pPr>
        <w:pStyle w:val="TextBody"/>
        <w:spacing w:lineRule="auto" w:line="240" w:before="0" w:after="240"/>
        <w:jc w:val="both"/>
        <w:rPr/>
      </w:pPr>
      <w:r>
        <w:rPr>
          <w:rFonts w:ascii="Times;sans-serif" w:hAnsi="Times;sans-serif"/>
          <w:b/>
          <w:color w:val="000000"/>
          <w:sz w:val="23"/>
        </w:rPr>
        <w:t>7.</w:t>
      </w:r>
      <w:r>
        <w:rPr>
          <w:rFonts w:ascii="Times New Roman;sans-serif" w:hAnsi="Times New Roman;sans-serif"/>
          <w:b/>
          <w:color w:val="000000"/>
          <w:sz w:val="23"/>
          <w:u w:val="single"/>
        </w:rPr>
        <w:t>Notices</w:t>
      </w:r>
      <w:r>
        <w:rPr>
          <w:rFonts w:ascii="Times New Roman;sans-serif" w:hAnsi="Times New Roman;sans-serif"/>
          <w:b w:val="false"/>
          <w:color w:val="000000"/>
          <w:sz w:val="23"/>
        </w:rPr>
        <w:t>. Any notice to be given under the terms of the Plan shall be addressed to the Company in care of its principal office, and any notice to be given to you shall be addressed to you at the address maintained by the Company for such person or at such other address as you may specify in writing to the Company.</w:t>
      </w:r>
    </w:p>
    <w:p>
      <w:pPr>
        <w:pStyle w:val="TextBody"/>
        <w:spacing w:lineRule="auto" w:line="240" w:before="0" w:after="240"/>
        <w:jc w:val="both"/>
        <w:rPr/>
      </w:pPr>
      <w:r>
        <w:rPr>
          <w:rFonts w:ascii="Times;sans-serif" w:hAnsi="Times;sans-serif"/>
          <w:b/>
          <w:color w:val="000000"/>
          <w:sz w:val="23"/>
        </w:rPr>
        <w:t>8.</w:t>
      </w:r>
      <w:r>
        <w:rPr>
          <w:rFonts w:ascii="Times New Roman;sans-serif" w:hAnsi="Times New Roman;sans-serif"/>
          <w:b/>
          <w:color w:val="000000"/>
          <w:sz w:val="23"/>
          <w:u w:val="single"/>
        </w:rPr>
        <w:t>Counterparts</w:t>
      </w:r>
      <w:r>
        <w:rPr>
          <w:rFonts w:ascii="Times New Roman;sans-serif" w:hAnsi="Times New Roman;sans-serif"/>
          <w:b w:val="false"/>
          <w:color w:val="000000"/>
          <w:sz w:val="23"/>
        </w:rPr>
        <w:t>. This RSU Agreement may be executed in two or more counterparts, each of which shall he deemed an original and all of which together shall constitute one instrument.</w:t>
      </w:r>
    </w:p>
    <w:p>
      <w:pPr>
        <w:pStyle w:val="TextBody"/>
        <w:spacing w:lineRule="auto" w:line="240" w:before="0" w:after="240"/>
        <w:jc w:val="both"/>
        <w:rPr/>
      </w:pPr>
      <w:r>
        <w:rPr>
          <w:rFonts w:ascii="Times;sans-serif" w:hAnsi="Times;sans-serif"/>
          <w:b/>
          <w:color w:val="000000"/>
          <w:sz w:val="23"/>
        </w:rPr>
        <w:t>9.</w:t>
      </w:r>
      <w:r>
        <w:rPr>
          <w:rFonts w:ascii="Times New Roman;sans-serif" w:hAnsi="Times New Roman;sans-serif"/>
          <w:b/>
          <w:color w:val="000000"/>
          <w:sz w:val="23"/>
          <w:u w:val="single"/>
        </w:rPr>
        <w:t>Tax Consequences</w:t>
      </w:r>
      <w:r>
        <w:rPr>
          <w:rFonts w:ascii="Times New Roman;sans-serif" w:hAnsi="Times New Roman;sans-serif"/>
          <w:b w:val="false"/>
          <w:color w:val="000000"/>
          <w:sz w:val="23"/>
        </w:rPr>
        <w:t>. You acknowledge that you will recognize tax consequences in connection with the RSUs. You should consult a tax adviser regarding your tax obligations in the jurisdiction where you are subject to tax.</w:t>
      </w:r>
    </w:p>
    <w:p>
      <w:pPr>
        <w:pStyle w:val="TextBody"/>
        <w:spacing w:lineRule="auto" w:line="240" w:before="0" w:after="240"/>
        <w:jc w:val="both"/>
        <w:rPr/>
      </w:pPr>
      <w:r>
        <w:rPr>
          <w:rFonts w:ascii="Times;sans-serif" w:hAnsi="Times;sans-serif"/>
          <w:b/>
          <w:color w:val="000000"/>
          <w:sz w:val="23"/>
        </w:rPr>
        <w:t>10.</w:t>
      </w:r>
      <w:r>
        <w:rPr>
          <w:rFonts w:ascii="Times New Roman;sans-serif" w:hAnsi="Times New Roman;sans-serif"/>
          <w:b/>
          <w:color w:val="000000"/>
          <w:sz w:val="23"/>
          <w:u w:val="single"/>
        </w:rPr>
        <w:t>Withholding Taxes and Stock Withholding</w:t>
      </w:r>
      <w:r>
        <w:rPr>
          <w:rFonts w:ascii="Times New Roman;sans-serif" w:hAnsi="Times New Roman;sans-serif"/>
          <w:b w:val="false"/>
          <w:color w:val="000000"/>
          <w:sz w:val="23"/>
        </w:rPr>
        <w:t>. Regardless of any action the Company or your actual employer (the “</w:t>
      </w:r>
      <w:r>
        <w:rPr>
          <w:rFonts w:ascii="Times New Roman;sans-serif" w:hAnsi="Times New Roman;sans-serif"/>
          <w:b/>
          <w:i/>
          <w:color w:val="000000"/>
          <w:sz w:val="23"/>
        </w:rPr>
        <w:t>Employer</w:t>
      </w:r>
      <w:r>
        <w:rPr>
          <w:color w:val="000000"/>
        </w:rPr>
        <w:t>”</w:t>
      </w:r>
      <w:r>
        <w:rPr>
          <w:rFonts w:ascii="Times New Roman;sans-serif" w:hAnsi="Times New Roman;sans-serif"/>
          <w:b w:val="false"/>
          <w:color w:val="000000"/>
          <w:sz w:val="23"/>
        </w:rPr>
        <w:t>) takes with respect to any or all income tax, social insurance, payroll tax, payment on account or other tax-related withholding (“</w:t>
      </w:r>
      <w:r>
        <w:rPr>
          <w:rFonts w:ascii="Times New Roman;sans-serif" w:hAnsi="Times New Roman;sans-serif"/>
          <w:b/>
          <w:i/>
          <w:color w:val="000000"/>
          <w:sz w:val="23"/>
        </w:rPr>
        <w:t>Tax-Related Items</w:t>
      </w:r>
      <w:r>
        <w:rPr>
          <w:color w:val="000000"/>
        </w:rPr>
        <w:t>”</w:t>
      </w:r>
      <w:r>
        <w:rPr>
          <w:rFonts w:ascii="Times New Roman;sans-serif" w:hAnsi="Times New Roman;sans-serif"/>
          <w:b w:val="false"/>
          <w:color w:val="000000"/>
          <w:sz w:val="23"/>
        </w:rPr>
        <w:t xml:space="preserve">), you acknowledge that the ultimate liability for all Tax-Related Items legally due by you is and remains your responsibility and that the Company and/or the Employer (a) make no representations or undertakings regarding the treatment of any Tax-Related Items in connection with any aspect of the award, including the grant, vesting or settlement of the RSUs, the subsequent sale of Shares acquired pursuant to such settlement and the receipt of any dividends, and (b) do not commit to structure the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8275"/>
                <wp:effectExtent l="0" t="0" r="0" b="0"/>
                <wp:wrapNone/>
                <wp:docPr id="158" name="Frame130"/>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terms of the award or any aspect of the RSUs to reduce or eliminate your liability for Tax-Related Items. You acknowledge that if you are subject to Tax-Related Items in more than one jurisdiction, the Company and/or the Employer may be required to withhold or account for Tax-Related Items in more than one jurisdiction.</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You hereby authorize the Company and/or the Employer to, and the Company and/or the Employer shall, satisfy all withholding and payment obligations of the Company and/or the Employer by withholding Shares that otherwise would be issued to you when your RSUs are settled. The Fair Market Value of the withheld Shares will be determined as of the effective date when taxes otherwise would have been withheld in cash. In the event the withholding amount is not satisfied in full by an even number of Shares, the number of withheld Shares will be rounded up to the nearest whole number of Share, and the excess withholding amount will be applied to your federal income tax withholdings. You shall pay to the Company or the Employer any amount of Tax-Related Items that the Company or the Employer may be required to withhold as a result of your participation in the Plan or your purchase of Shares that cannot be satisfied by the means previously described. Finally, you acknowledge that the Company has no obligation to deliver Shares to you until the withholding and payment obligations have been satisfied in connection with the Tax-Related Items as described in this Section.</w:t>
      </w:r>
    </w:p>
    <w:p>
      <w:pPr>
        <w:pStyle w:val="TextBody"/>
        <w:spacing w:lineRule="auto" w:line="240" w:before="0" w:after="240"/>
        <w:jc w:val="both"/>
        <w:rPr/>
      </w:pPr>
      <w:r>
        <w:rPr>
          <w:rFonts w:ascii="Times;sans-serif" w:hAnsi="Times;sans-serif"/>
          <w:b/>
          <w:color w:val="000000"/>
          <w:sz w:val="23"/>
        </w:rPr>
        <w:t>11.</w:t>
      </w:r>
      <w:r>
        <w:rPr>
          <w:rFonts w:ascii="Times New Roman;sans-serif" w:hAnsi="Times New Roman;sans-serif"/>
          <w:b/>
          <w:color w:val="000000"/>
          <w:sz w:val="23"/>
          <w:u w:val="single"/>
        </w:rPr>
        <w:t>Acknowledgement</w:t>
      </w:r>
      <w:r>
        <w:rPr>
          <w:rFonts w:ascii="Times New Roman;sans-serif" w:hAnsi="Times New Roman;sans-serif"/>
          <w:b w:val="false"/>
          <w:color w:val="000000"/>
          <w:sz w:val="23"/>
        </w:rPr>
        <w:t>. The Company and you agree that the RSUs are granted under and governed by the Notice, this RSU Agreement and the provisions of the Plan (incorporated herein by reference). You: (a) acknowledge receipt of a copy of the Plan and the Plan prospectus; (b) represent that you have carefully read and are familiar with their provisions; and (c) hereby accept the RSUs subject to all of the terms and conditions set forth herein and those set forth in the Plan and the Notice. You hereby agree to accept as binding, conclusive and final all decisions or interpretations of the Committee upon any questions relating to the Plan, the Notice and this RSU Agreement.</w:t>
      </w:r>
    </w:p>
    <w:p>
      <w:pPr>
        <w:pStyle w:val="TextBody"/>
        <w:spacing w:lineRule="auto" w:line="240" w:before="0" w:after="240"/>
        <w:jc w:val="both"/>
        <w:rPr/>
      </w:pPr>
      <w:r>
        <w:rPr>
          <w:rFonts w:ascii="Times;sans-serif" w:hAnsi="Times;sans-serif"/>
          <w:b/>
          <w:color w:val="000000"/>
          <w:sz w:val="23"/>
        </w:rPr>
        <w:t>12.</w:t>
      </w:r>
      <w:r>
        <w:rPr>
          <w:rFonts w:ascii="Times New Roman;sans-serif" w:hAnsi="Times New Roman;sans-serif"/>
          <w:b/>
          <w:color w:val="000000"/>
          <w:sz w:val="23"/>
          <w:u w:val="single"/>
        </w:rPr>
        <w:t>Entire Agreement; Enforcement of Rights</w:t>
      </w:r>
      <w:r>
        <w:rPr>
          <w:rFonts w:ascii="Times New Roman;sans-serif" w:hAnsi="Times New Roman;sans-serif"/>
          <w:b w:val="false"/>
          <w:color w:val="000000"/>
          <w:sz w:val="23"/>
        </w:rPr>
        <w:t>. This RSU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pStyle w:val="TextBody"/>
        <w:spacing w:lineRule="auto" w:line="240" w:before="0" w:after="240"/>
        <w:jc w:val="both"/>
        <w:rPr/>
      </w:pPr>
      <w:r>
        <w:rPr>
          <w:rFonts w:ascii="Times;sans-serif" w:hAnsi="Times;sans-serif"/>
          <w:b/>
          <w:color w:val="000000"/>
          <w:sz w:val="23"/>
        </w:rPr>
        <w:t>13.</w:t>
      </w:r>
      <w:r>
        <w:rPr>
          <w:rFonts w:ascii="Times New Roman;sans-serif" w:hAnsi="Times New Roman;sans-serif"/>
          <w:b/>
          <w:color w:val="000000"/>
          <w:sz w:val="23"/>
          <w:u w:val="single"/>
        </w:rPr>
        <w:t>Compliance with Laws and Regulations</w:t>
      </w:r>
      <w:r>
        <w:rPr>
          <w:rFonts w:ascii="Times New Roman;sans-serif" w:hAnsi="Times New Roman;sans-serif"/>
          <w:b w:val="false"/>
          <w:color w:val="000000"/>
          <w:sz w:val="23"/>
        </w:rPr>
        <w:t>. The issuance of Shares will be subject to and conditioned upon compliance by the Company and you with all applicable state, federal and foreign laws and regulations and with all applicable requirements of any stock exchange or automated quotation system on which the Company’s Class A Common Stock may be listed or quoted at the time of such issuance or transfer. The Shares issued pursuant to this RSU Agreement shall be endorsed with appropriate legends, if any, determined by the Company.</w:t>
      </w:r>
    </w:p>
    <w:p>
      <w:pPr>
        <w:pStyle w:val="TextBody"/>
        <w:spacing w:lineRule="auto" w:line="240" w:before="0" w:after="240"/>
        <w:jc w:val="both"/>
        <w:rPr/>
      </w:pPr>
      <w:r>
        <w:rPr>
          <w:rFonts w:ascii="Times;sans-serif" w:hAnsi="Times;sans-serif"/>
          <w:b/>
          <w:color w:val="000000"/>
          <w:sz w:val="23"/>
        </w:rPr>
        <w:t>14.</w:t>
      </w:r>
      <w:r>
        <w:rPr>
          <w:rFonts w:ascii="Times New Roman;sans-serif" w:hAnsi="Times New Roman;sans-serif"/>
          <w:b/>
          <w:color w:val="000000"/>
          <w:sz w:val="23"/>
          <w:u w:val="single"/>
        </w:rPr>
        <w:t>Governing Law; Severability</w:t>
      </w:r>
      <w:r>
        <w:rPr>
          <w:rFonts w:ascii="Times New Roman;sans-serif" w:hAnsi="Times New Roman;sans-serif"/>
          <w:b w:val="false"/>
          <w:color w:val="000000"/>
          <w:sz w:val="23"/>
        </w:rPr>
        <w:t>. If one or more provisions of this RSU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RSU Agreement, (b) the balance of this RSU Agreement shall be interpreted as if such provision were so excluded, and (c) the balance of this RSU Agreement shall be enforceable in accordance with its terms. This RSU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Santa Barbara County or the federal courts of the United States for the Central District of California and no other courts.</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8275"/>
                <wp:effectExtent l="0" t="0" r="0" b="0"/>
                <wp:wrapNone/>
                <wp:docPr id="159" name="Frame131"/>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txbxContent>
                </v:textbox>
              </v:rect>
            </w:pict>
          </mc:Fallback>
        </mc:AlternateContent>
      </w:r>
    </w:p>
    <w:p>
      <w:pPr>
        <w:pStyle w:val="TextBody"/>
        <w:spacing w:lineRule="auto" w:line="240" w:before="0" w:after="240"/>
        <w:jc w:val="both"/>
        <w:rPr/>
      </w:pPr>
      <w:r>
        <w:rPr>
          <w:rFonts w:ascii="Times;sans-serif" w:hAnsi="Times;sans-serif"/>
          <w:b/>
          <w:color w:val="000000"/>
          <w:sz w:val="23"/>
        </w:rPr>
        <w:t>15.</w:t>
      </w:r>
      <w:r>
        <w:rPr>
          <w:rFonts w:ascii="Times New Roman;sans-serif" w:hAnsi="Times New Roman;sans-serif"/>
          <w:b/>
          <w:color w:val="000000"/>
          <w:sz w:val="23"/>
          <w:u w:val="single"/>
        </w:rPr>
        <w:t>No Rights as Employee, Director or Consultant</w:t>
      </w:r>
      <w:r>
        <w:rPr>
          <w:rFonts w:ascii="Times New Roman;sans-serif" w:hAnsi="Times New Roman;sans-serif"/>
          <w:b w:val="false"/>
          <w:color w:val="000000"/>
          <w:sz w:val="23"/>
        </w:rPr>
        <w:t>. Nothing in this RSU Agreement shall affect in any manner whatsoever the right or power of the Company, or a Parent, Subsidiary or Affiliate of the Company, to terminate your Service, for any reason, with or without Cause.</w:t>
      </w:r>
    </w:p>
    <w:p>
      <w:pPr>
        <w:pStyle w:val="TextBody"/>
        <w:spacing w:lineRule="auto" w:line="240" w:before="0" w:after="240"/>
        <w:jc w:val="both"/>
        <w:rPr/>
      </w:pPr>
      <w:r>
        <w:rPr>
          <w:rFonts w:ascii="Times;sans-serif" w:hAnsi="Times;sans-serif"/>
          <w:b/>
          <w:color w:val="000000"/>
          <w:sz w:val="23"/>
        </w:rPr>
        <w:t>16.</w:t>
      </w:r>
      <w:r>
        <w:rPr>
          <w:rFonts w:ascii="Times New Roman;sans-serif" w:hAnsi="Times New Roman;sans-serif"/>
          <w:b/>
          <w:color w:val="000000"/>
          <w:sz w:val="23"/>
          <w:u w:val="single"/>
        </w:rPr>
        <w:t>Consent to Electronic Delivery of All Plan Documents and Disclosures</w:t>
      </w:r>
      <w:r>
        <w:rPr>
          <w:rFonts w:ascii="Times New Roman;sans-serif" w:hAnsi="Times New Roman;sans-serif"/>
          <w:b w:val="false"/>
          <w:color w:val="000000"/>
          <w:sz w:val="23"/>
        </w:rPr>
        <w:t>. You hereby consent to the electronic delivery of the Notice, this RSU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stock@appfolio.com.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stock@appfolio.com. Finally, you understand that you are not required to consent to electronic delivery.</w:t>
      </w:r>
    </w:p>
    <w:p>
      <w:pPr>
        <w:pStyle w:val="TextBody"/>
        <w:spacing w:lineRule="auto" w:line="240" w:before="0" w:after="240"/>
        <w:jc w:val="both"/>
        <w:rPr/>
      </w:pPr>
      <w:r>
        <w:rPr>
          <w:rFonts w:ascii="Times;sans-serif" w:hAnsi="Times;sans-serif"/>
          <w:b/>
          <w:color w:val="000000"/>
          <w:sz w:val="23"/>
        </w:rPr>
        <w:t>17.</w:t>
      </w:r>
      <w:r>
        <w:rPr>
          <w:rFonts w:ascii="Times New Roman;sans-serif" w:hAnsi="Times New Roman;sans-serif"/>
          <w:b/>
          <w:color w:val="000000"/>
          <w:sz w:val="23"/>
          <w:u w:val="single"/>
        </w:rPr>
        <w:t>Code Section 409A</w:t>
      </w:r>
      <w:r>
        <w:rPr>
          <w:rFonts w:ascii="Times New Roman;sans-serif" w:hAnsi="Times New Roman;sans-serif"/>
          <w:b w:val="false"/>
          <w:color w:val="000000"/>
          <w:sz w:val="23"/>
        </w:rPr>
        <w:t>. For purposes of this RSU Agreement, a termination of employment will be determined consistent with the rules relating to a “separation from service” as defined in Section 409A of the Internal Revenue Code and the regulations thereunder (“</w:t>
      </w:r>
      <w:r>
        <w:rPr>
          <w:rFonts w:ascii="Times New Roman;sans-serif" w:hAnsi="Times New Roman;sans-serif"/>
          <w:b/>
          <w:i/>
          <w:color w:val="000000"/>
          <w:sz w:val="23"/>
        </w:rPr>
        <w:t>Section 409A</w:t>
      </w:r>
      <w:r>
        <w:rPr>
          <w:color w:val="000000"/>
        </w:rPr>
        <w:t>”</w:t>
      </w:r>
      <w:r>
        <w:rPr>
          <w:rFonts w:ascii="Times New Roman;sans-serif" w:hAnsi="Times New Roman;sans-serif"/>
          <w:b w:val="false"/>
          <w:color w:val="000000"/>
          <w:sz w:val="23"/>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(a) the expiration of the six-month period measured from your separation from service, or (b)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RSU Agreement are intended to constitute separate payments for purposes of Section 1.409A-2(b)(2) of the Treasury Regulations.</w:t>
      </w:r>
    </w:p>
    <w:p>
      <w:pPr>
        <w:pStyle w:val="TextBody"/>
        <w:spacing w:lineRule="auto" w:line="240" w:before="0" w:after="240"/>
        <w:jc w:val="both"/>
        <w:rPr/>
      </w:pPr>
      <w:r>
        <w:rPr>
          <w:rFonts w:ascii="Times;sans-serif" w:hAnsi="Times;sans-serif"/>
          <w:b/>
          <w:color w:val="000000"/>
          <w:sz w:val="23"/>
        </w:rPr>
        <w:t>18.</w:t>
      </w:r>
      <w:r>
        <w:rPr>
          <w:rFonts w:ascii="Times New Roman;sans-serif" w:hAnsi="Times New Roman;sans-serif"/>
          <w:b/>
          <w:color w:val="000000"/>
          <w:sz w:val="23"/>
          <w:u w:val="single"/>
        </w:rPr>
        <w:t>Adjustment</w:t>
      </w:r>
      <w:r>
        <w:rPr>
          <w:rFonts w:ascii="Times New Roman;sans-serif" w:hAnsi="Times New Roman;sans-serif"/>
          <w:b w:val="false"/>
          <w:color w:val="000000"/>
          <w:sz w:val="23"/>
        </w:rPr>
        <w:t>. In the event of a stock split, a stock dividend or a similar change in Company stock, the number of Shares covered by the RSUs may be adjusted pursuant to the Plan.</w:t>
      </w:r>
    </w:p>
    <w:p>
      <w:pPr>
        <w:pStyle w:val="TextBody"/>
        <w:spacing w:lineRule="auto" w:line="240" w:before="0" w:after="240"/>
        <w:jc w:val="both"/>
        <w:rPr/>
      </w:pPr>
      <w:r>
        <w:rPr>
          <w:rFonts w:ascii="Times;sans-serif" w:hAnsi="Times;sans-serif"/>
          <w:b/>
          <w:color w:val="000000"/>
          <w:sz w:val="23"/>
        </w:rPr>
        <w:t>19.</w:t>
      </w:r>
      <w:r>
        <w:rPr>
          <w:rFonts w:ascii="Times New Roman;sans-serif" w:hAnsi="Times New Roman;sans-serif"/>
          <w:b/>
          <w:color w:val="000000"/>
          <w:sz w:val="23"/>
          <w:u w:val="single"/>
        </w:rPr>
        <w:t>Award Subject to Company Clawback or Recoupment</w:t>
      </w:r>
      <w:r>
        <w:rPr>
          <w:rFonts w:ascii="Times New Roman;sans-serif" w:hAnsi="Times New Roman;sans-serif"/>
          <w:b w:val="false"/>
          <w:color w:val="000000"/>
          <w:sz w:val="23"/>
        </w:rPr>
        <w:t>. To the extent permitted by applicable law, the RSUs shall be subject to clawback or recoupment pursuant to any compensation clawback or recoupment policy adopted by the Board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BY ACCEPTING THIS RSU, YOU HEREBY AGREE TO ALL OF THE TERMS AND CONDITIONS DESCRIBED ABOVE AND IN THE PLAN.</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10.17</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8275"/>
                <wp:effectExtent l="0" t="0" r="0" b="0"/>
                <wp:wrapNone/>
                <wp:docPr id="160" name="Frame132"/>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txbxContent>
                </v:textbox>
              </v:rect>
            </w:pict>
          </mc:Fallback>
        </mc:AlternateContent>
      </w:r>
    </w:p>
    <w:p>
      <w:pPr>
        <w:pStyle w:val="TextBody"/>
        <w:spacing w:lineRule="auto" w:line="240" w:before="0" w:after="200"/>
        <w:jc w:val="center"/>
        <w:rPr>
          <w:rFonts w:ascii="Times New Roman;sans-serif" w:hAnsi="Times New Roman;sans-serif"/>
          <w:b/>
          <w:color w:val="000000"/>
          <w:sz w:val="23"/>
        </w:rPr>
      </w:pPr>
      <w:r>
        <w:rPr>
          <w:rFonts w:ascii="Times New Roman;sans-serif" w:hAnsi="Times New Roman;sans-serif"/>
          <w:b/>
          <w:color w:val="000000"/>
          <w:sz w:val="23"/>
        </w:rPr>
        <w:t>NOTICE OF RESTRICTED STOCK UNIT AWARD</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Unless otherwise defined herein, the terms defined in the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2015 Stock Incentive Plan (the “</w:t>
      </w:r>
      <w:r>
        <w:rPr>
          <w:rFonts w:ascii="Times New Roman;sans-serif" w:hAnsi="Times New Roman;sans-serif"/>
          <w:b/>
          <w:i/>
          <w:color w:val="000000"/>
          <w:sz w:val="23"/>
        </w:rPr>
        <w:t>Plan</w:t>
      </w:r>
      <w:r>
        <w:rPr>
          <w:color w:val="000000"/>
        </w:rPr>
        <w:t>”</w:t>
      </w:r>
      <w:r>
        <w:rPr>
          <w:rFonts w:ascii="Times New Roman;sans-serif" w:hAnsi="Times New Roman;sans-serif"/>
          <w:b w:val="false"/>
          <w:color w:val="000000"/>
          <w:sz w:val="23"/>
        </w:rPr>
        <w:t>) shall have the same meanings in this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the attached Restricted Stock Unit Agreement (the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 You have been granted an award of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under the Plan subject to the terms and conditions of the Plan, this Notice and the attached RSU Agreement.</w:t>
      </w:r>
    </w:p>
    <w:tbl>
      <w:tblPr>
        <w:tblW w:w="10205" w:type="dxa"/>
        <w:jc w:val="left"/>
        <w:tblInd w:w="0" w:type="dxa"/>
        <w:tblCellMar>
          <w:top w:w="28" w:type="dxa"/>
          <w:left w:w="28" w:type="dxa"/>
          <w:bottom w:w="28" w:type="dxa"/>
          <w:right w:w="28" w:type="dxa"/>
        </w:tblCellMar>
      </w:tblPr>
      <w:tblGrid>
        <w:gridCol w:w="868"/>
        <w:gridCol w:w="764"/>
        <w:gridCol w:w="690"/>
        <w:gridCol w:w="2336"/>
        <w:gridCol w:w="2296"/>
        <w:gridCol w:w="3251"/>
      </w:tblGrid>
      <w:tr>
        <w:trPr/>
        <w:tc>
          <w:tcPr>
            <w:tcW w:w="86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Name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Date of Grant</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Grant Number:</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Number of RSUs</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Vesting Commencement Date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Vesting shall commence on [•]</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color w:val="000000"/>
                <w:sz w:val="23"/>
              </w:rPr>
              <w:t>Expiration Date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The date on which settlement of all RSUs granted hereunder occurs. This RSU expires earlier if your Service terminates earlier, as described in the RSU Agreement.</w:t>
            </w:r>
          </w:p>
        </w:tc>
      </w:tr>
      <w:tr>
        <w:trPr/>
        <w:tc>
          <w:tcPr>
            <w:tcW w:w="2322"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Vesting Schedule</w:t>
            </w:r>
            <w:r>
              <w:rPr>
                <w:rFonts w:ascii="Times New Roman;sans-serif" w:hAnsi="Times New Roman;sans-serif"/>
                <w:b w:val="false"/>
                <w:color w:val="000000"/>
                <w:sz w:val="23"/>
              </w:rPr>
              <w:t>:</w:t>
            </w:r>
          </w:p>
        </w:tc>
        <w:tc>
          <w:tcPr>
            <w:tcW w:w="788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w:t>
            </w:r>
          </w:p>
        </w:tc>
      </w:tr>
    </w:tbl>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You acknowledge that the vesting of the RSUs pursuant to this Notice is earned only by continuing Service.  By accepting this award, you and the Company agree that this award is granted under and governed by the terms and conditions of the Plan, the Notice and the RSU Agreement.  As described in your RSU Agreement, you hereby authorize the Company and/or the Employer to, and the Company and/or the Employer shall, satisfy all withholding and payment obligations of the Company and/or the Employer by withholding Shares that otherwise would be issued to you when your RSUs are settled.  You acknowledge and agree that the Vesting Schedule may change prospectively in the event that your Service status changes between full and part-time status in accordance with Company policies relating to work schedules and vesting of awards.  You further acknowledge that the grant of this RSU by the Company is at the Company’s sole discretion, and does not entitle you to further grant(s) of RSU(s) or any other award(s) under the Plan or any other plan or program maintained by the Company or any Parent, Subsidiary or Affiliate of the Company.  By accepting this RSU, you consent to electronic delivery as set forth in the RSU Agreement.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3"/>
        </w:rPr>
      </w:pPr>
      <w:r>
        <w:rPr>
          <w:rFonts w:ascii="Times New Roman;sans-serif" w:hAnsi="Times New Roman;sans-serif"/>
          <w:b w:val="false"/>
          <w:color w:val="000000"/>
          <w:sz w:val="23"/>
        </w:rPr>
        <w:t>AppFolio, Inc.</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RESTRICTED STOCK UNIT AGREEMENT</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You have been granted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by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subject to the terms, restrictions and conditions of the Plan, the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this Restricted Stock Unit Agreement (this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w:t>
      </w:r>
    </w:p>
    <w:p>
      <w:pPr>
        <w:pStyle w:val="TextBody"/>
        <w:spacing w:lineRule="auto" w:line="240" w:before="0" w:after="240"/>
        <w:jc w:val="both"/>
        <w:rPr/>
      </w:pPr>
      <w:r>
        <w:rPr>
          <w:rFonts w:ascii="Times;sans-serif" w:hAnsi="Times;sans-serif"/>
          <w:b/>
          <w:color w:val="000000"/>
          <w:sz w:val="23"/>
        </w:rPr>
        <w:t>1.</w:t>
      </w:r>
      <w:r>
        <w:rPr>
          <w:rFonts w:ascii="Times New Roman;sans-serif" w:hAnsi="Times New Roman;sans-serif"/>
          <w:b/>
          <w:color w:val="000000"/>
          <w:sz w:val="23"/>
          <w:u w:val="single"/>
        </w:rPr>
        <w:t>Settlement</w:t>
      </w:r>
      <w:r>
        <w:rPr>
          <w:rFonts w:ascii="Times New Roman;sans-serif" w:hAnsi="Times New Roman;sans-serif"/>
          <w:b w:val="false"/>
          <w:color w:val="000000"/>
          <w:sz w:val="23"/>
        </w:rPr>
        <w:t>. Settlement of RSUs shall be made in the same calendar year as the applicable date of vesting under the vesting schedule set forth in the Notice; provided, however, that if the vesting date under the vesting schedule set forth in the Notice is in December, then settlement of any RSUs that vest in December shall be within 30 days of vesting. Settlement of RSUs shall be in Shares. Settlement means the delivery of the Shares vested under an RSU. No fractional RSUs or rights for fractional Shares shall be created pursuant to this RSU Agreement.</w:t>
      </w:r>
    </w:p>
    <w:p>
      <w:pPr>
        <w:pStyle w:val="TextBody"/>
        <w:spacing w:lineRule="auto" w:line="240" w:before="0" w:after="240"/>
        <w:jc w:val="both"/>
        <w:rPr/>
      </w:pPr>
      <w:r>
        <w:rPr>
          <w:rFonts w:ascii="Times;sans-serif" w:hAnsi="Times;sans-serif"/>
          <w:b/>
          <w:color w:val="000000"/>
          <w:sz w:val="23"/>
        </w:rPr>
        <w:t>2.</w:t>
      </w:r>
      <w:r>
        <w:rPr>
          <w:rFonts w:ascii="Times New Roman;sans-serif" w:hAnsi="Times New Roman;sans-serif"/>
          <w:b/>
          <w:color w:val="000000"/>
          <w:sz w:val="23"/>
          <w:u w:val="single"/>
        </w:rPr>
        <w:t>No Stockholder Rights</w:t>
      </w:r>
      <w:r>
        <w:rPr>
          <w:rFonts w:ascii="Times New Roman;sans-serif" w:hAnsi="Times New Roman;sans-serif"/>
          <w:b w:val="false"/>
          <w:color w:val="000000"/>
          <w:sz w:val="23"/>
        </w:rPr>
        <w:t>. Unless and until such time as Shares are issued in settlement of vested RSUs, you shall have no ownership of the Shares allocated to the RSUs and shall have no right to dividends or to vote such Shares.</w:t>
      </w:r>
    </w:p>
    <w:p>
      <w:pPr>
        <w:pStyle w:val="TextBody"/>
        <w:spacing w:lineRule="auto" w:line="240" w:before="0" w:after="240"/>
        <w:jc w:val="both"/>
        <w:rPr/>
      </w:pPr>
      <w:r>
        <w:rPr>
          <w:rFonts w:ascii="Times;sans-serif" w:hAnsi="Times;sans-serif"/>
          <w:b/>
          <w:color w:val="000000"/>
          <w:sz w:val="23"/>
        </w:rPr>
        <w:t>3.</w:t>
      </w:r>
      <w:r>
        <w:rPr>
          <w:rFonts w:ascii="Times New Roman;sans-serif" w:hAnsi="Times New Roman;sans-serif"/>
          <w:b/>
          <w:color w:val="000000"/>
          <w:sz w:val="23"/>
          <w:u w:val="single"/>
        </w:rPr>
        <w:t>Dividend Equivalents</w:t>
      </w:r>
      <w:r>
        <w:rPr>
          <w:rFonts w:ascii="Times New Roman;sans-serif" w:hAnsi="Times New Roman;sans-serif"/>
          <w:b w:val="false"/>
          <w:color w:val="000000"/>
          <w:sz w:val="23"/>
        </w:rPr>
        <w:t>. Dividends, if any (whether in cash or Shares), shall not be credited to you.</w:t>
      </w:r>
    </w:p>
    <w:p>
      <w:pPr>
        <w:pStyle w:val="TextBody"/>
        <w:spacing w:lineRule="auto" w:line="240" w:before="0" w:after="240"/>
        <w:jc w:val="both"/>
        <w:rPr/>
      </w:pPr>
      <w:r>
        <w:rPr>
          <w:rFonts w:ascii="Times;sans-serif" w:hAnsi="Times;sans-serif"/>
          <w:b/>
          <w:color w:val="000000"/>
          <w:sz w:val="23"/>
        </w:rPr>
        <w:t>4.</w:t>
      </w:r>
      <w:r>
        <w:rPr>
          <w:rFonts w:ascii="Times New Roman;sans-serif" w:hAnsi="Times New Roman;sans-serif"/>
          <w:b/>
          <w:color w:val="000000"/>
          <w:sz w:val="23"/>
          <w:u w:val="single"/>
        </w:rPr>
        <w:t>No Transfer</w:t>
      </w:r>
      <w:r>
        <w:rPr>
          <w:rFonts w:ascii="Times New Roman;sans-serif" w:hAnsi="Times New Roman;sans-serif"/>
          <w:b w:val="false"/>
          <w:color w:val="000000"/>
          <w:sz w:val="23"/>
        </w:rPr>
        <w:t>. RSUs may not be sold, assigned, transferred, pledged, hypothecated, or otherwise disposed of in any manner other than by will or by the laws of descent or distribution or court order or unless otherwise permitted by the Committee on a case-by-case basis.</w:t>
      </w:r>
    </w:p>
    <w:p>
      <w:pPr>
        <w:pStyle w:val="TextBody"/>
        <w:spacing w:lineRule="auto" w:line="240" w:before="0" w:after="240"/>
        <w:jc w:val="both"/>
        <w:rPr/>
      </w:pPr>
      <w:r>
        <w:rPr>
          <w:rFonts w:ascii="Times;sans-serif" w:hAnsi="Times;sans-serif"/>
          <w:b/>
          <w:color w:val="000000"/>
          <w:sz w:val="23"/>
        </w:rPr>
        <w:t>5.</w:t>
      </w:r>
      <w:r>
        <w:rPr>
          <w:rFonts w:ascii="Times New Roman;sans-serif" w:hAnsi="Times New Roman;sans-serif"/>
          <w:b/>
          <w:color w:val="000000"/>
          <w:sz w:val="23"/>
          <w:u w:val="single"/>
        </w:rPr>
        <w:t>Termination</w:t>
      </w:r>
      <w:r>
        <w:rPr>
          <w:rFonts w:ascii="Times New Roman;sans-serif" w:hAnsi="Times New Roman;sans-serif"/>
          <w:b w:val="false"/>
          <w:color w:val="000000"/>
          <w:sz w:val="23"/>
        </w:rPr>
        <w:t>. If your Service terminates for any reason, all unvested RSUs shall be automatically forfeited to the Company, and all rights you have to such RSUs shall immediately terminate. In case of any dispute as to whether your termination of Service has occurred, the Committee shall have sole discretion to determine whether such termination has occurred and the effective date of such termination.</w:t>
      </w:r>
    </w:p>
    <w:p>
      <w:pPr>
        <w:pStyle w:val="TextBody"/>
        <w:spacing w:lineRule="auto" w:line="240" w:before="0" w:after="240"/>
        <w:jc w:val="both"/>
        <w:rPr/>
      </w:pPr>
      <w:r>
        <w:rPr>
          <w:rFonts w:ascii="Times;sans-serif" w:hAnsi="Times;sans-serif"/>
          <w:b/>
          <w:color w:val="000000"/>
          <w:sz w:val="23"/>
        </w:rPr>
        <w:t>6.</w:t>
      </w:r>
      <w:r>
        <w:rPr>
          <w:rFonts w:ascii="Times New Roman;sans-serif" w:hAnsi="Times New Roman;sans-serif"/>
          <w:b/>
          <w:color w:val="000000"/>
          <w:sz w:val="23"/>
          <w:u w:val="single"/>
        </w:rPr>
        <w:t>Construction</w:t>
      </w:r>
      <w:r>
        <w:rPr>
          <w:rFonts w:ascii="Times New Roman;sans-serif" w:hAnsi="Times New Roman;sans-serif"/>
          <w:b w:val="false"/>
          <w:color w:val="000000"/>
          <w:sz w:val="23"/>
        </w:rPr>
        <w:t>. This RSU Agreement is the result of negotiations between and has been reviewed by each of the parties hereto and their respective counsel, if any; accordingly, this RSU Agreement shall be deemed to be the product of all of the parties hereto, and no ambiguity shall be construed in favor of or against any one of the parties hereto.</w:t>
      </w:r>
    </w:p>
    <w:p>
      <w:pPr>
        <w:pStyle w:val="TextBody"/>
        <w:spacing w:lineRule="auto" w:line="240" w:before="0" w:after="240"/>
        <w:jc w:val="both"/>
        <w:rPr/>
      </w:pPr>
      <w:r>
        <w:rPr>
          <w:rFonts w:ascii="Times;sans-serif" w:hAnsi="Times;sans-serif"/>
          <w:b/>
          <w:color w:val="000000"/>
          <w:sz w:val="23"/>
        </w:rPr>
        <w:t>7.</w:t>
      </w:r>
      <w:r>
        <w:rPr>
          <w:rFonts w:ascii="Times New Roman;sans-serif" w:hAnsi="Times New Roman;sans-serif"/>
          <w:b/>
          <w:color w:val="000000"/>
          <w:sz w:val="23"/>
          <w:u w:val="single"/>
        </w:rPr>
        <w:t>Notices</w:t>
      </w:r>
      <w:r>
        <w:rPr>
          <w:rFonts w:ascii="Times New Roman;sans-serif" w:hAnsi="Times New Roman;sans-serif"/>
          <w:b w:val="false"/>
          <w:color w:val="000000"/>
          <w:sz w:val="23"/>
        </w:rPr>
        <w:t>. Any notice to be given under the terms of the Plan shall be addressed to the Company in care of its principal office, and any notice to be given to you shall be addressed to you at the address maintained by the Company for such person or at such other address as you may specify in writing to the Company.</w:t>
      </w:r>
    </w:p>
    <w:p>
      <w:pPr>
        <w:pStyle w:val="TextBody"/>
        <w:spacing w:lineRule="auto" w:line="240" w:before="0" w:after="240"/>
        <w:jc w:val="both"/>
        <w:rPr/>
      </w:pPr>
      <w:r>
        <w:rPr>
          <w:rFonts w:ascii="Times;sans-serif" w:hAnsi="Times;sans-serif"/>
          <w:b/>
          <w:color w:val="000000"/>
          <w:sz w:val="23"/>
        </w:rPr>
        <w:t>8.</w:t>
      </w:r>
      <w:r>
        <w:rPr>
          <w:rFonts w:ascii="Times New Roman;sans-serif" w:hAnsi="Times New Roman;sans-serif"/>
          <w:b/>
          <w:color w:val="000000"/>
          <w:sz w:val="23"/>
          <w:u w:val="single"/>
        </w:rPr>
        <w:t>Counterparts</w:t>
      </w:r>
      <w:r>
        <w:rPr>
          <w:rFonts w:ascii="Times New Roman;sans-serif" w:hAnsi="Times New Roman;sans-serif"/>
          <w:b w:val="false"/>
          <w:color w:val="000000"/>
          <w:sz w:val="23"/>
        </w:rPr>
        <w:t>. This RSU Agreement may be executed in two or more counterparts, each of which shall he deemed an original and all of which together shall constitute one instrument.</w:t>
      </w:r>
    </w:p>
    <w:p>
      <w:pPr>
        <w:pStyle w:val="TextBody"/>
        <w:spacing w:lineRule="auto" w:line="240" w:before="0" w:after="240"/>
        <w:jc w:val="both"/>
        <w:rPr/>
      </w:pPr>
      <w:r>
        <w:rPr>
          <w:rFonts w:ascii="Times;sans-serif" w:hAnsi="Times;sans-serif"/>
          <w:b/>
          <w:color w:val="000000"/>
          <w:sz w:val="23"/>
        </w:rPr>
        <w:t>9.</w:t>
      </w:r>
      <w:r>
        <w:rPr>
          <w:rFonts w:ascii="Times New Roman;sans-serif" w:hAnsi="Times New Roman;sans-serif"/>
          <w:b/>
          <w:color w:val="000000"/>
          <w:sz w:val="23"/>
          <w:u w:val="single"/>
        </w:rPr>
        <w:t>Tax Consequences</w:t>
      </w:r>
      <w:r>
        <w:rPr>
          <w:rFonts w:ascii="Times New Roman;sans-serif" w:hAnsi="Times New Roman;sans-serif"/>
          <w:b w:val="false"/>
          <w:color w:val="000000"/>
          <w:sz w:val="23"/>
        </w:rPr>
        <w:t>. You acknowledge that you will recognize tax consequences in connection with the RSUs. You should consult a tax adviser regarding your tax obligations in the jurisdiction where you are subject to tax.</w:t>
      </w:r>
    </w:p>
    <w:p>
      <w:pPr>
        <w:pStyle w:val="TextBody"/>
        <w:spacing w:lineRule="auto" w:line="240" w:before="0" w:after="240"/>
        <w:jc w:val="both"/>
        <w:rPr/>
      </w:pPr>
      <w:r>
        <w:rPr>
          <w:rFonts w:ascii="Times;sans-serif" w:hAnsi="Times;sans-serif"/>
          <w:b/>
          <w:color w:val="000000"/>
          <w:sz w:val="23"/>
        </w:rPr>
        <w:t>10.</w:t>
      </w:r>
      <w:r>
        <w:rPr>
          <w:rFonts w:ascii="Times New Roman;sans-serif" w:hAnsi="Times New Roman;sans-serif"/>
          <w:b/>
          <w:color w:val="000000"/>
          <w:sz w:val="23"/>
          <w:u w:val="single"/>
        </w:rPr>
        <w:t>Withholding Taxes and Stock Withholding</w:t>
      </w:r>
      <w:r>
        <w:rPr>
          <w:rFonts w:ascii="Times New Roman;sans-serif" w:hAnsi="Times New Roman;sans-serif"/>
          <w:b w:val="false"/>
          <w:color w:val="000000"/>
          <w:sz w:val="23"/>
        </w:rPr>
        <w:t>. Regardless of any action the Company or your actual employer (the “</w:t>
      </w:r>
      <w:r>
        <w:rPr>
          <w:rFonts w:ascii="Times New Roman;sans-serif" w:hAnsi="Times New Roman;sans-serif"/>
          <w:b/>
          <w:i/>
          <w:color w:val="000000"/>
          <w:sz w:val="23"/>
        </w:rPr>
        <w:t>Employer</w:t>
      </w:r>
      <w:r>
        <w:rPr>
          <w:color w:val="000000"/>
        </w:rPr>
        <w:t>”</w:t>
      </w:r>
      <w:r>
        <w:rPr>
          <w:rFonts w:ascii="Times New Roman;sans-serif" w:hAnsi="Times New Roman;sans-serif"/>
          <w:b w:val="false"/>
          <w:color w:val="000000"/>
          <w:sz w:val="23"/>
        </w:rPr>
        <w:t>) takes with respect to any or all income tax, social insurance, payroll tax, payment on account or other tax-related withholding (“</w:t>
      </w:r>
      <w:r>
        <w:rPr>
          <w:rFonts w:ascii="Times New Roman;sans-serif" w:hAnsi="Times New Roman;sans-serif"/>
          <w:b/>
          <w:i/>
          <w:color w:val="000000"/>
          <w:sz w:val="23"/>
        </w:rPr>
        <w:t>Tax-Related Items</w:t>
      </w:r>
      <w:r>
        <w:rPr>
          <w:color w:val="000000"/>
        </w:rPr>
        <w:t>”</w:t>
      </w:r>
      <w:r>
        <w:rPr>
          <w:rFonts w:ascii="Times New Roman;sans-serif" w:hAnsi="Times New Roman;sans-serif"/>
          <w:b w:val="false"/>
          <w:color w:val="000000"/>
          <w:sz w:val="23"/>
        </w:rPr>
        <w:t xml:space="preserve">), you acknowledge that the ultimate liability for all Tax-Related Items legally due by you is and remains your responsibility and that the Company and/or the Employer (a) make no representations or undertakings regarding the treatment of any Tax-Related Items in connection with any aspect of the award, including the grant, vesting or settlement of the RSUs, the subsequent sale of Shares acquired pursuant to such settlement and the receipt of any dividends, and (b) do not commit to structure the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8275"/>
                <wp:effectExtent l="0" t="0" r="0" b="0"/>
                <wp:wrapNone/>
                <wp:docPr id="162" name="Frame134"/>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terms of the award or any aspect of the RSUs to reduce or eliminate your liability for Tax-Related Items. You acknowledge that if you are subject to Tax-Related Items in more than one jurisdiction, the Company and/or the Employer may be required to withhold or account for Tax-Related Items in more than one jurisdiction.</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You hereby authorize the Company and/or the Employer to, and the Company and/or the Employer shall, satisfy all withholding and payment obligations of the Company and/or the Employer by withholding Shares that otherwise would be issued to you when your RSUs are settled. The Fair Market Value of the withheld Shares will be determined as of the effective date when taxes otherwise would have been withheld in cash. In the event the withholding amount is not satisfied in full by an even number of Shares, the number of withheld Shares will be rounded up to the nearest whole number of Share, and the excess withholding amount will be applied to your federal income tax withholdings. You shall pay to the Company or the Employer any amount of Tax-Related Items that the Company or the Employer may be required to withhold as a result of your participation in the Plan or your purchase of Shares that cannot be satisfied by the means previously described. Finally, you acknowledge that the Company has no obligation to deliver Shares to you until the withholding and payment obligations have been satisfied in connection with the Tax-Related Items as described in this Section.</w:t>
      </w:r>
    </w:p>
    <w:p>
      <w:pPr>
        <w:pStyle w:val="TextBody"/>
        <w:spacing w:lineRule="auto" w:line="240" w:before="0" w:after="240"/>
        <w:jc w:val="both"/>
        <w:rPr/>
      </w:pPr>
      <w:r>
        <w:rPr>
          <w:rFonts w:ascii="Times;sans-serif" w:hAnsi="Times;sans-serif"/>
          <w:b/>
          <w:color w:val="000000"/>
          <w:sz w:val="23"/>
        </w:rPr>
        <w:t>11.</w:t>
      </w:r>
      <w:r>
        <w:rPr>
          <w:rFonts w:ascii="Times New Roman;sans-serif" w:hAnsi="Times New Roman;sans-serif"/>
          <w:b/>
          <w:color w:val="000000"/>
          <w:sz w:val="23"/>
          <w:u w:val="single"/>
        </w:rPr>
        <w:t>Acknowledgement</w:t>
      </w:r>
      <w:r>
        <w:rPr>
          <w:rFonts w:ascii="Times New Roman;sans-serif" w:hAnsi="Times New Roman;sans-serif"/>
          <w:b w:val="false"/>
          <w:color w:val="000000"/>
          <w:sz w:val="23"/>
        </w:rPr>
        <w:t>. The Company and you agree that the RSUs are granted under and governed by the Notice, this RSU Agreement and the provisions of the Plan (incorporated herein by reference). You: (a) acknowledge receipt of a copy of the Plan and the Plan prospectus; (b) represent that you have carefully read and are familiar with their provisions; and (c) hereby accept the RSUs subject to all of the terms and conditions set forth herein and those set forth in the Plan and the Notice. You hereby agree to accept as binding, conclusive and final all decisions or interpretations of the Committee upon any questions relating to the Plan, the Notice and this RSU Agreement.</w:t>
      </w:r>
    </w:p>
    <w:p>
      <w:pPr>
        <w:pStyle w:val="TextBody"/>
        <w:spacing w:lineRule="auto" w:line="240" w:before="0" w:after="240"/>
        <w:jc w:val="both"/>
        <w:rPr/>
      </w:pPr>
      <w:r>
        <w:rPr>
          <w:rFonts w:ascii="Times;sans-serif" w:hAnsi="Times;sans-serif"/>
          <w:b/>
          <w:color w:val="000000"/>
          <w:sz w:val="23"/>
        </w:rPr>
        <w:t>12.</w:t>
      </w:r>
      <w:r>
        <w:rPr>
          <w:rFonts w:ascii="Times New Roman;sans-serif" w:hAnsi="Times New Roman;sans-serif"/>
          <w:b/>
          <w:color w:val="000000"/>
          <w:sz w:val="23"/>
          <w:u w:val="single"/>
        </w:rPr>
        <w:t>Entire Agreement; Enforcement of Rights</w:t>
      </w:r>
      <w:r>
        <w:rPr>
          <w:rFonts w:ascii="Times New Roman;sans-serif" w:hAnsi="Times New Roman;sans-serif"/>
          <w:b w:val="false"/>
          <w:color w:val="000000"/>
          <w:sz w:val="23"/>
        </w:rPr>
        <w:t>. This RSU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pStyle w:val="TextBody"/>
        <w:spacing w:lineRule="auto" w:line="240" w:before="0" w:after="240"/>
        <w:jc w:val="both"/>
        <w:rPr/>
      </w:pPr>
      <w:r>
        <w:rPr>
          <w:rFonts w:ascii="Times;sans-serif" w:hAnsi="Times;sans-serif"/>
          <w:b/>
          <w:color w:val="000000"/>
          <w:sz w:val="23"/>
        </w:rPr>
        <w:t>13.</w:t>
      </w:r>
      <w:r>
        <w:rPr>
          <w:rFonts w:ascii="Times New Roman;sans-serif" w:hAnsi="Times New Roman;sans-serif"/>
          <w:b/>
          <w:color w:val="000000"/>
          <w:sz w:val="23"/>
          <w:u w:val="single"/>
        </w:rPr>
        <w:t>Compliance with Laws and Regulations</w:t>
      </w:r>
      <w:r>
        <w:rPr>
          <w:rFonts w:ascii="Times New Roman;sans-serif" w:hAnsi="Times New Roman;sans-serif"/>
          <w:b w:val="false"/>
          <w:color w:val="000000"/>
          <w:sz w:val="23"/>
        </w:rPr>
        <w:t>. The issuance of Shares will be subject to and conditioned upon compliance by the Company and you with all applicable state, federal and foreign laws and regulations and with all applicable requirements of any stock exchange or automated quotation system on which the Company’s Class A Common Stock may be listed or quoted at the time of such issuance or transfer. The Shares issued pursuant to this RSU Agreement shall be endorsed with appropriate legends, if any, determined by the Company.</w:t>
      </w:r>
    </w:p>
    <w:p>
      <w:pPr>
        <w:pStyle w:val="TextBody"/>
        <w:spacing w:lineRule="auto" w:line="240" w:before="0" w:after="240"/>
        <w:jc w:val="both"/>
        <w:rPr/>
      </w:pPr>
      <w:r>
        <w:rPr>
          <w:rFonts w:ascii="Times;sans-serif" w:hAnsi="Times;sans-serif"/>
          <w:b/>
          <w:color w:val="000000"/>
          <w:sz w:val="23"/>
        </w:rPr>
        <w:t>14.</w:t>
      </w:r>
      <w:r>
        <w:rPr>
          <w:rFonts w:ascii="Times New Roman;sans-serif" w:hAnsi="Times New Roman;sans-serif"/>
          <w:b/>
          <w:color w:val="000000"/>
          <w:sz w:val="23"/>
          <w:u w:val="single"/>
        </w:rPr>
        <w:t>Governing Law; Severability</w:t>
      </w:r>
      <w:r>
        <w:rPr>
          <w:rFonts w:ascii="Times New Roman;sans-serif" w:hAnsi="Times New Roman;sans-serif"/>
          <w:b w:val="false"/>
          <w:color w:val="000000"/>
          <w:sz w:val="23"/>
        </w:rPr>
        <w:t>. If one or more provisions of this RSU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RSU Agreement, (b) the balance of this RSU Agreement shall be interpreted as if such provision were so excluded, and (c) the balance of this RSU Agreement shall be enforceable in accordance with its terms. This RSU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Santa Barbara County or the federal courts of the United States for the Central District of California and no other courts.</w:t>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8275"/>
                <wp:effectExtent l="0" t="0" r="0" b="0"/>
                <wp:wrapNone/>
                <wp:docPr id="163" name="Frame135"/>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txbxContent>
                </v:textbox>
              </v:rect>
            </w:pict>
          </mc:Fallback>
        </mc:AlternateContent>
      </w:r>
    </w:p>
    <w:p>
      <w:pPr>
        <w:pStyle w:val="TextBody"/>
        <w:spacing w:lineRule="auto" w:line="240" w:before="0" w:after="240"/>
        <w:jc w:val="both"/>
        <w:rPr/>
      </w:pPr>
      <w:r>
        <w:rPr>
          <w:rFonts w:ascii="Times;sans-serif" w:hAnsi="Times;sans-serif"/>
          <w:b/>
          <w:color w:val="000000"/>
          <w:sz w:val="23"/>
        </w:rPr>
        <w:t>15.</w:t>
      </w:r>
      <w:r>
        <w:rPr>
          <w:rFonts w:ascii="Times New Roman;sans-serif" w:hAnsi="Times New Roman;sans-serif"/>
          <w:b/>
          <w:color w:val="000000"/>
          <w:sz w:val="23"/>
          <w:u w:val="single"/>
        </w:rPr>
        <w:t>No Rights as Employee, Director or Consultant</w:t>
      </w:r>
      <w:r>
        <w:rPr>
          <w:rFonts w:ascii="Times New Roman;sans-serif" w:hAnsi="Times New Roman;sans-serif"/>
          <w:b w:val="false"/>
          <w:color w:val="000000"/>
          <w:sz w:val="23"/>
        </w:rPr>
        <w:t>. Nothing in this RSU Agreement shall affect in any manner whatsoever the right or power of the Company, or a Parent, Subsidiary or Affiliate of the Company, to terminate your Service, for any reason, with or without Cause.</w:t>
      </w:r>
    </w:p>
    <w:p>
      <w:pPr>
        <w:pStyle w:val="TextBody"/>
        <w:spacing w:lineRule="auto" w:line="240" w:before="0" w:after="240"/>
        <w:jc w:val="both"/>
        <w:rPr/>
      </w:pPr>
      <w:r>
        <w:rPr>
          <w:rFonts w:ascii="Times;sans-serif" w:hAnsi="Times;sans-serif"/>
          <w:b/>
          <w:color w:val="000000"/>
          <w:sz w:val="23"/>
        </w:rPr>
        <w:t>16.</w:t>
      </w:r>
      <w:r>
        <w:rPr>
          <w:rFonts w:ascii="Times New Roman;sans-serif" w:hAnsi="Times New Roman;sans-serif"/>
          <w:b/>
          <w:color w:val="000000"/>
          <w:sz w:val="23"/>
          <w:u w:val="single"/>
        </w:rPr>
        <w:t>Consent to Electronic Delivery of All Plan Documents and Disclosures</w:t>
      </w:r>
      <w:r>
        <w:rPr>
          <w:rFonts w:ascii="Times New Roman;sans-serif" w:hAnsi="Times New Roman;sans-serif"/>
          <w:b w:val="false"/>
          <w:color w:val="000000"/>
          <w:sz w:val="23"/>
        </w:rPr>
        <w:t>. You hereby consent to the electronic delivery of the Notice, this RSU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stock@appfolio.com.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stock@appfolio.com. Finally, you understand that you are not required to consent to electronic delivery.</w:t>
      </w:r>
    </w:p>
    <w:p>
      <w:pPr>
        <w:pStyle w:val="TextBody"/>
        <w:spacing w:lineRule="auto" w:line="240" w:before="0" w:after="240"/>
        <w:jc w:val="both"/>
        <w:rPr/>
      </w:pPr>
      <w:r>
        <w:rPr>
          <w:rFonts w:ascii="Times;sans-serif" w:hAnsi="Times;sans-serif"/>
          <w:b/>
          <w:color w:val="000000"/>
          <w:sz w:val="23"/>
        </w:rPr>
        <w:t>17.</w:t>
      </w:r>
      <w:r>
        <w:rPr>
          <w:rFonts w:ascii="Times New Roman;sans-serif" w:hAnsi="Times New Roman;sans-serif"/>
          <w:b/>
          <w:color w:val="000000"/>
          <w:sz w:val="23"/>
          <w:u w:val="single"/>
        </w:rPr>
        <w:t>Code Section 409A</w:t>
      </w:r>
      <w:r>
        <w:rPr>
          <w:rFonts w:ascii="Times New Roman;sans-serif" w:hAnsi="Times New Roman;sans-serif"/>
          <w:b w:val="false"/>
          <w:color w:val="000000"/>
          <w:sz w:val="23"/>
        </w:rPr>
        <w:t>. For purposes of this RSU Agreement, a termination of employment will be determined consistent with the rules relating to a “separation from service” as defined in Section 409A of the Internal Revenue Code and the regulations thereunder (“</w:t>
      </w:r>
      <w:r>
        <w:rPr>
          <w:rFonts w:ascii="Times New Roman;sans-serif" w:hAnsi="Times New Roman;sans-serif"/>
          <w:b/>
          <w:i/>
          <w:color w:val="000000"/>
          <w:sz w:val="23"/>
        </w:rPr>
        <w:t>Section 409A</w:t>
      </w:r>
      <w:r>
        <w:rPr>
          <w:color w:val="000000"/>
        </w:rPr>
        <w:t>”</w:t>
      </w:r>
      <w:r>
        <w:rPr>
          <w:rFonts w:ascii="Times New Roman;sans-serif" w:hAnsi="Times New Roman;sans-serif"/>
          <w:b w:val="false"/>
          <w:color w:val="000000"/>
          <w:sz w:val="23"/>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(a) the expiration of the six-month period measured from your separation from service, or (b)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RSU Agreement are intended to constitute separate payments for purposes of Section 1.409A-2(b)(2) of the Treasury Regulations.</w:t>
      </w:r>
    </w:p>
    <w:p>
      <w:pPr>
        <w:pStyle w:val="TextBody"/>
        <w:spacing w:lineRule="auto" w:line="240" w:before="0" w:after="240"/>
        <w:jc w:val="both"/>
        <w:rPr/>
      </w:pPr>
      <w:r>
        <w:rPr>
          <w:rFonts w:ascii="Times;sans-serif" w:hAnsi="Times;sans-serif"/>
          <w:b/>
          <w:color w:val="000000"/>
          <w:sz w:val="23"/>
        </w:rPr>
        <w:t>18.</w:t>
      </w:r>
      <w:r>
        <w:rPr>
          <w:rFonts w:ascii="Times New Roman;sans-serif" w:hAnsi="Times New Roman;sans-serif"/>
          <w:b/>
          <w:color w:val="000000"/>
          <w:sz w:val="23"/>
          <w:u w:val="single"/>
        </w:rPr>
        <w:t>Adjustment</w:t>
      </w:r>
      <w:r>
        <w:rPr>
          <w:rFonts w:ascii="Times New Roman;sans-serif" w:hAnsi="Times New Roman;sans-serif"/>
          <w:b w:val="false"/>
          <w:color w:val="000000"/>
          <w:sz w:val="23"/>
        </w:rPr>
        <w:t>. In the event of a stock split, a stock dividend or a similar change in Company stock, the number of Shares covered by the RSUs may be adjusted pursuant to the Plan.</w:t>
      </w:r>
    </w:p>
    <w:p>
      <w:pPr>
        <w:pStyle w:val="TextBody"/>
        <w:spacing w:lineRule="auto" w:line="240" w:before="0" w:after="240"/>
        <w:jc w:val="both"/>
        <w:rPr/>
      </w:pPr>
      <w:r>
        <w:rPr>
          <w:rFonts w:ascii="Times;sans-serif" w:hAnsi="Times;sans-serif"/>
          <w:b/>
          <w:color w:val="000000"/>
          <w:sz w:val="23"/>
        </w:rPr>
        <w:t>19.</w:t>
      </w:r>
      <w:r>
        <w:rPr>
          <w:rFonts w:ascii="Times New Roman;sans-serif" w:hAnsi="Times New Roman;sans-serif"/>
          <w:b/>
          <w:color w:val="000000"/>
          <w:sz w:val="23"/>
          <w:u w:val="single"/>
        </w:rPr>
        <w:t>Award Subject to Company Clawback or Recoupment</w:t>
      </w:r>
      <w:r>
        <w:rPr>
          <w:rFonts w:ascii="Times New Roman;sans-serif" w:hAnsi="Times New Roman;sans-serif"/>
          <w:b w:val="false"/>
          <w:color w:val="000000"/>
          <w:sz w:val="23"/>
        </w:rPr>
        <w:t>. To the extent permitted by applicable law, the RSUs shall be subject to clawback or recoupment pursuant to any compensation clawback or recoupment policy adopted by the Board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BY ACCEPTING THIS RSU, YOU HEREBY AGREE TO ALL OF THE TERMS AND CONDITIONS DESCRIBED ABOVE AND IN THE PLAN.</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10.18</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8275"/>
                <wp:effectExtent l="0" t="0" r="0" b="0"/>
                <wp:wrapNone/>
                <wp:docPr id="164" name="Frame136"/>
                <a:graphic xmlns:a="http://schemas.openxmlformats.org/drawingml/2006/main">
                  <a:graphicData uri="http://schemas.microsoft.com/office/word/2010/wordprocessingShape">
                    <wps:wsp>
                      <wps:cNvSpPr txBox="1"/>
                      <wps:spPr>
                        <a:xfrm>
                          <a:off x="0" y="0"/>
                          <a:ext cx="6480175" cy="16827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txbxContent>
                </v:textbox>
              </v:rect>
            </w:pict>
          </mc:Fallback>
        </mc:AlternateConten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NOTICE OF RESTRICTED STOCK UNIT AWARD</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Unless otherwise defined herein, the terms defined in the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2015 Stock Incentive Plan (the “</w:t>
      </w:r>
      <w:r>
        <w:rPr>
          <w:rFonts w:ascii="Times New Roman;sans-serif" w:hAnsi="Times New Roman;sans-serif"/>
          <w:b/>
          <w:i/>
          <w:color w:val="000000"/>
          <w:sz w:val="23"/>
        </w:rPr>
        <w:t>Plan</w:t>
      </w:r>
      <w:r>
        <w:rPr>
          <w:color w:val="000000"/>
        </w:rPr>
        <w:t>”</w:t>
      </w:r>
      <w:r>
        <w:rPr>
          <w:rFonts w:ascii="Times New Roman;sans-serif" w:hAnsi="Times New Roman;sans-serif"/>
          <w:b w:val="false"/>
          <w:color w:val="000000"/>
          <w:sz w:val="23"/>
        </w:rPr>
        <w:t>) shall have the same meanings in this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the attached Restricted Stock Unit Agreement (the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 You have been granted an award of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under the Plan subject to the terms and conditions of the Plan, this Notice and the attached RSU Agreement.</w:t>
      </w:r>
    </w:p>
    <w:tbl>
      <w:tblPr>
        <w:tblW w:w="10205" w:type="dxa"/>
        <w:jc w:val="left"/>
        <w:tblInd w:w="0" w:type="dxa"/>
        <w:tblCellMar>
          <w:top w:w="28" w:type="dxa"/>
          <w:left w:w="28" w:type="dxa"/>
          <w:bottom w:w="28" w:type="dxa"/>
          <w:right w:w="28" w:type="dxa"/>
        </w:tblCellMar>
      </w:tblPr>
      <w:tblGrid>
        <w:gridCol w:w="878"/>
        <w:gridCol w:w="652"/>
        <w:gridCol w:w="659"/>
        <w:gridCol w:w="2346"/>
        <w:gridCol w:w="2346"/>
        <w:gridCol w:w="3324"/>
      </w:tblGrid>
      <w:tr>
        <w:trPr/>
        <w:tc>
          <w:tcPr>
            <w:tcW w:w="87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2346" w:type="dxa"/>
            <w:tcBorders/>
            <w:shd w:fill="auto" w:val="clear"/>
            <w:vAlign w:val="center"/>
          </w:tcPr>
          <w:p>
            <w:pPr>
              <w:pStyle w:val="TableContents"/>
              <w:spacing w:before="0" w:after="283"/>
              <w:rPr>
                <w:sz w:val="4"/>
                <w:szCs w:val="4"/>
              </w:rPr>
            </w:pPr>
            <w:r>
              <w:rPr>
                <w:sz w:val="4"/>
                <w:szCs w:val="4"/>
              </w:rPr>
            </w:r>
          </w:p>
        </w:tc>
        <w:tc>
          <w:tcPr>
            <w:tcW w:w="2346" w:type="dxa"/>
            <w:tcBorders/>
            <w:shd w:fill="auto" w:val="clear"/>
            <w:vAlign w:val="center"/>
          </w:tcPr>
          <w:p>
            <w:pPr>
              <w:pStyle w:val="TableContents"/>
              <w:spacing w:before="0" w:after="283"/>
              <w:rPr>
                <w:sz w:val="4"/>
                <w:szCs w:val="4"/>
              </w:rPr>
            </w:pPr>
            <w:r>
              <w:rPr>
                <w:sz w:val="4"/>
                <w:szCs w:val="4"/>
              </w:rPr>
            </w:r>
          </w:p>
        </w:tc>
        <w:tc>
          <w:tcPr>
            <w:tcW w:w="332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Name</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Target Number of RSUs (100%)</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Date of Grant</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3"/>
              </w:rPr>
            </w:pPr>
            <w:r>
              <w:rPr>
                <w:rFonts w:ascii="Times New Roman;sans-serif" w:hAnsi="Times New Roman;sans-serif"/>
                <w:b/>
                <w:color w:val="000000"/>
                <w:sz w:val="23"/>
              </w:rPr>
              <w:t>Grant Number:</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color w:val="000000"/>
                <w:sz w:val="23"/>
              </w:rPr>
              <w:t>Expiration Date</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color w:val="000000"/>
                <w:sz w:val="23"/>
              </w:rPr>
              <w:t>Vesting Schedule</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The RSUs shall become performance-vested based on</w:t>
            </w:r>
          </w:p>
          <w:p>
            <w:pPr>
              <w:pStyle w:val="TableContents"/>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terms and conditions set forth on Attachment I. </w:t>
            </w:r>
          </w:p>
          <w:p>
            <w:pPr>
              <w:pStyle w:val="TableContents"/>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color w:val="000000"/>
                <w:sz w:val="23"/>
              </w:rPr>
              <w:t>Additional Terms</w:t>
            </w:r>
            <w:r>
              <w:rPr>
                <w:rFonts w:ascii="Times New Roman;sans-serif" w:hAnsi="Times New Roman;sans-serif"/>
                <w:b w:val="false"/>
                <w:color w:val="000000"/>
                <w:sz w:val="23"/>
              </w:rPr>
              <w:t>:</w:t>
            </w:r>
          </w:p>
        </w:tc>
        <w:tc>
          <w:tcPr>
            <w:tcW w:w="8016"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val="false"/>
                <w:color w:val="000000"/>
                <w:sz w:val="23"/>
              </w:rPr>
              <w:t xml:space="preserve">Any additional terms and conditions set forth on </w:t>
            </w:r>
            <w:r>
              <w:rPr>
                <w:rFonts w:ascii="Times New Roman;sans-serif" w:hAnsi="Times New Roman;sans-serif"/>
                <w:b w:val="false"/>
                <w:color w:val="000000"/>
                <w:sz w:val="23"/>
                <w:u w:val="single"/>
              </w:rPr>
              <w:t>Attachment I</w:t>
            </w:r>
            <w:r>
              <w:rPr>
                <w:color w:val="000000"/>
              </w:rPr>
              <w:t xml:space="preserve"> </w:t>
            </w:r>
            <w:r>
              <w:rPr>
                <w:rFonts w:ascii="Times New Roman;sans-serif" w:hAnsi="Times New Roman;sans-serif"/>
                <w:b w:val="false"/>
                <w:color w:val="000000"/>
                <w:sz w:val="23"/>
              </w:rPr>
              <w:t xml:space="preserve">hereto (as executed by the Company) are applicable and are incorporated herein by reference. </w:t>
            </w:r>
          </w:p>
        </w:tc>
      </w:tr>
    </w:tbl>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3"/>
        </w:rPr>
        <w:t xml:space="preserve">You acknowledge that the vesting of the RSUs pursuant to this Notice is earned only by continuing Service and the additional terms and conditions set forth on </w:t>
      </w:r>
      <w:r>
        <w:rPr>
          <w:rFonts w:ascii="Times New Roman;sans-serif" w:hAnsi="Times New Roman;sans-serif"/>
          <w:b w:val="false"/>
          <w:color w:val="000000"/>
          <w:sz w:val="23"/>
          <w:u w:val="single"/>
        </w:rPr>
        <w:t>Attachment I</w:t>
      </w:r>
      <w:r>
        <w:rPr>
          <w:rFonts w:ascii="Times New Roman;sans-serif" w:hAnsi="Times New Roman;sans-serif"/>
          <w:b w:val="false"/>
          <w:color w:val="000000"/>
          <w:sz w:val="23"/>
        </w:rPr>
        <w:t>. By accepting this award, you and the Company agree that this award is granted under and governed by the terms and conditions of the Plan, the Notice and the RSU Agreement. As described in your RSU Agreement, you hereby authorize the Company and/or the Employer to, and the Company and/or the Employer shall, satisfy all withholding and payment obligations of the Company and/or the Employer by withholding Shares that otherwise would be issued to you when your RSUs are settled. You acknowledge and agree that the Vesting Schedule may change prospectively in the event that your Service status changes between full and part-time status in accordance with Company policies relating to work schedules and vesting of awards. You further acknowledge that the grant of this RSU by the Company is at the Company’s sole discretion, and does not entitle you to further grant(s) of RSU(s) or any other award(s) under the Plan or any other plan or program maintained by the Company or any Parent, Subsidiary or Affiliate of the Company. By accepting this RSU, you consent to electronic delivery as set forth in the RSU Agreement.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3"/>
        </w:rPr>
      </w:pPr>
      <w:r>
        <w:rPr>
          <w:rFonts w:ascii="Times New Roman;sans-serif" w:hAnsi="Times New Roman;sans-serif"/>
          <w:b w:val="false"/>
          <w:color w:val="000000"/>
          <w:sz w:val="23"/>
        </w:rPr>
        <w:t>AppFolio, Inc.</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RESTRICTED STOCK UNIT AGREEMENT</w: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2015 STOCK INCENTIVE PLAN</w:t>
      </w:r>
    </w:p>
    <w:p>
      <w:pPr>
        <w:pStyle w:val="TextBody"/>
        <w:spacing w:lineRule="auto" w:line="240" w:before="0" w:after="240"/>
        <w:jc w:val="both"/>
        <w:rPr/>
      </w:pPr>
      <w:r>
        <w:rPr>
          <w:rFonts w:ascii="Times New Roman;sans-serif" w:hAnsi="Times New Roman;sans-serif"/>
          <w:b w:val="false"/>
          <w:color w:val="000000"/>
          <w:sz w:val="23"/>
        </w:rPr>
        <w:t>You have been granted Restricted Stock Units (“</w:t>
      </w:r>
      <w:r>
        <w:rPr>
          <w:rFonts w:ascii="Times New Roman;sans-serif" w:hAnsi="Times New Roman;sans-serif"/>
          <w:b/>
          <w:i/>
          <w:color w:val="000000"/>
          <w:sz w:val="23"/>
        </w:rPr>
        <w:t>RSUs</w:t>
      </w:r>
      <w:r>
        <w:rPr>
          <w:color w:val="000000"/>
        </w:rPr>
        <w:t>”</w:t>
      </w:r>
      <w:r>
        <w:rPr>
          <w:rFonts w:ascii="Times New Roman;sans-serif" w:hAnsi="Times New Roman;sans-serif"/>
          <w:b w:val="false"/>
          <w:color w:val="000000"/>
          <w:sz w:val="23"/>
        </w:rPr>
        <w:t>) by AppFolio, Inc. (the “</w:t>
      </w:r>
      <w:r>
        <w:rPr>
          <w:rFonts w:ascii="Times New Roman;sans-serif" w:hAnsi="Times New Roman;sans-serif"/>
          <w:b/>
          <w:i/>
          <w:color w:val="000000"/>
          <w:sz w:val="23"/>
        </w:rPr>
        <w:t>Company</w:t>
      </w:r>
      <w:r>
        <w:rPr>
          <w:color w:val="000000"/>
        </w:rPr>
        <w:t>”</w:t>
      </w:r>
      <w:r>
        <w:rPr>
          <w:rFonts w:ascii="Times New Roman;sans-serif" w:hAnsi="Times New Roman;sans-serif"/>
          <w:b w:val="false"/>
          <w:color w:val="000000"/>
          <w:sz w:val="23"/>
        </w:rPr>
        <w:t>) subject to the terms, restrictions and conditions of the Plan, the Notice of Restricted Stock Unit Award (the “</w:t>
      </w:r>
      <w:r>
        <w:rPr>
          <w:rFonts w:ascii="Times New Roman;sans-serif" w:hAnsi="Times New Roman;sans-serif"/>
          <w:b/>
          <w:i/>
          <w:color w:val="000000"/>
          <w:sz w:val="23"/>
        </w:rPr>
        <w:t>Notice</w:t>
      </w:r>
      <w:r>
        <w:rPr>
          <w:color w:val="000000"/>
        </w:rPr>
        <w:t>”</w:t>
      </w:r>
      <w:r>
        <w:rPr>
          <w:rFonts w:ascii="Times New Roman;sans-serif" w:hAnsi="Times New Roman;sans-serif"/>
          <w:b w:val="false"/>
          <w:color w:val="000000"/>
          <w:sz w:val="23"/>
        </w:rPr>
        <w:t>) and this Restricted Stock Unit Agreement (this “</w:t>
      </w:r>
      <w:r>
        <w:rPr>
          <w:rFonts w:ascii="Times New Roman;sans-serif" w:hAnsi="Times New Roman;sans-serif"/>
          <w:b/>
          <w:i/>
          <w:color w:val="000000"/>
          <w:sz w:val="23"/>
        </w:rPr>
        <w:t>RSU Agreement</w:t>
      </w:r>
      <w:r>
        <w:rPr>
          <w:color w:val="000000"/>
        </w:rPr>
        <w:t>”</w:t>
      </w:r>
      <w:r>
        <w:rPr>
          <w:rFonts w:ascii="Times New Roman;sans-serif" w:hAnsi="Times New Roman;sans-serif"/>
          <w:b w:val="false"/>
          <w:color w:val="000000"/>
          <w:sz w:val="23"/>
        </w:rPr>
        <w:t>).</w:t>
      </w:r>
    </w:p>
    <w:p>
      <w:pPr>
        <w:pStyle w:val="TextBody"/>
        <w:spacing w:lineRule="auto" w:line="240" w:before="0" w:after="240"/>
        <w:ind w:left="0" w:right="0" w:firstLine="720"/>
        <w:jc w:val="both"/>
        <w:rPr/>
      </w:pPr>
      <w:r>
        <w:rPr>
          <w:rFonts w:ascii="Times New Roman;sans-serif" w:hAnsi="Times New Roman;sans-serif"/>
          <w:b/>
          <w:color w:val="000000"/>
          <w:sz w:val="23"/>
        </w:rPr>
        <w:t>1.</w:t>
      </w:r>
      <w:r>
        <w:rPr>
          <w:rFonts w:ascii="Times New Roman;sans-serif" w:hAnsi="Times New Roman;sans-serif"/>
          <w:b/>
          <w:color w:val="000000"/>
          <w:sz w:val="23"/>
          <w:u w:val="single"/>
        </w:rPr>
        <w:t>Settlement</w:t>
      </w:r>
      <w:r>
        <w:rPr>
          <w:rFonts w:ascii="Times New Roman;sans-serif" w:hAnsi="Times New Roman;sans-serif"/>
          <w:b w:val="false"/>
          <w:color w:val="000000"/>
          <w:sz w:val="23"/>
        </w:rPr>
        <w:t xml:space="preserve">. Settlement of RSUs shall be made in the same calendar year as the applicable date of vesting under the vesting schedule set forth in the Notice; provided, however, that if the vesting date under the vesting schedule set forth in the Notice is in December, then settlement of any RSUs that vest in December shall be no later than March 15 of the year following the year of vesting. Settlement of RSUs shall be in Shares. Settlement means the delivery of the Shares vested under an RSU. No fractional RSUs or rights for fractional Shares shall be created pursuant to this RSU Agreement. </w:t>
      </w:r>
    </w:p>
    <w:p>
      <w:pPr>
        <w:pStyle w:val="TextBody"/>
        <w:spacing w:lineRule="auto" w:line="240" w:before="0" w:after="240"/>
        <w:ind w:left="0" w:right="0" w:firstLine="720"/>
        <w:jc w:val="both"/>
        <w:rPr/>
      </w:pPr>
      <w:r>
        <w:rPr>
          <w:rFonts w:ascii="Times New Roman;sans-serif" w:hAnsi="Times New Roman;sans-serif"/>
          <w:b/>
          <w:color w:val="000000"/>
          <w:sz w:val="23"/>
        </w:rPr>
        <w:t>2.</w:t>
      </w:r>
      <w:r>
        <w:rPr>
          <w:rFonts w:ascii="Times New Roman;sans-serif" w:hAnsi="Times New Roman;sans-serif"/>
          <w:b/>
          <w:color w:val="000000"/>
          <w:sz w:val="23"/>
          <w:u w:val="single"/>
        </w:rPr>
        <w:t>No Stockholder Rights</w:t>
      </w:r>
      <w:r>
        <w:rPr>
          <w:rFonts w:ascii="Times New Roman;sans-serif" w:hAnsi="Times New Roman;sans-serif"/>
          <w:b w:val="false"/>
          <w:color w:val="000000"/>
          <w:sz w:val="23"/>
        </w:rPr>
        <w:t xml:space="preserve">. Unless and until such time as Shares are issued in settlement of vested RSUs, you shall have no ownership of the Shares allocated to the RSUs and shall have no right to dividends or to vote such Shares. </w:t>
      </w:r>
    </w:p>
    <w:p>
      <w:pPr>
        <w:pStyle w:val="TextBody"/>
        <w:spacing w:lineRule="auto" w:line="240" w:before="0" w:after="240"/>
        <w:ind w:left="0" w:right="0" w:firstLine="720"/>
        <w:jc w:val="both"/>
        <w:rPr/>
      </w:pPr>
      <w:r>
        <w:rPr>
          <w:rFonts w:ascii="Times New Roman;sans-serif" w:hAnsi="Times New Roman;sans-serif"/>
          <w:b/>
          <w:color w:val="000000"/>
          <w:sz w:val="23"/>
        </w:rPr>
        <w:t>3.</w:t>
      </w:r>
      <w:r>
        <w:rPr>
          <w:rFonts w:ascii="Times New Roman;sans-serif" w:hAnsi="Times New Roman;sans-serif"/>
          <w:b/>
          <w:color w:val="000000"/>
          <w:sz w:val="23"/>
          <w:u w:val="single"/>
        </w:rPr>
        <w:t>Dividend Equivalents</w:t>
      </w:r>
      <w:r>
        <w:rPr>
          <w:rFonts w:ascii="Times New Roman;sans-serif" w:hAnsi="Times New Roman;sans-serif"/>
          <w:b w:val="false"/>
          <w:color w:val="000000"/>
          <w:sz w:val="23"/>
        </w:rPr>
        <w:t xml:space="preserve">. Dividends, if any (whether in cash or Shares), shall not be credited to you. </w:t>
      </w:r>
    </w:p>
    <w:p>
      <w:pPr>
        <w:pStyle w:val="TextBody"/>
        <w:spacing w:lineRule="auto" w:line="240" w:before="0" w:after="240"/>
        <w:ind w:left="0" w:right="0" w:firstLine="720"/>
        <w:jc w:val="both"/>
        <w:rPr/>
      </w:pPr>
      <w:r>
        <w:rPr>
          <w:rFonts w:ascii="Times New Roman;sans-serif" w:hAnsi="Times New Roman;sans-serif"/>
          <w:b/>
          <w:color w:val="000000"/>
          <w:sz w:val="23"/>
        </w:rPr>
        <w:t>4.</w:t>
      </w:r>
      <w:r>
        <w:rPr>
          <w:rFonts w:ascii="Times New Roman;sans-serif" w:hAnsi="Times New Roman;sans-serif"/>
          <w:b/>
          <w:color w:val="000000"/>
          <w:sz w:val="23"/>
          <w:u w:val="single"/>
        </w:rPr>
        <w:t>No Transfer</w:t>
      </w:r>
      <w:r>
        <w:rPr>
          <w:rFonts w:ascii="Times New Roman;sans-serif" w:hAnsi="Times New Roman;sans-serif"/>
          <w:b w:val="false"/>
          <w:color w:val="000000"/>
          <w:sz w:val="23"/>
        </w:rPr>
        <w:t xml:space="preserve">. RSUs may not be sold, assigned, transferred, pledged, hypothecated, or otherwise disposed of in any manner other than by will or by the laws of descent or distribution or court order or unless otherwise permitted by the Committee on a case-by-case basis. </w:t>
      </w:r>
    </w:p>
    <w:p>
      <w:pPr>
        <w:pStyle w:val="TextBody"/>
        <w:spacing w:lineRule="auto" w:line="240" w:before="0" w:after="240"/>
        <w:ind w:left="0" w:right="0" w:firstLine="720"/>
        <w:jc w:val="both"/>
        <w:rPr/>
      </w:pPr>
      <w:r>
        <w:rPr>
          <w:rFonts w:ascii="Times New Roman;sans-serif" w:hAnsi="Times New Roman;sans-serif"/>
          <w:b/>
          <w:color w:val="000000"/>
          <w:sz w:val="23"/>
        </w:rPr>
        <w:t>5.</w:t>
      </w:r>
      <w:r>
        <w:rPr>
          <w:rFonts w:ascii="Times New Roman;sans-serif" w:hAnsi="Times New Roman;sans-serif"/>
          <w:b/>
          <w:color w:val="000000"/>
          <w:sz w:val="23"/>
          <w:u w:val="single"/>
        </w:rPr>
        <w:t>Termination</w:t>
      </w:r>
      <w:r>
        <w:rPr>
          <w:rFonts w:ascii="Times New Roman;sans-serif" w:hAnsi="Times New Roman;sans-serif"/>
          <w:b w:val="false"/>
          <w:color w:val="000000"/>
          <w:sz w:val="23"/>
        </w:rPr>
        <w:t>. If your Service terminates for any reason, all unvested RSUs shall be automatically forfeited to the Company, and all rights you have to such RSUs shall immediately terminate. In case of any dispute as to whether your termination of Service has occurred, the Committee shall have sole discretion to determine whether such termination has occurred and the effective date of such termination.</w:t>
      </w:r>
    </w:p>
    <w:p>
      <w:pPr>
        <w:pStyle w:val="TextBody"/>
        <w:spacing w:lineRule="auto" w:line="240" w:before="0" w:after="240"/>
        <w:ind w:left="0" w:right="0" w:firstLine="720"/>
        <w:jc w:val="both"/>
        <w:rPr/>
      </w:pPr>
      <w:r>
        <w:rPr>
          <w:rFonts w:ascii="Times New Roman;sans-serif" w:hAnsi="Times New Roman;sans-serif"/>
          <w:b/>
          <w:color w:val="000000"/>
          <w:sz w:val="23"/>
        </w:rPr>
        <w:t>6.</w:t>
      </w:r>
      <w:r>
        <w:rPr>
          <w:rFonts w:ascii="Times New Roman;sans-serif" w:hAnsi="Times New Roman;sans-serif"/>
          <w:b/>
          <w:color w:val="000000"/>
          <w:sz w:val="23"/>
          <w:u w:val="single"/>
        </w:rPr>
        <w:t>Construction</w:t>
      </w:r>
      <w:r>
        <w:rPr>
          <w:rFonts w:ascii="Times New Roman;sans-serif" w:hAnsi="Times New Roman;sans-serif"/>
          <w:b w:val="false"/>
          <w:color w:val="000000"/>
          <w:sz w:val="23"/>
        </w:rPr>
        <w:t xml:space="preserve">. This RSU Agreement is the result of negotiations between and has been reviewed by each of the parties hereto and their respective counsel, if any; accordingly, this RSU Agreement shall be deemed to be the product of all of the parties hereto, and no ambiguity shall be construed in favor of or against any one of the parties hereto. </w:t>
      </w:r>
    </w:p>
    <w:p>
      <w:pPr>
        <w:pStyle w:val="TextBody"/>
        <w:spacing w:lineRule="auto" w:line="240" w:before="0" w:after="240"/>
        <w:ind w:left="0" w:right="0" w:firstLine="720"/>
        <w:jc w:val="both"/>
        <w:rPr/>
      </w:pPr>
      <w:r>
        <w:rPr>
          <w:rFonts w:ascii="Times New Roman;sans-serif" w:hAnsi="Times New Roman;sans-serif"/>
          <w:b/>
          <w:color w:val="000000"/>
          <w:sz w:val="23"/>
        </w:rPr>
        <w:t>7.</w:t>
      </w:r>
      <w:r>
        <w:rPr>
          <w:rFonts w:ascii="Times New Roman;sans-serif" w:hAnsi="Times New Roman;sans-serif"/>
          <w:b/>
          <w:color w:val="000000"/>
          <w:sz w:val="23"/>
          <w:u w:val="single"/>
        </w:rPr>
        <w:t>Notices</w:t>
      </w:r>
      <w:r>
        <w:rPr>
          <w:rFonts w:ascii="Times New Roman;sans-serif" w:hAnsi="Times New Roman;sans-serif"/>
          <w:b w:val="false"/>
          <w:color w:val="000000"/>
          <w:sz w:val="23"/>
        </w:rPr>
        <w:t xml:space="preserve">. Any notice to be given under the terms of the Plan shall be addressed to the Company in care of its principal office, and any notice to be given to you shall be addressed to you at the address maintained by the Company for such person or at such other address as you may specify in writing to the Company. </w:t>
      </w:r>
    </w:p>
    <w:p>
      <w:pPr>
        <w:pStyle w:val="TextBody"/>
        <w:spacing w:lineRule="auto" w:line="240" w:before="0" w:after="240"/>
        <w:ind w:left="0" w:right="0" w:firstLine="720"/>
        <w:jc w:val="both"/>
        <w:rPr/>
      </w:pPr>
      <w:r>
        <w:rPr>
          <w:rFonts w:ascii="Times New Roman;sans-serif" w:hAnsi="Times New Roman;sans-serif"/>
          <w:b/>
          <w:color w:val="000000"/>
          <w:sz w:val="23"/>
        </w:rPr>
        <w:t>8.</w:t>
      </w:r>
      <w:r>
        <w:rPr>
          <w:rFonts w:ascii="Times New Roman;sans-serif" w:hAnsi="Times New Roman;sans-serif"/>
          <w:b/>
          <w:color w:val="000000"/>
          <w:sz w:val="23"/>
          <w:u w:val="single"/>
        </w:rPr>
        <w:t>Counterparts</w:t>
      </w:r>
      <w:r>
        <w:rPr>
          <w:rFonts w:ascii="Times New Roman;sans-serif" w:hAnsi="Times New Roman;sans-serif"/>
          <w:b w:val="false"/>
          <w:color w:val="000000"/>
          <w:sz w:val="23"/>
        </w:rPr>
        <w:t xml:space="preserve">. This RSU Agreement may be executed in two or more counterparts, each of which shall he deemed an original and all of which together shall constitute one instrument. </w:t>
      </w:r>
    </w:p>
    <w:p>
      <w:pPr>
        <w:pStyle w:val="TextBody"/>
        <w:spacing w:lineRule="auto" w:line="240" w:before="0" w:after="240"/>
        <w:ind w:left="0" w:right="0" w:firstLine="720"/>
        <w:jc w:val="both"/>
        <w:rPr/>
      </w:pPr>
      <w:r>
        <w:rPr>
          <w:rFonts w:ascii="Times New Roman;sans-serif" w:hAnsi="Times New Roman;sans-serif"/>
          <w:b/>
          <w:color w:val="000000"/>
          <w:sz w:val="23"/>
        </w:rPr>
        <w:t>9.</w:t>
      </w:r>
      <w:r>
        <w:rPr>
          <w:rFonts w:ascii="Times New Roman;sans-serif" w:hAnsi="Times New Roman;sans-serif"/>
          <w:b/>
          <w:color w:val="000000"/>
          <w:sz w:val="23"/>
          <w:u w:val="single"/>
        </w:rPr>
        <w:t>Tax Consequences</w:t>
      </w:r>
      <w:r>
        <w:rPr>
          <w:rFonts w:ascii="Times New Roman;sans-serif" w:hAnsi="Times New Roman;sans-serif"/>
          <w:b w:val="false"/>
          <w:color w:val="000000"/>
          <w:sz w:val="23"/>
        </w:rPr>
        <w:t xml:space="preserve">. You acknowledge that you will recognize tax consequences in connection with the RSUs. You should consult a tax adviser regarding your tax obligations in the jurisdiction where you are subject to tax. </w:t>
      </w:r>
    </w:p>
    <w:p>
      <w:pPr>
        <w:pStyle w:val="TextBody"/>
        <w:spacing w:lineRule="auto" w:line="240" w:before="0" w:after="240"/>
        <w:ind w:left="0" w:right="0" w:firstLine="720"/>
        <w:jc w:val="both"/>
        <w:rPr/>
      </w:pPr>
      <w:r>
        <w:rPr>
          <w:rFonts w:ascii="Times New Roman;sans-serif" w:hAnsi="Times New Roman;sans-serif"/>
          <w:b/>
          <w:color w:val="000000"/>
          <w:sz w:val="23"/>
        </w:rPr>
        <w:t>10.</w:t>
      </w:r>
      <w:r>
        <w:rPr>
          <w:rFonts w:ascii="Times New Roman;sans-serif" w:hAnsi="Times New Roman;sans-serif"/>
          <w:b/>
          <w:color w:val="000000"/>
          <w:sz w:val="23"/>
          <w:u w:val="single"/>
        </w:rPr>
        <w:t>Withholding Taxes and Stock Withholding</w:t>
      </w:r>
      <w:r>
        <w:rPr>
          <w:rFonts w:ascii="Times New Roman;sans-serif" w:hAnsi="Times New Roman;sans-serif"/>
          <w:b w:val="false"/>
          <w:color w:val="000000"/>
          <w:sz w:val="23"/>
        </w:rPr>
        <w:t>. Regardless of any action the Company or your actual employer (the “</w:t>
      </w:r>
      <w:r>
        <w:rPr>
          <w:rFonts w:ascii="Times New Roman;sans-serif" w:hAnsi="Times New Roman;sans-serif"/>
          <w:b/>
          <w:i/>
          <w:color w:val="000000"/>
          <w:sz w:val="23"/>
        </w:rPr>
        <w:t>Employer</w:t>
      </w:r>
      <w:r>
        <w:rPr>
          <w:color w:val="000000"/>
        </w:rPr>
        <w:t>”</w:t>
      </w:r>
      <w:r>
        <w:rPr>
          <w:rFonts w:ascii="Times New Roman;sans-serif" w:hAnsi="Times New Roman;sans-serif"/>
          <w:b w:val="false"/>
          <w:color w:val="000000"/>
          <w:sz w:val="23"/>
        </w:rPr>
        <w:t xml:space="preserve">) takes with respect to any or all income tax, </w:t>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3"/>
        </w:rPr>
        <w:t>social insurance, payroll tax, payment on account or other tax-related withholding (“</w:t>
      </w:r>
      <w:r>
        <w:rPr>
          <w:rFonts w:ascii="Times New Roman;sans-serif" w:hAnsi="Times New Roman;sans-serif"/>
          <w:b/>
          <w:i/>
          <w:color w:val="000000"/>
          <w:sz w:val="23"/>
        </w:rPr>
        <w:t>Tax-Related Items</w:t>
      </w:r>
      <w:r>
        <w:rPr>
          <w:color w:val="000000"/>
        </w:rPr>
        <w:t>”</w:t>
      </w:r>
      <w:r>
        <w:rPr>
          <w:rFonts w:ascii="Times New Roman;sans-serif" w:hAnsi="Times New Roman;sans-serif"/>
          <w:b w:val="false"/>
          <w:color w:val="000000"/>
          <w:sz w:val="23"/>
        </w:rPr>
        <w:t xml:space="preserve">), you acknowledge that the ultimate liability for all Tax-Related Items legally due by you is and remains your responsibility and that the Company and/or the Employer (a) make no representations or undertakings regarding the treatment of any Tax-Related Items in connection with any aspect of the award, including the grant, vesting or settlement of the RSUs, the subsequent sale of Shares acquired pursuant to such settlement and the receipt of any dividends, and (b) do not commit to structure the terms of the award or any aspect of the RSUs to reduce or eliminate your liability for Tax-Related Items. You acknowledge that if you are subject to Tax-Related Items in more than one jurisdiction, the Company and/or the Employer may be required to withhold or account for Tax-Related Items in more than one jurisdiction. </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You hereby authorize the Company and/or the Employer to, and the Company and/or the Employer shall, satisfy all withholding and payment obligations of the Company and/or the Employer by withholding Shares that otherwise would be issued to you when your RSUs are settled. The Fair Market Value of the withheld Shares will be determined as of the effective date when taxes otherwise would have been withheld in cash. In the event the withholding amount is not satisfied in full by an even number of Shares, the number of withheld Shares will be rounded up to the nearest whole number of Share, and the excess withholding amount will be applied to your federal income tax withholdings. You shall pay to the Company or the Employer any amount of Tax-Related Items that the Company or the Employer may be required to withhold as a result of your participation in the Plan or your purchase of Shares that cannot be satisfied by the means previously described. Finally, you acknowledge that the Company has no obligation to deliver Shares to you until the withholding and payment obligations have been satisfied in connection with the Tax-Related Items as described in this Section.</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u w:val="single"/>
        </w:rPr>
        <w:t>Acknowledgement</w:t>
      </w:r>
      <w:r>
        <w:rPr>
          <w:rFonts w:ascii="Times New Roman;sans-serif" w:hAnsi="Times New Roman;sans-serif"/>
          <w:b w:val="false"/>
          <w:color w:val="000000"/>
          <w:sz w:val="23"/>
        </w:rPr>
        <w:t>. The Company and you agree that the RSUs are granted under and governed by the Notice, this RSU Agreement and the provisions of the Plan (incorporated herein by reference). You: (a) acknowledge receipt of a copy of the Plan and the Plan prospectus; (b) represent that you have carefully read and are familiar with their provisions; and (c) hereby accept the RSUs subject to all of the terms and conditions set forth herein and those set forth in the Plan and the Notice. You hereby agree to accept as binding, conclusive and final all decisions or interpretations of the Committee upon any questions relating to the Plan, the Notice and this RSU Agreement.</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u w:val="single"/>
        </w:rPr>
        <w:t>Entire Agreement; Enforcement of Rights</w:t>
      </w:r>
      <w:r>
        <w:rPr>
          <w:rFonts w:ascii="Times New Roman;sans-serif" w:hAnsi="Times New Roman;sans-serif"/>
          <w:b w:val="false"/>
          <w:color w:val="000000"/>
          <w:sz w:val="23"/>
        </w:rPr>
        <w:t xml:space="preserve">. This RSU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 </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u w:val="single"/>
        </w:rPr>
        <w:t>Compliance with Laws and Regulations</w:t>
      </w:r>
      <w:r>
        <w:rPr>
          <w:rFonts w:ascii="Times New Roman;sans-serif" w:hAnsi="Times New Roman;sans-serif"/>
          <w:b w:val="false"/>
          <w:color w:val="000000"/>
          <w:sz w:val="23"/>
        </w:rPr>
        <w:t xml:space="preserve">. The issuance of Shares will be subject to and conditioned upon compliance by the Company and you with all applicable state, federal and foreign laws and regulations and with all applicable requirements of any stock exchange or automated quotation system on which the Company’s Class A Common Stock may be listed or quoted at the time of such issuance or transfer. The Shares issued pursuant to this RSU Agreement shall be endorsed with appropriate legends, if any, determined by the Company. </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u w:val="single"/>
        </w:rPr>
        <w:t>Governing Law; Severability</w:t>
      </w:r>
      <w:r>
        <w:rPr>
          <w:rFonts w:ascii="Times New Roman;sans-serif" w:hAnsi="Times New Roman;sans-serif"/>
          <w:b w:val="false"/>
          <w:color w:val="000000"/>
          <w:sz w:val="23"/>
        </w:rPr>
        <w:t xml:space="preserve">. If one or more provisions of this RSU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RSU Agreement, (b) the balance of this RSU Agreement shall be interpreted as if such provision were so excluded and (c) the balance of this RSU Agreement shall be enforceable in accordance with its terms. This RSU Agreement and </w:t>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Santa Barbara County or the federal courts of the United States for the Central District of California and no other courts. </w:t>
      </w:r>
    </w:p>
    <w:p>
      <w:pPr>
        <w:pStyle w:val="TextBody"/>
        <w:spacing w:lineRule="auto" w:line="240" w:before="0" w:after="240"/>
        <w:ind w:left="0" w:right="0" w:firstLine="720"/>
        <w:jc w:val="both"/>
        <w:rPr/>
      </w:pPr>
      <w:r>
        <w:rPr>
          <w:rFonts w:ascii="Times New Roman;sans-serif" w:hAnsi="Times New Roman;sans-serif"/>
          <w:b/>
          <w:color w:val="000000"/>
          <w:sz w:val="23"/>
        </w:rPr>
        <w:t>15.</w:t>
      </w:r>
      <w:r>
        <w:rPr>
          <w:rFonts w:ascii="Times New Roman;sans-serif" w:hAnsi="Times New Roman;sans-serif"/>
          <w:b/>
          <w:color w:val="000000"/>
          <w:sz w:val="23"/>
          <w:u w:val="single"/>
        </w:rPr>
        <w:t>No Rights as Employee, Director or Consultant</w:t>
      </w:r>
      <w:r>
        <w:rPr>
          <w:rFonts w:ascii="Times New Roman;sans-serif" w:hAnsi="Times New Roman;sans-serif"/>
          <w:b w:val="false"/>
          <w:color w:val="000000"/>
          <w:sz w:val="23"/>
        </w:rPr>
        <w:t xml:space="preserve">. Nothing in this RSU Agreement shall affect in any manner whatsoever the right or power of the Company, or a Parent, Subsidiary or Affiliate of the Company, to terminate your Service, for any reason, with or without Cause. </w:t>
      </w:r>
    </w:p>
    <w:p>
      <w:pPr>
        <w:pStyle w:val="TextBody"/>
        <w:spacing w:lineRule="auto" w:line="240" w:before="0" w:after="240"/>
        <w:ind w:left="0" w:right="0" w:firstLine="720"/>
        <w:jc w:val="both"/>
        <w:rPr/>
      </w:pPr>
      <w:r>
        <w:rPr>
          <w:rFonts w:ascii="Times New Roman;sans-serif" w:hAnsi="Times New Roman;sans-serif"/>
          <w:b/>
          <w:color w:val="000000"/>
          <w:sz w:val="23"/>
        </w:rPr>
        <w:t>16.</w:t>
      </w:r>
      <w:r>
        <w:rPr>
          <w:rFonts w:ascii="Times New Roman;sans-serif" w:hAnsi="Times New Roman;sans-serif"/>
          <w:b/>
          <w:color w:val="000000"/>
          <w:sz w:val="23"/>
          <w:u w:val="single"/>
        </w:rPr>
        <w:t>Consent to Electronic Delivery of All Plan Documents and Disclosures</w:t>
      </w:r>
      <w:r>
        <w:rPr>
          <w:rFonts w:ascii="Times New Roman;sans-serif" w:hAnsi="Times New Roman;sans-serif"/>
          <w:b w:val="false"/>
          <w:color w:val="000000"/>
          <w:sz w:val="23"/>
        </w:rPr>
        <w:t xml:space="preserve">. You hereby consent to the electronic delivery of the Notice, this RSU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stock@appfolio.com.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stock@appfolio.com. Finally, you understand that you are not required to consent to electronic delivery. </w:t>
      </w:r>
    </w:p>
    <w:p>
      <w:pPr>
        <w:pStyle w:val="TextBody"/>
        <w:spacing w:lineRule="auto" w:line="240" w:before="0" w:after="240"/>
        <w:ind w:left="0" w:right="0" w:firstLine="720"/>
        <w:jc w:val="both"/>
        <w:rPr/>
      </w:pPr>
      <w:r>
        <w:rPr>
          <w:rFonts w:ascii="Times New Roman;sans-serif" w:hAnsi="Times New Roman;sans-serif"/>
          <w:b/>
          <w:color w:val="000000"/>
          <w:sz w:val="23"/>
        </w:rPr>
        <w:t>17.</w:t>
      </w:r>
      <w:r>
        <w:rPr>
          <w:rFonts w:ascii="Times New Roman;sans-serif" w:hAnsi="Times New Roman;sans-serif"/>
          <w:b/>
          <w:color w:val="000000"/>
          <w:sz w:val="23"/>
          <w:u w:val="single"/>
        </w:rPr>
        <w:t>Code Section 409A</w:t>
      </w:r>
      <w:r>
        <w:rPr>
          <w:rFonts w:ascii="Times New Roman;sans-serif" w:hAnsi="Times New Roman;sans-serif"/>
          <w:b w:val="false"/>
          <w:color w:val="000000"/>
          <w:sz w:val="23"/>
        </w:rPr>
        <w:t>. For purposes of this RSU Agreement, a termination of employment will be determined consistent with the rules relating to a “separation from service” as defined in Section 409A of the Internal Revenue Code and the regulations thereunder (“</w:t>
      </w:r>
      <w:r>
        <w:rPr>
          <w:rFonts w:ascii="Times New Roman;sans-serif" w:hAnsi="Times New Roman;sans-serif"/>
          <w:b/>
          <w:i/>
          <w:color w:val="000000"/>
          <w:sz w:val="23"/>
        </w:rPr>
        <w:t>Section 409A</w:t>
      </w:r>
      <w:r>
        <w:rPr>
          <w:color w:val="000000"/>
        </w:rPr>
        <w:t>”</w:t>
      </w:r>
      <w:r>
        <w:rPr>
          <w:rFonts w:ascii="Times New Roman;sans-serif" w:hAnsi="Times New Roman;sans-serif"/>
          <w:b w:val="false"/>
          <w:color w:val="000000"/>
          <w:sz w:val="23"/>
        </w:rPr>
        <w:t xml:space="preserve">).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(a) the expiration of the six-month period measured from your separation from service or (b)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RSU Agreement are intended to constitute separate payments for purposes of Section 1.409A-2(b)(2) of the Treasury Regulations. </w:t>
      </w:r>
    </w:p>
    <w:p>
      <w:pPr>
        <w:pStyle w:val="TextBody"/>
        <w:spacing w:lineRule="auto" w:line="240" w:before="0" w:after="240"/>
        <w:ind w:left="0" w:right="0" w:firstLine="720"/>
        <w:jc w:val="both"/>
        <w:rPr/>
      </w:pPr>
      <w:r>
        <w:rPr>
          <w:rFonts w:ascii="Times New Roman;sans-serif" w:hAnsi="Times New Roman;sans-serif"/>
          <w:b/>
          <w:color w:val="000000"/>
          <w:sz w:val="23"/>
        </w:rPr>
        <w:t>18.</w:t>
      </w:r>
      <w:r>
        <w:rPr>
          <w:rFonts w:ascii="Times New Roman;sans-serif" w:hAnsi="Times New Roman;sans-serif"/>
          <w:b/>
          <w:color w:val="000000"/>
          <w:sz w:val="23"/>
          <w:u w:val="single"/>
        </w:rPr>
        <w:t>Adjustment</w:t>
      </w:r>
      <w:r>
        <w:rPr>
          <w:rFonts w:ascii="Times New Roman;sans-serif" w:hAnsi="Times New Roman;sans-serif"/>
          <w:b w:val="false"/>
          <w:color w:val="000000"/>
          <w:sz w:val="23"/>
        </w:rPr>
        <w:t xml:space="preserve">. In the event of a stock split, a stock dividend or a similar change in Company stock, the number of Shares covered by the RSUs may be adjusted pursuant to the Plan. </w:t>
      </w:r>
    </w:p>
    <w:p>
      <w:pPr>
        <w:pStyle w:val="TextBody"/>
        <w:spacing w:lineRule="auto" w:line="240" w:before="0" w:after="240"/>
        <w:ind w:left="0" w:right="0" w:firstLine="720"/>
        <w:jc w:val="both"/>
        <w:rPr/>
      </w:pPr>
      <w:r>
        <w:rPr>
          <w:rFonts w:ascii="Times New Roman;sans-serif" w:hAnsi="Times New Roman;sans-serif"/>
          <w:b/>
          <w:color w:val="000000"/>
          <w:sz w:val="23"/>
        </w:rPr>
        <w:t>19.</w:t>
      </w:r>
      <w:r>
        <w:rPr>
          <w:rFonts w:ascii="Times New Roman;sans-serif" w:hAnsi="Times New Roman;sans-serif"/>
          <w:b/>
          <w:color w:val="000000"/>
          <w:sz w:val="23"/>
          <w:u w:val="single"/>
        </w:rPr>
        <w:t>Award Subject to Company Clawback or Recoupment.</w:t>
      </w:r>
      <w:r>
        <w:rPr>
          <w:color w:val="000000"/>
        </w:rPr>
        <w:t xml:space="preserve"> </w:t>
      </w:r>
      <w:r>
        <w:rPr>
          <w:rFonts w:ascii="Times New Roman;sans-serif" w:hAnsi="Times New Roman;sans-serif"/>
          <w:b w:val="false"/>
          <w:color w:val="000000"/>
          <w:sz w:val="23"/>
        </w:rPr>
        <w:t xml:space="preserve">To the extent permitted by applicable law, the RSUs shall be subject to clawback or recoupment pursuant to any compensation clawback or recoupment policy adopted by the Board or required by law during the </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BY ACCEPTING THIS RSU, YOU HEREBY AGREE TO ALL OF THE TERMS AND CONDITIONS DESCRIBED ABOVE AND IN THE PLAN.</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3"/>
        </w:rPr>
      </w:pPr>
      <w:r>
        <w:rPr>
          <w:rFonts w:ascii="Times New Roman;sans-serif" w:hAnsi="Times New Roman;sans-serif"/>
          <w:b/>
          <w:color w:val="000000"/>
          <w:sz w:val="23"/>
        </w:rPr>
        <w:t>E</w:t>
      </w:r>
      <w:r>
        <w:rPr>
          <w:rFonts w:ascii="Times New Roman;sans-serif" w:hAnsi="Times New Roman;sans-serif"/>
          <w:b/>
          <w:color w:val="000000"/>
          <w:sz w:val="23"/>
        </w:rPr>
        <w:t>XHIBIT 10.19</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NONEMPLOYEE DIRECTOR DEFERRED COMPENSATION PLAN</w:t>
      </w:r>
    </w:p>
    <w:p>
      <w:pPr>
        <w:pStyle w:val="TextBody"/>
        <w:spacing w:before="0" w:after="0"/>
        <w:jc w:val="center"/>
        <w:rPr/>
      </w:pPr>
      <w:r>
        <w:rPr/>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As adopted by the Board of Directors on August 12, 2021</w:t>
      </w:r>
    </w:p>
    <w:p>
      <w:pPr>
        <w:pStyle w:val="TextBody"/>
        <w:spacing w:lineRule="auto" w:line="240"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3"/>
        </w:rPr>
        <w:br/>
        <w:br/>
        <w:t>PURPOSES OF THE PLAN</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Purposes.</w:t>
      </w:r>
      <w:r>
        <w:rPr>
          <w:color w:val="000000"/>
        </w:rPr>
        <w:t xml:space="preserve"> </w:t>
      </w:r>
      <w:r>
        <w:rPr>
          <w:rFonts w:ascii="Times New Roman;sans-serif" w:hAnsi="Times New Roman;sans-serif"/>
          <w:b w:val="false"/>
          <w:color w:val="000000"/>
          <w:sz w:val="23"/>
        </w:rPr>
        <w:t>The purpose of the Plan is to enhance the Company’s ability to attract and retain the services of highly qualified Nonemployee Directors of the Company and to relate the Nonemployee Directors’ interests more closely to the Company’s performance and the Company’s stockholders’ interests. The Plan is designed to permit Participants to defer all or a portion of their Compensation, until a Corporate Transaction of the Company, the termination of the Plan, a date specified by a Participant, the occurrence of an Unforeseeable Emergency, or a Participant’s death, Disability or Separation from Service. In addition, Participants may elect to have all or a portion of their deferred Cash Compensation converted into Restricted Stock Units.</w:t>
      </w:r>
    </w:p>
    <w:p>
      <w:pPr>
        <w:pStyle w:val="TextBody"/>
        <w:spacing w:lineRule="auto" w:line="240" w:before="0" w:after="240"/>
        <w:jc w:val="center"/>
        <w:rPr/>
      </w:pPr>
      <w:r>
        <w:rPr>
          <w:rFonts w:ascii="Times New Roman;sans-serif" w:hAnsi="Times New Roman;sans-serif"/>
          <w:b/>
          <w:color w:val="000000"/>
          <w:sz w:val="24"/>
        </w:rPr>
        <w:t>ARTICLE 2.</w:t>
      </w:r>
      <w:r>
        <w:rPr>
          <w:rFonts w:ascii="Times New Roman;sans-serif" w:hAnsi="Times New Roman;sans-serif"/>
          <w:b/>
          <w:color w:val="000000"/>
          <w:sz w:val="23"/>
        </w:rPr>
        <w:br/>
        <w:br/>
        <w:t>DEFINITIONS</w:t>
      </w:r>
    </w:p>
    <w:p>
      <w:pPr>
        <w:pStyle w:val="TextBody"/>
        <w:spacing w:lineRule="auto" w:line="240"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For purposes of this Plan, terms not otherwise defined herein shall have the meanings indicated below:</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2015 Stock Incentive Plan.</w:t>
      </w:r>
      <w:r>
        <w:rPr>
          <w:color w:val="000000"/>
        </w:rPr>
        <w:t xml:space="preserve"> “</w:t>
      </w:r>
      <w:r>
        <w:rPr>
          <w:rFonts w:ascii="Times New Roman;sans-serif" w:hAnsi="Times New Roman;sans-serif"/>
          <w:b w:val="false"/>
          <w:color w:val="000000"/>
          <w:sz w:val="23"/>
        </w:rPr>
        <w:t>2015 Stock Incentive Plan” means the Company’s 2015 Stock Incentive Plan.</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Administrator.</w:t>
      </w:r>
      <w:r>
        <w:rPr>
          <w:color w:val="000000"/>
        </w:rPr>
        <w:t xml:space="preserve"> “</w:t>
      </w:r>
      <w:r>
        <w:rPr>
          <w:rFonts w:ascii="Times New Roman;sans-serif" w:hAnsi="Times New Roman;sans-serif"/>
          <w:b w:val="false"/>
          <w:color w:val="000000"/>
          <w:sz w:val="23"/>
        </w:rPr>
        <w:t>Administrator” means the Compensation Committee, unless otherwise determined by the Board.</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Accounts.</w:t>
      </w:r>
      <w:r>
        <w:rPr>
          <w:color w:val="000000"/>
        </w:rPr>
        <w:t xml:space="preserve"> “</w:t>
      </w:r>
      <w:r>
        <w:rPr>
          <w:rFonts w:ascii="Times New Roman;sans-serif" w:hAnsi="Times New Roman;sans-serif"/>
          <w:b w:val="false"/>
          <w:color w:val="000000"/>
          <w:sz w:val="23"/>
        </w:rPr>
        <w:t>Accounts” mean, collectively, a Participant’s Cash Deferred Account, Stock Deferred Account, and Restricted Stock Unit Account under the Plan. Each Account shall be maintained solely as a bookkeeping entry by the Company to evidence an unfunded obligation of the Company.</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rPr>
        <w:t>Account List.</w:t>
      </w:r>
      <w:r>
        <w:rPr>
          <w:color w:val="000000"/>
        </w:rPr>
        <w:t xml:space="preserve"> “</w:t>
      </w:r>
      <w:r>
        <w:rPr>
          <w:rFonts w:ascii="Times New Roman;sans-serif" w:hAnsi="Times New Roman;sans-serif"/>
          <w:b w:val="false"/>
          <w:color w:val="000000"/>
          <w:sz w:val="23"/>
        </w:rPr>
        <w:t>Account List” means the list referenced in Section 4.2.</w:t>
      </w:r>
    </w:p>
    <w:p>
      <w:pPr>
        <w:pStyle w:val="TextBody"/>
        <w:spacing w:lineRule="auto" w:line="240" w:before="0" w:after="240"/>
        <w:ind w:left="0" w:right="0" w:firstLine="720"/>
        <w:jc w:val="both"/>
        <w:rPr/>
      </w:pPr>
      <w:r>
        <w:rPr>
          <w:rFonts w:ascii="Times New Roman;sans-serif" w:hAnsi="Times New Roman;sans-serif"/>
          <w:b/>
          <w:color w:val="000000"/>
          <w:sz w:val="23"/>
        </w:rPr>
        <w:t>1.5</w:t>
      </w:r>
      <w:r>
        <w:rPr>
          <w:rFonts w:ascii="Times New Roman;sans-serif" w:hAnsi="Times New Roman;sans-serif"/>
          <w:b/>
          <w:color w:val="000000"/>
          <w:sz w:val="23"/>
        </w:rPr>
        <w:t>Annual Fee.</w:t>
      </w:r>
      <w:r>
        <w:rPr>
          <w:color w:val="000000"/>
        </w:rPr>
        <w:t xml:space="preserve"> “</w:t>
      </w:r>
      <w:r>
        <w:rPr>
          <w:rFonts w:ascii="Times New Roman;sans-serif" w:hAnsi="Times New Roman;sans-serif"/>
          <w:b w:val="false"/>
          <w:color w:val="000000"/>
          <w:sz w:val="23"/>
        </w:rPr>
        <w:t>Annual Fee” means the cash portion of any annual fee to which a Participant is entitled under the Company’s director compensation policy, as may be amended from time to time.</w:t>
      </w:r>
    </w:p>
    <w:p>
      <w:pPr>
        <w:pStyle w:val="TextBody"/>
        <w:spacing w:lineRule="auto" w:line="240" w:before="0" w:after="240"/>
        <w:ind w:left="0" w:right="0" w:firstLine="720"/>
        <w:jc w:val="both"/>
        <w:rPr/>
      </w:pPr>
      <w:r>
        <w:rPr>
          <w:rFonts w:ascii="Times New Roman;sans-serif" w:hAnsi="Times New Roman;sans-serif"/>
          <w:b/>
          <w:color w:val="000000"/>
          <w:sz w:val="23"/>
        </w:rPr>
        <w:t>1.6</w:t>
      </w:r>
      <w:r>
        <w:rPr>
          <w:rFonts w:ascii="Times New Roman;sans-serif" w:hAnsi="Times New Roman;sans-serif"/>
          <w:b/>
          <w:color w:val="000000"/>
          <w:sz w:val="23"/>
        </w:rPr>
        <w:t>Beneficiary.</w:t>
      </w:r>
      <w:r>
        <w:rPr>
          <w:color w:val="000000"/>
        </w:rPr>
        <w:t xml:space="preserve"> “</w:t>
      </w:r>
      <w:r>
        <w:rPr>
          <w:rFonts w:ascii="Times New Roman;sans-serif" w:hAnsi="Times New Roman;sans-serif"/>
          <w:b w:val="false"/>
          <w:color w:val="000000"/>
          <w:sz w:val="23"/>
        </w:rPr>
        <w:t>Beneficiary” means any person, estate, trust, or organization entitled to receive any payment under the Plan upon the death of a Participant pursuant to Section 5.4.</w:t>
      </w:r>
    </w:p>
    <w:p>
      <w:pPr>
        <w:pStyle w:val="TextBody"/>
        <w:spacing w:lineRule="auto" w:line="240" w:before="0" w:after="240"/>
        <w:ind w:left="0" w:right="0" w:firstLine="720"/>
        <w:jc w:val="both"/>
        <w:rPr/>
      </w:pPr>
      <w:r>
        <w:rPr>
          <w:rFonts w:ascii="Times New Roman;sans-serif" w:hAnsi="Times New Roman;sans-serif"/>
          <w:b/>
          <w:color w:val="000000"/>
          <w:sz w:val="23"/>
        </w:rPr>
        <w:t>1.7</w:t>
      </w:r>
      <w:r>
        <w:rPr>
          <w:rFonts w:ascii="Times New Roman;sans-serif" w:hAnsi="Times New Roman;sans-serif"/>
          <w:b/>
          <w:color w:val="000000"/>
          <w:sz w:val="23"/>
        </w:rPr>
        <w:t>Board.</w:t>
      </w:r>
      <w:r>
        <w:rPr>
          <w:color w:val="000000"/>
        </w:rPr>
        <w:t xml:space="preserve"> “</w:t>
      </w:r>
      <w:r>
        <w:rPr>
          <w:rFonts w:ascii="Times New Roman;sans-serif" w:hAnsi="Times New Roman;sans-serif"/>
          <w:b w:val="false"/>
          <w:color w:val="000000"/>
          <w:sz w:val="23"/>
        </w:rPr>
        <w:t>Board” means the Board of Directors of the Company.</w:t>
      </w:r>
    </w:p>
    <w:p>
      <w:pPr>
        <w:pStyle w:val="TextBody"/>
        <w:spacing w:lineRule="auto" w:line="240" w:before="0" w:after="240"/>
        <w:ind w:left="0" w:right="0" w:firstLine="720"/>
        <w:jc w:val="both"/>
        <w:rPr/>
      </w:pPr>
      <w:r>
        <w:rPr>
          <w:rFonts w:ascii="Times New Roman;sans-serif" w:hAnsi="Times New Roman;sans-serif"/>
          <w:b/>
          <w:color w:val="000000"/>
          <w:sz w:val="23"/>
        </w:rPr>
        <w:t>1.8</w:t>
      </w:r>
      <w:r>
        <w:rPr>
          <w:rFonts w:ascii="Times New Roman;sans-serif" w:hAnsi="Times New Roman;sans-serif"/>
          <w:b/>
          <w:color w:val="000000"/>
          <w:sz w:val="23"/>
        </w:rPr>
        <w:t>Cash Compensation.</w:t>
      </w:r>
      <w:r>
        <w:rPr>
          <w:color w:val="000000"/>
        </w:rPr>
        <w:t xml:space="preserve"> “</w:t>
      </w:r>
      <w:r>
        <w:rPr>
          <w:rFonts w:ascii="Times New Roman;sans-serif" w:hAnsi="Times New Roman;sans-serif"/>
          <w:b w:val="false"/>
          <w:color w:val="000000"/>
          <w:sz w:val="23"/>
        </w:rPr>
        <w:t>Cash Compensation” means Annual Fees and the cash portion of any Stock Incentives.</w:t>
      </w:r>
    </w:p>
    <w:p>
      <w:pPr>
        <w:pStyle w:val="TextBody"/>
        <w:spacing w:lineRule="auto" w:line="240" w:before="0" w:after="240"/>
        <w:ind w:left="0" w:right="0" w:firstLine="720"/>
        <w:jc w:val="both"/>
        <w:rPr/>
      </w:pPr>
      <w:r>
        <w:rPr>
          <w:rFonts w:ascii="Times New Roman;sans-serif" w:hAnsi="Times New Roman;sans-serif"/>
          <w:b/>
          <w:color w:val="000000"/>
          <w:sz w:val="23"/>
        </w:rPr>
        <w:t>1.9</w:t>
      </w:r>
      <w:r>
        <w:rPr>
          <w:rFonts w:ascii="Times New Roman;sans-serif" w:hAnsi="Times New Roman;sans-serif"/>
          <w:b/>
          <w:color w:val="000000"/>
          <w:sz w:val="23"/>
        </w:rPr>
        <w:t>Cash Deferred Account.</w:t>
      </w:r>
      <w:r>
        <w:rPr>
          <w:color w:val="000000"/>
        </w:rPr>
        <w:t xml:space="preserve"> “</w:t>
      </w:r>
      <w:r>
        <w:rPr>
          <w:rFonts w:ascii="Times New Roman;sans-serif" w:hAnsi="Times New Roman;sans-serif"/>
          <w:b w:val="false"/>
          <w:color w:val="000000"/>
          <w:sz w:val="23"/>
        </w:rPr>
        <w:t xml:space="preserve">Cash Deferred Account” means an account established and maintained by the Company in its books and records to reflect the interest of a Participant in the Plan resulting from a Participant’s deferred Cash Compensation, denominated in cash, for the benefit </w:t>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70" name="Frame1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of the Participant and to record the adjustments thereto arising from hypothetical income, gains, losses, and any other credits or charges.</w:t>
      </w:r>
    </w:p>
    <w:p>
      <w:pPr>
        <w:pStyle w:val="TextBody"/>
        <w:spacing w:lineRule="auto" w:line="240" w:before="0" w:after="240"/>
        <w:ind w:left="0" w:right="0" w:firstLine="720"/>
        <w:jc w:val="both"/>
        <w:rPr/>
      </w:pPr>
      <w:r>
        <w:rPr>
          <w:rFonts w:ascii="Times New Roman;sans-serif" w:hAnsi="Times New Roman;sans-serif"/>
          <w:b/>
          <w:color w:val="000000"/>
          <w:sz w:val="23"/>
        </w:rPr>
        <w:t>1.10</w:t>
      </w:r>
      <w:r>
        <w:rPr>
          <w:rFonts w:ascii="Times New Roman;sans-serif" w:hAnsi="Times New Roman;sans-serif"/>
          <w:b/>
          <w:color w:val="000000"/>
          <w:sz w:val="23"/>
        </w:rPr>
        <w:t>Class A Common Stock.</w:t>
      </w:r>
      <w:r>
        <w:rPr>
          <w:color w:val="000000"/>
        </w:rPr>
        <w:t xml:space="preserve"> “</w:t>
      </w:r>
      <w:r>
        <w:rPr>
          <w:rFonts w:ascii="Times New Roman;sans-serif" w:hAnsi="Times New Roman;sans-serif"/>
          <w:b w:val="false"/>
          <w:color w:val="000000"/>
          <w:sz w:val="23"/>
        </w:rPr>
        <w:t>Class A Common Stock” means the Class A Common Stock of the Company.</w:t>
      </w:r>
    </w:p>
    <w:p>
      <w:pPr>
        <w:pStyle w:val="TextBody"/>
        <w:spacing w:lineRule="auto" w:line="240" w:before="0" w:after="240"/>
        <w:ind w:left="0" w:right="0" w:firstLine="720"/>
        <w:jc w:val="both"/>
        <w:rPr/>
      </w:pPr>
      <w:r>
        <w:rPr>
          <w:rFonts w:ascii="Times New Roman;sans-serif" w:hAnsi="Times New Roman;sans-serif"/>
          <w:b/>
          <w:color w:val="000000"/>
          <w:sz w:val="23"/>
        </w:rPr>
        <w:t>1.11</w:t>
      </w:r>
      <w:r>
        <w:rPr>
          <w:rFonts w:ascii="Times New Roman;sans-serif" w:hAnsi="Times New Roman;sans-serif"/>
          <w:b/>
          <w:color w:val="000000"/>
          <w:sz w:val="23"/>
        </w:rPr>
        <w:t>Code.</w:t>
      </w:r>
      <w:r>
        <w:rPr>
          <w:color w:val="000000"/>
        </w:rPr>
        <w:t xml:space="preserve"> “</w:t>
      </w:r>
      <w:r>
        <w:rPr>
          <w:rFonts w:ascii="Times New Roman;sans-serif" w:hAnsi="Times New Roman;sans-serif"/>
          <w:b w:val="false"/>
          <w:color w:val="000000"/>
          <w:sz w:val="23"/>
        </w:rPr>
        <w:t>Code” shall mean the Internal Revenue Code of 1986, as amended, including any successor statute.</w:t>
      </w:r>
    </w:p>
    <w:p>
      <w:pPr>
        <w:pStyle w:val="TextBody"/>
        <w:spacing w:lineRule="auto" w:line="240" w:before="0" w:after="240"/>
        <w:ind w:left="0" w:right="0" w:firstLine="720"/>
        <w:jc w:val="both"/>
        <w:rPr/>
      </w:pPr>
      <w:r>
        <w:rPr>
          <w:rFonts w:ascii="Times New Roman;sans-serif" w:hAnsi="Times New Roman;sans-serif"/>
          <w:b/>
          <w:color w:val="000000"/>
          <w:sz w:val="23"/>
        </w:rPr>
        <w:t>1.12</w:t>
      </w:r>
      <w:r>
        <w:rPr>
          <w:rFonts w:ascii="Times New Roman;sans-serif" w:hAnsi="Times New Roman;sans-serif"/>
          <w:b/>
          <w:color w:val="000000"/>
          <w:sz w:val="23"/>
        </w:rPr>
        <w:t>Committee.</w:t>
      </w:r>
      <w:r>
        <w:rPr>
          <w:color w:val="000000"/>
        </w:rPr>
        <w:t xml:space="preserve"> “</w:t>
      </w:r>
      <w:r>
        <w:rPr>
          <w:rFonts w:ascii="Times New Roman;sans-serif" w:hAnsi="Times New Roman;sans-serif"/>
          <w:b w:val="false"/>
          <w:color w:val="000000"/>
          <w:sz w:val="23"/>
        </w:rPr>
        <w:t>Committee” means a committee of two or more members of the Board appointed to administer the Plan, as set forth in Section 6.1.</w:t>
      </w:r>
    </w:p>
    <w:p>
      <w:pPr>
        <w:pStyle w:val="TextBody"/>
        <w:spacing w:lineRule="auto" w:line="240" w:before="0" w:after="240"/>
        <w:ind w:left="0" w:right="0" w:firstLine="720"/>
        <w:jc w:val="both"/>
        <w:rPr/>
      </w:pPr>
      <w:r>
        <w:rPr>
          <w:rFonts w:ascii="Times New Roman;sans-serif" w:hAnsi="Times New Roman;sans-serif"/>
          <w:b/>
          <w:color w:val="000000"/>
          <w:sz w:val="23"/>
        </w:rPr>
        <w:t>1.13</w:t>
      </w:r>
      <w:r>
        <w:rPr>
          <w:rFonts w:ascii="Times New Roman;sans-serif" w:hAnsi="Times New Roman;sans-serif"/>
          <w:b/>
          <w:color w:val="000000"/>
          <w:sz w:val="23"/>
        </w:rPr>
        <w:t>Company.</w:t>
      </w:r>
      <w:r>
        <w:rPr>
          <w:color w:val="000000"/>
        </w:rPr>
        <w:t xml:space="preserve"> “</w:t>
      </w:r>
      <w:r>
        <w:rPr>
          <w:rFonts w:ascii="Times New Roman;sans-serif" w:hAnsi="Times New Roman;sans-serif"/>
          <w:b w:val="false"/>
          <w:color w:val="000000"/>
          <w:sz w:val="23"/>
        </w:rPr>
        <w:t>Company” means AppFolio, Inc., a Delaware corporation, or any entity that is a successor to the Company.</w:t>
      </w:r>
    </w:p>
    <w:p>
      <w:pPr>
        <w:pStyle w:val="TextBody"/>
        <w:spacing w:lineRule="auto" w:line="240" w:before="0" w:after="240"/>
        <w:ind w:left="0" w:right="0" w:firstLine="720"/>
        <w:jc w:val="both"/>
        <w:rPr/>
      </w:pPr>
      <w:r>
        <w:rPr>
          <w:rFonts w:ascii="Times New Roman;sans-serif" w:hAnsi="Times New Roman;sans-serif"/>
          <w:b/>
          <w:color w:val="000000"/>
          <w:sz w:val="23"/>
        </w:rPr>
        <w:t>1.14</w:t>
      </w:r>
      <w:r>
        <w:rPr>
          <w:rFonts w:ascii="Times New Roman;sans-serif" w:hAnsi="Times New Roman;sans-serif"/>
          <w:b/>
          <w:color w:val="000000"/>
          <w:sz w:val="23"/>
        </w:rPr>
        <w:t>Compensation.</w:t>
      </w:r>
      <w:r>
        <w:rPr>
          <w:color w:val="000000"/>
        </w:rPr>
        <w:t xml:space="preserve"> “</w:t>
      </w:r>
      <w:r>
        <w:rPr>
          <w:rFonts w:ascii="Times New Roman;sans-serif" w:hAnsi="Times New Roman;sans-serif"/>
          <w:b w:val="false"/>
          <w:color w:val="000000"/>
          <w:sz w:val="23"/>
        </w:rPr>
        <w:t>Compensation” means Cash Compensation and Stock Compensation.</w:t>
      </w:r>
    </w:p>
    <w:p>
      <w:pPr>
        <w:pStyle w:val="TextBody"/>
        <w:spacing w:lineRule="auto" w:line="240" w:before="0" w:after="240"/>
        <w:ind w:left="0" w:right="0" w:firstLine="720"/>
        <w:jc w:val="both"/>
        <w:rPr/>
      </w:pPr>
      <w:r>
        <w:rPr>
          <w:rFonts w:ascii="Times New Roman;sans-serif" w:hAnsi="Times New Roman;sans-serif"/>
          <w:b/>
          <w:color w:val="000000"/>
          <w:sz w:val="23"/>
        </w:rPr>
        <w:t>1.15</w:t>
      </w:r>
      <w:r>
        <w:rPr>
          <w:rFonts w:ascii="Times New Roman;sans-serif" w:hAnsi="Times New Roman;sans-serif"/>
          <w:b/>
          <w:color w:val="000000"/>
          <w:sz w:val="23"/>
        </w:rPr>
        <w:t>Compensation Committee.</w:t>
      </w:r>
      <w:r>
        <w:rPr>
          <w:color w:val="000000"/>
        </w:rPr>
        <w:t xml:space="preserve"> “</w:t>
      </w:r>
      <w:r>
        <w:rPr>
          <w:rFonts w:ascii="Times New Roman;sans-serif" w:hAnsi="Times New Roman;sans-serif"/>
          <w:b w:val="false"/>
          <w:color w:val="000000"/>
          <w:sz w:val="23"/>
        </w:rPr>
        <w:t>Compensation Committee” means the Committee then designated as the “Compensation Committee” by the Board.</w:t>
      </w:r>
    </w:p>
    <w:p>
      <w:pPr>
        <w:pStyle w:val="TextBody"/>
        <w:spacing w:lineRule="auto" w:line="240" w:before="0" w:after="240"/>
        <w:ind w:left="0" w:right="0" w:firstLine="720"/>
        <w:jc w:val="both"/>
        <w:rPr/>
      </w:pPr>
      <w:r>
        <w:rPr>
          <w:rFonts w:ascii="Times New Roman;sans-serif" w:hAnsi="Times New Roman;sans-serif"/>
          <w:b/>
          <w:color w:val="000000"/>
          <w:sz w:val="23"/>
        </w:rPr>
        <w:t>1.16</w:t>
      </w:r>
      <w:r>
        <w:rPr>
          <w:rFonts w:ascii="Times New Roman;sans-serif" w:hAnsi="Times New Roman;sans-serif"/>
          <w:b/>
          <w:color w:val="000000"/>
          <w:sz w:val="23"/>
        </w:rPr>
        <w:t>Converted Restricted Stock Units.</w:t>
      </w:r>
      <w:r>
        <w:rPr>
          <w:color w:val="000000"/>
        </w:rPr>
        <w:t xml:space="preserve"> “</w:t>
      </w:r>
      <w:r>
        <w:rPr>
          <w:rFonts w:ascii="Times New Roman;sans-serif" w:hAnsi="Times New Roman;sans-serif"/>
          <w:b w:val="false"/>
          <w:color w:val="000000"/>
          <w:sz w:val="23"/>
        </w:rPr>
        <w:t>Converted Restricted Stock Units” has the meaning set forth in Section 3.8.</w:t>
      </w:r>
    </w:p>
    <w:p>
      <w:pPr>
        <w:pStyle w:val="TextBody"/>
        <w:spacing w:lineRule="auto" w:line="240" w:before="0" w:after="240"/>
        <w:ind w:left="0" w:right="0" w:firstLine="720"/>
        <w:jc w:val="both"/>
        <w:rPr/>
      </w:pPr>
      <w:r>
        <w:rPr>
          <w:rFonts w:ascii="Times New Roman;sans-serif" w:hAnsi="Times New Roman;sans-serif"/>
          <w:b/>
          <w:color w:val="000000"/>
          <w:sz w:val="23"/>
        </w:rPr>
        <w:t>1.17</w:t>
      </w:r>
      <w:r>
        <w:rPr>
          <w:rFonts w:ascii="Times New Roman;sans-serif" w:hAnsi="Times New Roman;sans-serif"/>
          <w:b/>
          <w:color w:val="000000"/>
          <w:sz w:val="23"/>
        </w:rPr>
        <w:t>Corporate Transaction.</w:t>
      </w:r>
      <w:r>
        <w:rPr>
          <w:color w:val="000000"/>
        </w:rPr>
        <w:t xml:space="preserve"> “</w:t>
      </w:r>
      <w:r>
        <w:rPr>
          <w:rFonts w:ascii="Times New Roman;sans-serif" w:hAnsi="Times New Roman;sans-serif"/>
          <w:b w:val="false"/>
          <w:color w:val="000000"/>
          <w:sz w:val="23"/>
        </w:rPr>
        <w:t>Corporate Transaction” has the meaning set forth in the 2015 Stock Incentive Plan, provided that, if (i) a transaction does not qualify as a change in control event within the meaning of Section 409A of the Code and (ii) treating such transaction as a Corporate Transaction would cause, give rise to or otherwise result in a failure to satisfy the distribution requirements of Section 409A(a)(2)(A) of the Code (to the extent the Plan and the applicable Deferral Election are not exempt therefrom), then such transaction will not be deemed a Corporate Transaction.</w:t>
      </w:r>
    </w:p>
    <w:p>
      <w:pPr>
        <w:pStyle w:val="TextBody"/>
        <w:spacing w:lineRule="auto" w:line="240" w:before="0" w:after="240"/>
        <w:ind w:left="0" w:right="0" w:firstLine="720"/>
        <w:jc w:val="both"/>
        <w:rPr/>
      </w:pPr>
      <w:r>
        <w:rPr>
          <w:rFonts w:ascii="Times New Roman;sans-serif" w:hAnsi="Times New Roman;sans-serif"/>
          <w:b/>
          <w:color w:val="000000"/>
          <w:sz w:val="23"/>
        </w:rPr>
        <w:t>1.18</w:t>
      </w:r>
      <w:r>
        <w:rPr>
          <w:rFonts w:ascii="Times New Roman;sans-serif" w:hAnsi="Times New Roman;sans-serif"/>
          <w:b/>
          <w:color w:val="000000"/>
          <w:sz w:val="23"/>
        </w:rPr>
        <w:t>Deferral Election.</w:t>
      </w:r>
      <w:r>
        <w:rPr>
          <w:color w:val="000000"/>
        </w:rPr>
        <w:t xml:space="preserve"> “</w:t>
      </w:r>
      <w:r>
        <w:rPr>
          <w:rFonts w:ascii="Times New Roman;sans-serif" w:hAnsi="Times New Roman;sans-serif"/>
          <w:b w:val="false"/>
          <w:color w:val="000000"/>
          <w:sz w:val="23"/>
        </w:rPr>
        <w:t>Deferral Election” shall mean the Participant’s written election to defer a portion of his or her Cash Compensation, Stock Compensation, or Restricted Stock Units pursuant to Section 3.5 and consistent with such form of deferral election as is specified by the Administrator.</w:t>
      </w:r>
    </w:p>
    <w:p>
      <w:pPr>
        <w:pStyle w:val="TextBody"/>
        <w:spacing w:lineRule="auto" w:line="240" w:before="0" w:after="240"/>
        <w:ind w:left="0" w:right="0" w:firstLine="720"/>
        <w:jc w:val="both"/>
        <w:rPr/>
      </w:pPr>
      <w:r>
        <w:rPr>
          <w:rFonts w:ascii="Times New Roman;sans-serif" w:hAnsi="Times New Roman;sans-serif"/>
          <w:b/>
          <w:color w:val="000000"/>
          <w:sz w:val="23"/>
        </w:rPr>
        <w:t>1.19</w:t>
      </w:r>
      <w:r>
        <w:rPr>
          <w:rFonts w:ascii="Times New Roman;sans-serif" w:hAnsi="Times New Roman;sans-serif"/>
          <w:b/>
          <w:color w:val="000000"/>
          <w:sz w:val="23"/>
        </w:rPr>
        <w:t>Disability; Disabled.</w:t>
      </w:r>
      <w:r>
        <w:rPr>
          <w:color w:val="000000"/>
        </w:rPr>
        <w:t xml:space="preserve"> “</w:t>
      </w:r>
      <w:r>
        <w:rPr>
          <w:rFonts w:ascii="Times New Roman;sans-serif" w:hAnsi="Times New Roman;sans-serif"/>
          <w:b w:val="false"/>
          <w:color w:val="000000"/>
          <w:sz w:val="23"/>
        </w:rPr>
        <w:t>Disability” or “Disabled” mean (a) a Participant is unable to engage in any substantial gainful activity by reason of any medically determinable physical or mental impairment which can be expected to result in death or can be expected to last for a continuous period of not less than twelve (12) months or (b) a Participant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Company.</w:t>
      </w:r>
    </w:p>
    <w:p>
      <w:pPr>
        <w:pStyle w:val="TextBody"/>
        <w:spacing w:lineRule="auto" w:line="240" w:before="0" w:after="240"/>
        <w:ind w:left="0" w:right="0" w:firstLine="720"/>
        <w:jc w:val="both"/>
        <w:rPr/>
      </w:pPr>
      <w:r>
        <w:rPr>
          <w:rFonts w:ascii="Times New Roman;sans-serif" w:hAnsi="Times New Roman;sans-serif"/>
          <w:b/>
          <w:color w:val="000000"/>
          <w:sz w:val="23"/>
        </w:rPr>
        <w:t>1.20</w:t>
      </w:r>
      <w:r>
        <w:rPr>
          <w:rFonts w:ascii="Times New Roman;sans-serif" w:hAnsi="Times New Roman;sans-serif"/>
          <w:b/>
          <w:color w:val="000000"/>
          <w:sz w:val="23"/>
        </w:rPr>
        <w:t>Dividend Equivalent.</w:t>
      </w:r>
      <w:r>
        <w:rPr>
          <w:color w:val="000000"/>
        </w:rPr>
        <w:t xml:space="preserve"> “</w:t>
      </w:r>
      <w:r>
        <w:rPr>
          <w:rFonts w:ascii="Times New Roman;sans-serif" w:hAnsi="Times New Roman;sans-serif"/>
          <w:b w:val="false"/>
          <w:color w:val="000000"/>
          <w:sz w:val="23"/>
        </w:rPr>
        <w:t>Dividend Equivalent” means an amount equal to the cash dividends paid by the Company with respect to each share of Class A Common Stock credited to a Participant’s Stock Deferred Account or subject to a Restricted Stock Unit credited to a Participant’s Restricted Stock Unit Account.</w:t>
      </w:r>
    </w:p>
    <w:p>
      <w:pPr>
        <w:pStyle w:val="TextBody"/>
        <w:spacing w:lineRule="auto" w:line="240" w:before="0" w:after="240"/>
        <w:ind w:left="0" w:right="0" w:firstLine="720"/>
        <w:jc w:val="both"/>
        <w:rPr/>
      </w:pPr>
      <w:r>
        <w:rPr>
          <w:rFonts w:ascii="Times New Roman;sans-serif" w:hAnsi="Times New Roman;sans-serif"/>
          <w:b/>
          <w:color w:val="000000"/>
          <w:sz w:val="23"/>
        </w:rPr>
        <w:t>1.21</w:t>
      </w:r>
      <w:r>
        <w:rPr>
          <w:rFonts w:ascii="Times New Roman;sans-serif" w:hAnsi="Times New Roman;sans-serif"/>
          <w:b/>
          <w:color w:val="000000"/>
          <w:sz w:val="23"/>
        </w:rPr>
        <w:t>Domestic Relations Order.</w:t>
      </w:r>
      <w:r>
        <w:rPr>
          <w:color w:val="000000"/>
        </w:rPr>
        <w:t xml:space="preserve"> “</w:t>
      </w:r>
      <w:r>
        <w:rPr>
          <w:rFonts w:ascii="Times New Roman;sans-serif" w:hAnsi="Times New Roman;sans-serif"/>
          <w:b w:val="false"/>
          <w:color w:val="000000"/>
          <w:sz w:val="23"/>
        </w:rPr>
        <w:t>Domestic Relations Order” means a “domestic relations order” as defined in Section 414(p)(1)(B) of the Code.</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43535"/>
                <wp:effectExtent l="0" t="0" r="0" b="0"/>
                <wp:wrapNone/>
                <wp:docPr id="171" name="Frame14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3"/>
        </w:rPr>
        <w:t>1.22</w:t>
      </w:r>
      <w:r>
        <w:rPr>
          <w:rFonts w:ascii="Times New Roman;sans-serif" w:hAnsi="Times New Roman;sans-serif"/>
          <w:b/>
          <w:color w:val="000000"/>
          <w:sz w:val="23"/>
        </w:rPr>
        <w:t>Effective Date.</w:t>
      </w:r>
      <w:r>
        <w:rPr>
          <w:color w:val="000000"/>
        </w:rPr>
        <w:t xml:space="preserve"> “</w:t>
      </w:r>
      <w:r>
        <w:rPr>
          <w:rFonts w:ascii="Times New Roman;sans-serif" w:hAnsi="Times New Roman;sans-serif"/>
          <w:b w:val="false"/>
          <w:color w:val="000000"/>
          <w:sz w:val="23"/>
        </w:rPr>
        <w:t>Effective Date”</w:t>
      </w:r>
      <w:r>
        <w:rPr>
          <w:color w:val="000000"/>
        </w:rPr>
        <w:t xml:space="preserve"> </w:t>
      </w:r>
      <w:r>
        <w:rPr>
          <w:rFonts w:ascii="Times New Roman;sans-serif" w:hAnsi="Times New Roman;sans-serif"/>
          <w:b w:val="false"/>
          <w:color w:val="000000"/>
          <w:sz w:val="23"/>
        </w:rPr>
        <w:t>means the date on which the Plan was originally adopted by the Board, as set forth on the first page hereof.</w:t>
      </w:r>
    </w:p>
    <w:p>
      <w:pPr>
        <w:pStyle w:val="TextBody"/>
        <w:spacing w:lineRule="auto" w:line="240" w:before="0" w:after="240"/>
        <w:ind w:left="0" w:right="0" w:firstLine="720"/>
        <w:jc w:val="both"/>
        <w:rPr/>
      </w:pPr>
      <w:r>
        <w:rPr>
          <w:rFonts w:ascii="Times New Roman;sans-serif" w:hAnsi="Times New Roman;sans-serif"/>
          <w:b/>
          <w:color w:val="000000"/>
          <w:sz w:val="23"/>
        </w:rPr>
        <w:t>1.23</w:t>
      </w:r>
      <w:r>
        <w:rPr>
          <w:rFonts w:ascii="Times New Roman;sans-serif" w:hAnsi="Times New Roman;sans-serif"/>
          <w:b/>
          <w:color w:val="000000"/>
          <w:sz w:val="23"/>
        </w:rPr>
        <w:t>Employee.</w:t>
      </w:r>
      <w:r>
        <w:rPr>
          <w:color w:val="000000"/>
        </w:rPr>
        <w:t xml:space="preserve"> “</w:t>
      </w:r>
      <w:r>
        <w:rPr>
          <w:rFonts w:ascii="Times New Roman;sans-serif" w:hAnsi="Times New Roman;sans-serif"/>
          <w:b w:val="false"/>
          <w:color w:val="000000"/>
          <w:sz w:val="23"/>
        </w:rPr>
        <w:t>Employee” means any person who is currently employed by the Company.</w:t>
      </w:r>
    </w:p>
    <w:p>
      <w:pPr>
        <w:pStyle w:val="TextBody"/>
        <w:spacing w:lineRule="auto" w:line="240" w:before="0" w:after="240"/>
        <w:ind w:left="0" w:right="0" w:firstLine="720"/>
        <w:jc w:val="both"/>
        <w:rPr/>
      </w:pPr>
      <w:r>
        <w:rPr>
          <w:rFonts w:ascii="Times New Roman;sans-serif" w:hAnsi="Times New Roman;sans-serif"/>
          <w:b/>
          <w:color w:val="000000"/>
          <w:sz w:val="23"/>
        </w:rPr>
        <w:t>1.24</w:t>
      </w:r>
      <w:r>
        <w:rPr>
          <w:rFonts w:ascii="Times New Roman;sans-serif" w:hAnsi="Times New Roman;sans-serif"/>
          <w:b/>
          <w:color w:val="000000"/>
          <w:sz w:val="23"/>
        </w:rPr>
        <w:t>Enrollment Date.</w:t>
      </w:r>
      <w:r>
        <w:rPr>
          <w:color w:val="000000"/>
        </w:rPr>
        <w:t xml:space="preserve"> “</w:t>
      </w:r>
      <w:r>
        <w:rPr>
          <w:rFonts w:ascii="Times New Roman;sans-serif" w:hAnsi="Times New Roman;sans-serif"/>
          <w:b w:val="false"/>
          <w:color w:val="000000"/>
          <w:sz w:val="23"/>
        </w:rPr>
        <w:t>Enrollment Date” means the Participation Date, January 1 of each Plan Year and such other dates as may be determined from time to time by the Administrator.</w:t>
      </w:r>
    </w:p>
    <w:p>
      <w:pPr>
        <w:pStyle w:val="TextBody"/>
        <w:spacing w:lineRule="auto" w:line="240" w:before="0" w:after="240"/>
        <w:ind w:left="0" w:right="0" w:firstLine="720"/>
        <w:jc w:val="both"/>
        <w:rPr/>
      </w:pPr>
      <w:r>
        <w:rPr>
          <w:rFonts w:ascii="Times New Roman;sans-serif" w:hAnsi="Times New Roman;sans-serif"/>
          <w:b/>
          <w:color w:val="000000"/>
          <w:sz w:val="23"/>
        </w:rPr>
        <w:t>1.25</w:t>
      </w:r>
      <w:r>
        <w:rPr>
          <w:rFonts w:ascii="Times New Roman;sans-serif" w:hAnsi="Times New Roman;sans-serif"/>
          <w:b/>
          <w:color w:val="000000"/>
          <w:sz w:val="23"/>
        </w:rPr>
        <w:t>Exchange Act.</w:t>
      </w:r>
      <w:r>
        <w:rPr>
          <w:color w:val="000000"/>
        </w:rPr>
        <w:t xml:space="preserve"> “</w:t>
      </w:r>
      <w:r>
        <w:rPr>
          <w:rFonts w:ascii="Times New Roman;sans-serif" w:hAnsi="Times New Roman;sans-serif"/>
          <w:b w:val="false"/>
          <w:color w:val="000000"/>
          <w:sz w:val="23"/>
        </w:rPr>
        <w:t>Exchange Act” means the Securities and Exchange Act of 1934, as amended.</w:t>
      </w:r>
    </w:p>
    <w:p>
      <w:pPr>
        <w:pStyle w:val="TextBody"/>
        <w:spacing w:lineRule="auto" w:line="240" w:before="0" w:after="240"/>
        <w:ind w:left="0" w:right="0" w:firstLine="720"/>
        <w:jc w:val="both"/>
        <w:rPr/>
      </w:pPr>
      <w:r>
        <w:rPr>
          <w:rFonts w:ascii="Times New Roman;sans-serif" w:hAnsi="Times New Roman;sans-serif"/>
          <w:b/>
          <w:color w:val="000000"/>
          <w:sz w:val="23"/>
        </w:rPr>
        <w:t>1.26</w:t>
      </w:r>
      <w:r>
        <w:rPr>
          <w:rFonts w:ascii="Times New Roman;sans-serif" w:hAnsi="Times New Roman;sans-serif"/>
          <w:b/>
          <w:color w:val="000000"/>
          <w:sz w:val="23"/>
        </w:rPr>
        <w:t>Fair Market Value.</w:t>
      </w:r>
      <w:r>
        <w:rPr>
          <w:color w:val="000000"/>
        </w:rPr>
        <w:t xml:space="preserve"> “</w:t>
      </w:r>
      <w:r>
        <w:rPr>
          <w:rFonts w:ascii="Times New Roman;sans-serif" w:hAnsi="Times New Roman;sans-serif"/>
          <w:b w:val="false"/>
          <w:color w:val="000000"/>
          <w:sz w:val="23"/>
        </w:rPr>
        <w:t>Fair Market Value”</w:t>
      </w:r>
      <w:r>
        <w:rPr>
          <w:color w:val="000000"/>
        </w:rPr>
        <w:t xml:space="preserve"> </w:t>
      </w:r>
      <w:r>
        <w:rPr>
          <w:rFonts w:ascii="Times New Roman;sans-serif" w:hAnsi="Times New Roman;sans-serif"/>
          <w:b w:val="false"/>
          <w:color w:val="000000"/>
          <w:sz w:val="23"/>
        </w:rPr>
        <w:t>on any given date means the value of one share of Class A Common Stock, determined as set forth in the 2015 Stock Incentive Plan.</w:t>
      </w:r>
    </w:p>
    <w:p>
      <w:pPr>
        <w:pStyle w:val="TextBody"/>
        <w:spacing w:lineRule="auto" w:line="240" w:before="0" w:after="240"/>
        <w:ind w:left="0" w:right="0" w:firstLine="720"/>
        <w:jc w:val="both"/>
        <w:rPr/>
      </w:pPr>
      <w:r>
        <w:rPr>
          <w:rFonts w:ascii="Times New Roman;sans-serif" w:hAnsi="Times New Roman;sans-serif"/>
          <w:b/>
          <w:color w:val="000000"/>
          <w:sz w:val="23"/>
        </w:rPr>
        <w:t>1.27</w:t>
      </w:r>
      <w:r>
        <w:rPr>
          <w:rFonts w:ascii="Times New Roman;sans-serif" w:hAnsi="Times New Roman;sans-serif"/>
          <w:b/>
          <w:color w:val="000000"/>
          <w:sz w:val="23"/>
        </w:rPr>
        <w:t>Hypothetical Investments.</w:t>
      </w:r>
      <w:r>
        <w:rPr>
          <w:color w:val="000000"/>
        </w:rPr>
        <w:t xml:space="preserve"> “</w:t>
      </w:r>
      <w:r>
        <w:rPr>
          <w:rFonts w:ascii="Times New Roman;sans-serif" w:hAnsi="Times New Roman;sans-serif"/>
          <w:b w:val="false"/>
          <w:color w:val="000000"/>
          <w:sz w:val="23"/>
        </w:rPr>
        <w:t>Hypothetical Investments” has the meaning set forth in Section 4.2.</w:t>
      </w:r>
    </w:p>
    <w:p>
      <w:pPr>
        <w:pStyle w:val="TextBody"/>
        <w:spacing w:lineRule="auto" w:line="240" w:before="0" w:after="240"/>
        <w:ind w:left="0" w:right="0" w:firstLine="720"/>
        <w:jc w:val="both"/>
        <w:rPr/>
      </w:pPr>
      <w:r>
        <w:rPr>
          <w:rFonts w:ascii="Times New Roman;sans-serif" w:hAnsi="Times New Roman;sans-serif"/>
          <w:b/>
          <w:color w:val="000000"/>
          <w:sz w:val="23"/>
        </w:rPr>
        <w:t>1.28</w:t>
      </w:r>
      <w:r>
        <w:rPr>
          <w:rFonts w:ascii="Times New Roman;sans-serif" w:hAnsi="Times New Roman;sans-serif"/>
          <w:b/>
          <w:color w:val="000000"/>
          <w:sz w:val="23"/>
        </w:rPr>
        <w:t>Nonemployee Director</w:t>
      </w:r>
      <w:r>
        <w:rPr>
          <w:rFonts w:ascii="Times New Roman;sans-serif" w:hAnsi="Times New Roman;sans-serif"/>
          <w:b w:val="false"/>
          <w:color w:val="000000"/>
          <w:sz w:val="23"/>
        </w:rPr>
        <w:t>. “Nonemployee Director” means each member of the Board who is not an Employee.</w:t>
      </w:r>
    </w:p>
    <w:p>
      <w:pPr>
        <w:pStyle w:val="TextBody"/>
        <w:spacing w:lineRule="auto" w:line="240" w:before="0" w:after="240"/>
        <w:ind w:left="0" w:right="0" w:firstLine="720"/>
        <w:jc w:val="both"/>
        <w:rPr/>
      </w:pPr>
      <w:r>
        <w:rPr>
          <w:rFonts w:ascii="Times New Roman;sans-serif" w:hAnsi="Times New Roman;sans-serif"/>
          <w:b/>
          <w:color w:val="000000"/>
          <w:sz w:val="23"/>
        </w:rPr>
        <w:t>1.29</w:t>
      </w:r>
      <w:r>
        <w:rPr>
          <w:rFonts w:ascii="Times New Roman;sans-serif" w:hAnsi="Times New Roman;sans-serif"/>
          <w:b/>
          <w:color w:val="000000"/>
          <w:sz w:val="23"/>
        </w:rPr>
        <w:t>Participant.</w:t>
      </w:r>
      <w:r>
        <w:rPr>
          <w:color w:val="000000"/>
        </w:rPr>
        <w:t xml:space="preserve"> “</w:t>
      </w:r>
      <w:r>
        <w:rPr>
          <w:rFonts w:ascii="Times New Roman;sans-serif" w:hAnsi="Times New Roman;sans-serif"/>
          <w:b w:val="false"/>
          <w:color w:val="000000"/>
          <w:sz w:val="23"/>
        </w:rPr>
        <w:t>Participant” means each Nonemployee Director who is eligible to receive benefits under the Plan.</w:t>
      </w:r>
    </w:p>
    <w:p>
      <w:pPr>
        <w:pStyle w:val="TextBody"/>
        <w:spacing w:lineRule="auto" w:line="240" w:before="0" w:after="240"/>
        <w:ind w:left="0" w:right="0" w:firstLine="720"/>
        <w:jc w:val="both"/>
        <w:rPr/>
      </w:pPr>
      <w:r>
        <w:rPr>
          <w:rFonts w:ascii="Times New Roman;sans-serif" w:hAnsi="Times New Roman;sans-serif"/>
          <w:b/>
          <w:color w:val="000000"/>
          <w:sz w:val="23"/>
        </w:rPr>
        <w:t>1.30</w:t>
      </w:r>
      <w:r>
        <w:rPr>
          <w:rFonts w:ascii="Times New Roman;sans-serif" w:hAnsi="Times New Roman;sans-serif"/>
          <w:b/>
          <w:color w:val="000000"/>
          <w:sz w:val="23"/>
        </w:rPr>
        <w:t>Participation Date.</w:t>
      </w:r>
      <w:r>
        <w:rPr>
          <w:color w:val="000000"/>
        </w:rPr>
        <w:t xml:space="preserve"> “</w:t>
      </w:r>
      <w:r>
        <w:rPr>
          <w:rFonts w:ascii="Times New Roman;sans-serif" w:hAnsi="Times New Roman;sans-serif"/>
          <w:b w:val="false"/>
          <w:color w:val="000000"/>
          <w:sz w:val="23"/>
        </w:rPr>
        <w:t>Participation Date” means the first date on which the Administrator shall permit a Participant to defer compensation under the Plan, but in no event later than thirty (30) days following the date the Nonemployee Director is first notified by the Administrator, or its designee, that the Nonemployee Director is eligible to participate in the Plan.</w:t>
      </w:r>
    </w:p>
    <w:p>
      <w:pPr>
        <w:pStyle w:val="TextBody"/>
        <w:spacing w:lineRule="auto" w:line="240" w:before="0" w:after="240"/>
        <w:ind w:left="0" w:right="0" w:firstLine="720"/>
        <w:jc w:val="both"/>
        <w:rPr/>
      </w:pPr>
      <w:r>
        <w:rPr>
          <w:rFonts w:ascii="Times New Roman;sans-serif" w:hAnsi="Times New Roman;sans-serif"/>
          <w:b/>
          <w:color w:val="000000"/>
          <w:sz w:val="23"/>
        </w:rPr>
        <w:t>1.31</w:t>
      </w:r>
      <w:r>
        <w:rPr>
          <w:rFonts w:ascii="Times New Roman;sans-serif" w:hAnsi="Times New Roman;sans-serif"/>
          <w:b/>
          <w:color w:val="000000"/>
          <w:sz w:val="23"/>
        </w:rPr>
        <w:t>Plan.</w:t>
      </w:r>
      <w:r>
        <w:rPr>
          <w:color w:val="000000"/>
        </w:rPr>
        <w:t xml:space="preserve"> “</w:t>
      </w:r>
      <w:r>
        <w:rPr>
          <w:rFonts w:ascii="Times New Roman;sans-serif" w:hAnsi="Times New Roman;sans-serif"/>
          <w:b w:val="false"/>
          <w:color w:val="000000"/>
          <w:sz w:val="23"/>
        </w:rPr>
        <w:t>Plan” means this Nonemployee Director Deferred Compensation Plan of the Company.</w:t>
      </w:r>
    </w:p>
    <w:p>
      <w:pPr>
        <w:pStyle w:val="TextBody"/>
        <w:spacing w:lineRule="auto" w:line="240" w:before="0" w:after="240"/>
        <w:ind w:left="0" w:right="0" w:firstLine="720"/>
        <w:jc w:val="both"/>
        <w:rPr/>
      </w:pPr>
      <w:r>
        <w:rPr>
          <w:rFonts w:ascii="Times New Roman;sans-serif" w:hAnsi="Times New Roman;sans-serif"/>
          <w:b/>
          <w:color w:val="000000"/>
          <w:sz w:val="23"/>
        </w:rPr>
        <w:t>1.32</w:t>
      </w:r>
      <w:r>
        <w:rPr>
          <w:rFonts w:ascii="Times New Roman;sans-serif" w:hAnsi="Times New Roman;sans-serif"/>
          <w:b/>
          <w:color w:val="000000"/>
          <w:sz w:val="23"/>
        </w:rPr>
        <w:t>Plan Year.</w:t>
      </w:r>
      <w:r>
        <w:rPr>
          <w:color w:val="000000"/>
        </w:rPr>
        <w:t xml:space="preserve"> “</w:t>
      </w:r>
      <w:r>
        <w:rPr>
          <w:rFonts w:ascii="Times New Roman;sans-serif" w:hAnsi="Times New Roman;sans-serif"/>
          <w:b w:val="false"/>
          <w:color w:val="000000"/>
          <w:sz w:val="23"/>
        </w:rPr>
        <w:t>Plan Year” means the twelve (12) month period commencing January 1st and ending on December 31st next following, except that the first Plan Year shall be the Effective Date through December 31, 2021.</w:t>
      </w:r>
    </w:p>
    <w:p>
      <w:pPr>
        <w:pStyle w:val="TextBody"/>
        <w:spacing w:lineRule="auto" w:line="240" w:before="0" w:after="240"/>
        <w:ind w:left="0" w:right="0" w:firstLine="720"/>
        <w:jc w:val="both"/>
        <w:rPr/>
      </w:pPr>
      <w:r>
        <w:rPr>
          <w:rFonts w:ascii="Times New Roman;sans-serif" w:hAnsi="Times New Roman;sans-serif"/>
          <w:b/>
          <w:color w:val="000000"/>
          <w:sz w:val="23"/>
        </w:rPr>
        <w:t>1.33</w:t>
      </w:r>
      <w:r>
        <w:rPr>
          <w:rFonts w:ascii="Times New Roman;sans-serif" w:hAnsi="Times New Roman;sans-serif"/>
          <w:b/>
          <w:color w:val="000000"/>
          <w:sz w:val="23"/>
        </w:rPr>
        <w:t>Restricted Stock Unit.</w:t>
      </w:r>
      <w:r>
        <w:rPr>
          <w:color w:val="000000"/>
        </w:rPr>
        <w:t xml:space="preserve"> “</w:t>
      </w:r>
      <w:r>
        <w:rPr>
          <w:rFonts w:ascii="Times New Roman;sans-serif" w:hAnsi="Times New Roman;sans-serif"/>
          <w:b w:val="false"/>
          <w:color w:val="000000"/>
          <w:sz w:val="23"/>
        </w:rPr>
        <w:t>Restricted Stock Unit” means a right to receive an amount equal to the Fair Market Value of one share of Class A Common Stock, issued pursuant to the 2015 Stock Incentive Plan, subject to any restrictions and conditions as are established pursuant to the 2015 Stock Incentive Plan.</w:t>
      </w:r>
    </w:p>
    <w:p>
      <w:pPr>
        <w:pStyle w:val="TextBody"/>
        <w:spacing w:lineRule="auto" w:line="240" w:before="0" w:after="240"/>
        <w:ind w:left="0" w:right="0" w:firstLine="720"/>
        <w:jc w:val="both"/>
        <w:rPr/>
      </w:pPr>
      <w:r>
        <w:rPr>
          <w:rFonts w:ascii="Times New Roman;sans-serif" w:hAnsi="Times New Roman;sans-serif"/>
          <w:b/>
          <w:color w:val="000000"/>
          <w:sz w:val="23"/>
        </w:rPr>
        <w:t>1.34</w:t>
      </w:r>
      <w:r>
        <w:rPr>
          <w:rFonts w:ascii="Times New Roman;sans-serif" w:hAnsi="Times New Roman;sans-serif"/>
          <w:b/>
          <w:color w:val="000000"/>
          <w:sz w:val="23"/>
        </w:rPr>
        <w:t>Restricted Stock Unit Account.</w:t>
      </w:r>
      <w:r>
        <w:rPr>
          <w:color w:val="000000"/>
        </w:rPr>
        <w:t xml:space="preserve"> “</w:t>
      </w:r>
      <w:r>
        <w:rPr>
          <w:rFonts w:ascii="Times New Roman;sans-serif" w:hAnsi="Times New Roman;sans-serif"/>
          <w:b w:val="false"/>
          <w:color w:val="000000"/>
          <w:sz w:val="23"/>
        </w:rPr>
        <w:t>Restricted Stock Unit Account” means the account maintained on the books of the Company for a Participant for the purpose of accounting for the Converted Restricted Stock Units.</w:t>
      </w:r>
    </w:p>
    <w:p>
      <w:pPr>
        <w:pStyle w:val="TextBody"/>
        <w:spacing w:lineRule="auto" w:line="240" w:before="0" w:after="240"/>
        <w:ind w:left="0" w:right="0" w:firstLine="720"/>
        <w:jc w:val="both"/>
        <w:rPr/>
      </w:pPr>
      <w:r>
        <w:rPr>
          <w:rFonts w:ascii="Times New Roman;sans-serif" w:hAnsi="Times New Roman;sans-serif"/>
          <w:b/>
          <w:color w:val="000000"/>
          <w:sz w:val="23"/>
        </w:rPr>
        <w:t>1.35</w:t>
      </w:r>
      <w:r>
        <w:rPr>
          <w:rFonts w:ascii="Times New Roman;sans-serif" w:hAnsi="Times New Roman;sans-serif"/>
          <w:b/>
          <w:color w:val="000000"/>
          <w:sz w:val="23"/>
        </w:rPr>
        <w:t>Separation from Service.</w:t>
      </w:r>
      <w:r>
        <w:rPr>
          <w:color w:val="000000"/>
        </w:rPr>
        <w:t xml:space="preserve"> “</w:t>
      </w:r>
      <w:r>
        <w:rPr>
          <w:rFonts w:ascii="Times New Roman;sans-serif" w:hAnsi="Times New Roman;sans-serif"/>
          <w:b w:val="false"/>
          <w:color w:val="000000"/>
          <w:sz w:val="23"/>
        </w:rPr>
        <w:t>Separation from Service” means a Participant’s separation from service as a Nonemployee Director or an Employee, as applicable, within the meaning of Section 409A of the Code other than for death or disability. A transfer of employment within or among any entities in the same controlled group as the Company (as determined under Section 414(b) of the Code or Section 414(c) of the Code, as applied under Section 409A(d)(6) of the Code) shall not constitute a Separation from Service.</w:t>
      </w:r>
    </w:p>
    <w:p>
      <w:pPr>
        <w:pStyle w:val="TextBody"/>
        <w:spacing w:lineRule="auto" w:line="240" w:before="0" w:after="240"/>
        <w:ind w:left="0" w:right="0" w:firstLine="720"/>
        <w:jc w:val="both"/>
        <w:rPr/>
      </w:pPr>
      <w:r>
        <w:rPr>
          <w:rFonts w:ascii="Times New Roman;sans-serif" w:hAnsi="Times New Roman;sans-serif"/>
          <w:b/>
          <w:color w:val="000000"/>
          <w:sz w:val="23"/>
        </w:rPr>
        <w:t>1.36</w:t>
      </w:r>
      <w:r>
        <w:rPr>
          <w:rFonts w:ascii="Times New Roman;sans-serif" w:hAnsi="Times New Roman;sans-serif"/>
          <w:b/>
          <w:color w:val="000000"/>
          <w:sz w:val="23"/>
        </w:rPr>
        <w:t>Specified Employee.</w:t>
      </w:r>
      <w:r>
        <w:rPr>
          <w:color w:val="000000"/>
        </w:rPr>
        <w:t xml:space="preserve"> “</w:t>
      </w:r>
      <w:r>
        <w:rPr>
          <w:rFonts w:ascii="Times New Roman;sans-serif" w:hAnsi="Times New Roman;sans-serif"/>
          <w:b w:val="false"/>
          <w:color w:val="000000"/>
          <w:sz w:val="23"/>
        </w:rPr>
        <w:t xml:space="preserve">Specified Employee” means a “specified employee” with respect to the Company (or a controlled group member (as determined under Section 414(b) of the Code or 414(c) of the Code, as applied under Section 409A(d)(6) of the Code)) determined pursuant </w:t>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43535"/>
                <wp:effectExtent l="0" t="0" r="0" b="0"/>
                <wp:wrapNone/>
                <wp:docPr id="172" name="Frame14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to procedures adopted by the Company in compliance with Section 409A of the Code and Treasury Regulation Section 1.409A-1(i).</w:t>
      </w:r>
    </w:p>
    <w:p>
      <w:pPr>
        <w:pStyle w:val="TextBody"/>
        <w:spacing w:lineRule="auto" w:line="240" w:before="0" w:after="240"/>
        <w:ind w:left="0" w:right="0" w:firstLine="720"/>
        <w:jc w:val="both"/>
        <w:rPr/>
      </w:pPr>
      <w:r>
        <w:rPr>
          <w:rFonts w:ascii="Times New Roman;sans-serif" w:hAnsi="Times New Roman;sans-serif"/>
          <w:b/>
          <w:color w:val="000000"/>
          <w:sz w:val="23"/>
        </w:rPr>
        <w:t>1.37</w:t>
      </w:r>
      <w:r>
        <w:rPr>
          <w:rFonts w:ascii="Times New Roman;sans-serif" w:hAnsi="Times New Roman;sans-serif"/>
          <w:b/>
          <w:color w:val="000000"/>
          <w:sz w:val="23"/>
        </w:rPr>
        <w:t>Specified Payment Date.</w:t>
      </w:r>
      <w:r>
        <w:rPr>
          <w:color w:val="000000"/>
        </w:rPr>
        <w:t xml:space="preserve"> “</w:t>
      </w:r>
      <w:r>
        <w:rPr>
          <w:rFonts w:ascii="Times New Roman;sans-serif" w:hAnsi="Times New Roman;sans-serif"/>
          <w:b w:val="false"/>
          <w:color w:val="000000"/>
          <w:sz w:val="23"/>
        </w:rPr>
        <w:t>Specified Payment Date” means a specified date or a fixed schedule (not to exceed fifteen (15) years) that, in each case, is nondiscretionary and objectively determinable at the time a Participant makes his or her Deferral Election.</w:t>
      </w:r>
    </w:p>
    <w:p>
      <w:pPr>
        <w:pStyle w:val="TextBody"/>
        <w:spacing w:lineRule="auto" w:line="240" w:before="0" w:after="240"/>
        <w:ind w:left="0" w:right="0" w:firstLine="720"/>
        <w:jc w:val="both"/>
        <w:rPr/>
      </w:pPr>
      <w:r>
        <w:rPr>
          <w:rFonts w:ascii="Times New Roman;sans-serif" w:hAnsi="Times New Roman;sans-serif"/>
          <w:b/>
          <w:color w:val="000000"/>
          <w:sz w:val="23"/>
        </w:rPr>
        <w:t>1.38</w:t>
      </w:r>
      <w:r>
        <w:rPr>
          <w:rFonts w:ascii="Times New Roman;sans-serif" w:hAnsi="Times New Roman;sans-serif"/>
          <w:b/>
          <w:color w:val="000000"/>
          <w:sz w:val="23"/>
        </w:rPr>
        <w:t>Stock Compensation.</w:t>
      </w:r>
      <w:r>
        <w:rPr>
          <w:color w:val="000000"/>
        </w:rPr>
        <w:t xml:space="preserve"> “</w:t>
      </w:r>
      <w:r>
        <w:rPr>
          <w:rFonts w:ascii="Times New Roman;sans-serif" w:hAnsi="Times New Roman;sans-serif"/>
          <w:b w:val="false"/>
          <w:color w:val="000000"/>
          <w:sz w:val="23"/>
        </w:rPr>
        <w:t>Stock Compensation” means the portion of the Stock Incentives deliverable in shares of Class A Common Stock of the Company.</w:t>
      </w:r>
    </w:p>
    <w:p>
      <w:pPr>
        <w:pStyle w:val="TextBody"/>
        <w:spacing w:lineRule="auto" w:line="240" w:before="0" w:after="240"/>
        <w:ind w:left="0" w:right="0" w:firstLine="720"/>
        <w:jc w:val="both"/>
        <w:rPr/>
      </w:pPr>
      <w:r>
        <w:rPr>
          <w:rFonts w:ascii="Times New Roman;sans-serif" w:hAnsi="Times New Roman;sans-serif"/>
          <w:b/>
          <w:color w:val="000000"/>
          <w:sz w:val="23"/>
        </w:rPr>
        <w:t>1.39</w:t>
      </w:r>
      <w:r>
        <w:rPr>
          <w:rFonts w:ascii="Times New Roman;sans-serif" w:hAnsi="Times New Roman;sans-serif"/>
          <w:b/>
          <w:color w:val="000000"/>
          <w:sz w:val="23"/>
        </w:rPr>
        <w:t>Stock Deferred Account.</w:t>
      </w:r>
      <w:r>
        <w:rPr>
          <w:color w:val="000000"/>
        </w:rPr>
        <w:t xml:space="preserve"> “</w:t>
      </w:r>
      <w:r>
        <w:rPr>
          <w:rFonts w:ascii="Times New Roman;sans-serif" w:hAnsi="Times New Roman;sans-serif"/>
          <w:b w:val="false"/>
          <w:color w:val="000000"/>
          <w:sz w:val="23"/>
        </w:rPr>
        <w:t>Stock Deferred Account” means an account established and maintained by the Company in its books and records to reflect the interest of a Participant in the Plan resulting from a Participant’s deferred Stock Compensation, for the benefit of the Participant and to record the adjustments thereto arising from Stock Compensation.</w:t>
      </w:r>
    </w:p>
    <w:p>
      <w:pPr>
        <w:pStyle w:val="TextBody"/>
        <w:spacing w:lineRule="auto" w:line="240" w:before="0" w:after="240"/>
        <w:ind w:left="0" w:right="0" w:firstLine="720"/>
        <w:jc w:val="both"/>
        <w:rPr/>
      </w:pPr>
      <w:r>
        <w:rPr>
          <w:rFonts w:ascii="Times New Roman;sans-serif" w:hAnsi="Times New Roman;sans-serif"/>
          <w:b/>
          <w:color w:val="000000"/>
          <w:sz w:val="23"/>
        </w:rPr>
        <w:t>1.40</w:t>
      </w:r>
      <w:r>
        <w:rPr>
          <w:rFonts w:ascii="Times New Roman;sans-serif" w:hAnsi="Times New Roman;sans-serif"/>
          <w:b/>
          <w:color w:val="000000"/>
          <w:sz w:val="23"/>
        </w:rPr>
        <w:t>Stock Incentive.</w:t>
      </w:r>
      <w:r>
        <w:rPr>
          <w:color w:val="000000"/>
        </w:rPr>
        <w:t xml:space="preserve"> “</w:t>
      </w:r>
      <w:r>
        <w:rPr>
          <w:rFonts w:ascii="Times New Roman;sans-serif" w:hAnsi="Times New Roman;sans-serif"/>
          <w:b w:val="false"/>
          <w:color w:val="000000"/>
          <w:sz w:val="23"/>
        </w:rPr>
        <w:t>Stock Incentive” means the delivery of shares of Class A Common Stock of the Company, payment of cash or a combination thereof upon the exercise, vesting or settlement of all or a portion of any Award, to which a Participant is entitled under, and within the meaning of, the 2015 Stock Incentive Plan.</w:t>
      </w:r>
    </w:p>
    <w:p>
      <w:pPr>
        <w:pStyle w:val="TextBody"/>
        <w:spacing w:lineRule="auto" w:line="240" w:before="0" w:after="240"/>
        <w:ind w:left="0" w:right="0" w:firstLine="720"/>
        <w:jc w:val="both"/>
        <w:rPr/>
      </w:pPr>
      <w:r>
        <w:rPr>
          <w:rFonts w:ascii="Times New Roman;sans-serif" w:hAnsi="Times New Roman;sans-serif"/>
          <w:b/>
          <w:color w:val="000000"/>
          <w:sz w:val="23"/>
        </w:rPr>
        <w:t>1.41</w:t>
      </w:r>
      <w:r>
        <w:rPr>
          <w:rFonts w:ascii="Times New Roman;sans-serif" w:hAnsi="Times New Roman;sans-serif"/>
          <w:b/>
          <w:color w:val="000000"/>
          <w:sz w:val="23"/>
        </w:rPr>
        <w:t>Subsequent Change.</w:t>
      </w:r>
      <w:r>
        <w:rPr>
          <w:color w:val="000000"/>
        </w:rPr>
        <w:t xml:space="preserve"> “</w:t>
      </w:r>
      <w:r>
        <w:rPr>
          <w:rFonts w:ascii="Times New Roman;sans-serif" w:hAnsi="Times New Roman;sans-serif"/>
          <w:b w:val="false"/>
          <w:color w:val="000000"/>
          <w:sz w:val="23"/>
        </w:rPr>
        <w:t>Subsequent Change” has the meaning set forth in Section 3.7.</w:t>
      </w:r>
    </w:p>
    <w:p>
      <w:pPr>
        <w:pStyle w:val="TextBody"/>
        <w:spacing w:lineRule="auto" w:line="240" w:before="0" w:after="240"/>
        <w:ind w:left="0" w:right="0" w:firstLine="720"/>
        <w:jc w:val="both"/>
        <w:rPr/>
      </w:pPr>
      <w:r>
        <w:rPr>
          <w:rFonts w:ascii="Times New Roman;sans-serif" w:hAnsi="Times New Roman;sans-serif"/>
          <w:b/>
          <w:color w:val="000000"/>
          <w:sz w:val="23"/>
        </w:rPr>
        <w:t>1.42</w:t>
      </w:r>
      <w:r>
        <w:rPr>
          <w:rFonts w:ascii="Times New Roman;sans-serif" w:hAnsi="Times New Roman;sans-serif"/>
          <w:b/>
          <w:color w:val="000000"/>
          <w:sz w:val="23"/>
        </w:rPr>
        <w:t>Trust.</w:t>
      </w:r>
      <w:r>
        <w:rPr>
          <w:color w:val="000000"/>
        </w:rPr>
        <w:t xml:space="preserve"> “</w:t>
      </w:r>
      <w:r>
        <w:rPr>
          <w:rFonts w:ascii="Times New Roman;sans-serif" w:hAnsi="Times New Roman;sans-serif"/>
          <w:b w:val="false"/>
          <w:color w:val="000000"/>
          <w:sz w:val="23"/>
        </w:rPr>
        <w:t>Trust” has the meaning set forth in Section 4.1.</w:t>
      </w:r>
    </w:p>
    <w:p>
      <w:pPr>
        <w:pStyle w:val="TextBody"/>
        <w:spacing w:lineRule="auto" w:line="240" w:before="0" w:after="240"/>
        <w:ind w:left="0" w:right="0" w:firstLine="720"/>
        <w:jc w:val="both"/>
        <w:rPr/>
      </w:pPr>
      <w:r>
        <w:rPr>
          <w:rFonts w:ascii="Times New Roman;sans-serif" w:hAnsi="Times New Roman;sans-serif"/>
          <w:b/>
          <w:color w:val="000000"/>
          <w:sz w:val="23"/>
        </w:rPr>
        <w:t>1.43</w:t>
      </w:r>
      <w:r>
        <w:rPr>
          <w:rFonts w:ascii="Times New Roman;sans-serif" w:hAnsi="Times New Roman;sans-serif"/>
          <w:b/>
          <w:color w:val="000000"/>
          <w:sz w:val="23"/>
        </w:rPr>
        <w:t>Unforeseeable Emergency.</w:t>
      </w:r>
      <w:r>
        <w:rPr>
          <w:color w:val="000000"/>
        </w:rPr>
        <w:t xml:space="preserve"> “</w:t>
      </w:r>
      <w:r>
        <w:rPr>
          <w:rFonts w:ascii="Times New Roman;sans-serif" w:hAnsi="Times New Roman;sans-serif"/>
          <w:b w:val="false"/>
          <w:color w:val="000000"/>
          <w:sz w:val="23"/>
        </w:rPr>
        <w:t>Unforeseeable Emergency” means (i) a severe financial hardship to the Participant resulting from an illness or accident of the Participant or the Participant’s spouse, Beneficiary or dependent (as defined in Section 152(a) of the Code), (ii) loss of the Participant’s property due to casualty, or (iii) other similar extraordinary and unforeseeable circumstances arising as a result of events beyond the control of the Participant, each as determined to exist by the Administrator, in its sole and absolute discretion as defined by Section 409A of the Code.</w:t>
      </w:r>
    </w:p>
    <w:p>
      <w:pPr>
        <w:pStyle w:val="TextBody"/>
        <w:spacing w:lineRule="auto" w:line="240" w:before="0" w:after="240"/>
        <w:jc w:val="center"/>
        <w:rPr/>
      </w:pPr>
      <w:r>
        <w:rPr>
          <w:rFonts w:ascii="Times New Roman;sans-serif" w:hAnsi="Times New Roman;sans-serif"/>
          <w:b/>
          <w:color w:val="000000"/>
          <w:sz w:val="24"/>
        </w:rPr>
        <w:t>ARTICLE 3.</w:t>
      </w:r>
      <w:r>
        <w:rPr>
          <w:rFonts w:ascii="Times New Roman;sans-serif" w:hAnsi="Times New Roman;sans-serif"/>
          <w:b/>
          <w:color w:val="000000"/>
          <w:sz w:val="23"/>
        </w:rPr>
        <w:br/>
        <w:br/>
        <w:t>ELIGIBILITY; DEFERRAL ELECTION; CONVERSION OF ANNUAL FEES</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Eligibility Requirements.</w:t>
      </w:r>
      <w:r>
        <w:rPr>
          <w:color w:val="000000"/>
        </w:rPr>
        <w:t xml:space="preserve"> </w:t>
      </w:r>
      <w:r>
        <w:rPr>
          <w:rFonts w:ascii="Times New Roman;sans-serif" w:hAnsi="Times New Roman;sans-serif"/>
          <w:b w:val="false"/>
          <w:color w:val="000000"/>
          <w:sz w:val="23"/>
        </w:rPr>
        <w:t>Any Nonemployee Director shall become a Participant on the Enrollment Date coincident with or next following his or her selection by the Administrator and notification thereof.</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Ineligible Participant.</w:t>
      </w:r>
      <w:r>
        <w:rPr>
          <w:color w:val="000000"/>
        </w:rPr>
        <w:t xml:space="preserve"> </w:t>
      </w:r>
      <w:r>
        <w:rPr>
          <w:rFonts w:ascii="Times New Roman;sans-serif" w:hAnsi="Times New Roman;sans-serif"/>
          <w:b w:val="false"/>
          <w:color w:val="000000"/>
          <w:sz w:val="23"/>
        </w:rPr>
        <w:t>If the Administrator determines that a Participant is no longer eligible to participate in the Plan, the Participant’s Deferral Election shall terminate and he or she shall make no more contributions under the Plan until it is again determined that he or she is eligible to participate. The Account of such a Participant shall continue to be adjusted pursuant to the provisions of Article 4 until the Account is distributed under Article 5.</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Opportunity to Defer.</w:t>
      </w:r>
      <w:r>
        <w:rPr>
          <w:color w:val="000000"/>
        </w:rPr>
        <w:t xml:space="preserve"> </w:t>
      </w:r>
      <w:r>
        <w:rPr>
          <w:rFonts w:ascii="Times New Roman;sans-serif" w:hAnsi="Times New Roman;sans-serif"/>
          <w:b w:val="false"/>
          <w:color w:val="000000"/>
          <w:sz w:val="23"/>
        </w:rPr>
        <w:t>A Participant may elect to defer payment of a portion of the Compensation otherwise payable to him or her for services to be rendered after his or her Participation Date by any dollar amount or whole percentage of his or her Compensation (subject to such limits and restrictions as to any dollar amount or percentage as may be established from time to time by the Administrator), such amount to be credited to his or her Account under the Plan, subject to any adjustments made pursuant to Section 3.8.</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rPr>
        <w:t>Accounts.</w:t>
      </w:r>
      <w:r>
        <w:rPr>
          <w:color w:val="000000"/>
        </w:rPr>
        <w:t xml:space="preserve"> </w:t>
      </w:r>
      <w:r>
        <w:rPr>
          <w:rFonts w:ascii="Times New Roman;sans-serif" w:hAnsi="Times New Roman;sans-serif"/>
          <w:b w:val="false"/>
          <w:color w:val="000000"/>
          <w:sz w:val="23"/>
        </w:rPr>
        <w:t xml:space="preserve">A Cash Deferred Account or a Stock Deferred Account shall be established for each Participant by the Company as of the effective date of such Participant’s first </w:t>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43535"/>
                <wp:effectExtent l="0" t="0" r="0" b="0"/>
                <wp:wrapNone/>
                <wp:docPr id="173" name="Frame14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Deferral Election of his or her Cash Compensation or Stock Compensation, respectively. A Restricted Stock Unit Account shall be established for each Participant by the Company as of the effective date of such Participant’s first Deferral Election in which the Participant elects to convert a portion of his or her Cash Compensation into Converted Restricted Stock Units.</w:t>
      </w:r>
    </w:p>
    <w:p>
      <w:pPr>
        <w:pStyle w:val="TextBody"/>
        <w:spacing w:lineRule="auto" w:line="240" w:before="0" w:after="240"/>
        <w:ind w:left="0" w:right="0" w:firstLine="720"/>
        <w:jc w:val="both"/>
        <w:rPr/>
      </w:pPr>
      <w:r>
        <w:rPr>
          <w:rFonts w:ascii="Times New Roman;sans-serif" w:hAnsi="Times New Roman;sans-serif"/>
          <w:b/>
          <w:color w:val="000000"/>
          <w:sz w:val="23"/>
        </w:rPr>
        <w:t>1.5</w:t>
      </w:r>
      <w:r>
        <w:rPr>
          <w:rFonts w:ascii="Times New Roman;sans-serif" w:hAnsi="Times New Roman;sans-serif"/>
          <w:b/>
          <w:color w:val="000000"/>
          <w:sz w:val="23"/>
        </w:rPr>
        <w:t>Deferral Elections.</w:t>
      </w:r>
    </w:p>
    <w:p>
      <w:pPr>
        <w:pStyle w:val="TextBody"/>
        <w:spacing w:lineRule="auto" w:line="240" w:before="0" w:after="240"/>
        <w:ind w:left="0" w:right="0" w:firstLine="1440"/>
        <w:jc w:val="both"/>
        <w:rPr/>
      </w:pPr>
      <w:r>
        <w:rPr>
          <w:rFonts w:ascii="Times New Roman;sans-serif" w:hAnsi="Times New Roman;sans-serif"/>
          <w:b/>
          <w:color w:val="000000"/>
          <w:sz w:val="23"/>
        </w:rPr>
        <w:t>(a)</w:t>
      </w:r>
      <w:r>
        <w:rPr>
          <w:rFonts w:ascii="Times New Roman;sans-serif" w:hAnsi="Times New Roman;sans-serif"/>
          <w:b w:val="false"/>
          <w:color w:val="000000"/>
          <w:sz w:val="23"/>
        </w:rPr>
        <w:t>The initial Deferral Election of a new Participant with respect to Compensation shall be made by written notice signed by the Participant and delivered to the Company not later than thirty (30) days after the Participant first becomes eligible to participate in the Plan or any other plan maintained by the Company that provides for the deferral of the Participant’s compensation; provided, however, subject to Section 3.5(b), such initial Deferral Election shall not apply to any portion of his or her Compensation earned for service prior to the date such election form is filed with the Company. Any subsequent Deferral Elections shall be made by written notice signed by the Participant and delivered to the Company not later than the last day of the month prior to the next succeeding Plan Year or such other date specified by the Administrator, but in all cases before the first day of the next succeeding Plan Year, and shall be effective on the first day of such succeeding Plan Year with respect to Compensation to be earned in such subsequent Plan Year. A Deferral Election with respect to the deferral of future Compensation shall be an irrevocable election for each Plan Year (and shall become irrevocable immediately prior to the Enrollment Date to which such Deferral Election relates) unless otherwise modified or revoked during the Plan Year as provided in Section 3.6. The termination of participation in the Plan shall not affect amounts (and the deemed investment earnings and losses thereon) previously deferred by a Participant under the Plan.</w:t>
      </w:r>
    </w:p>
    <w:p>
      <w:pPr>
        <w:pStyle w:val="TextBody"/>
        <w:spacing w:lineRule="auto" w:line="240" w:before="0" w:after="240"/>
        <w:ind w:left="0" w:right="0" w:firstLine="1440"/>
        <w:jc w:val="both"/>
        <w:rPr/>
      </w:pPr>
      <w:r>
        <w:rPr>
          <w:rFonts w:ascii="Times New Roman;sans-serif" w:hAnsi="Times New Roman;sans-serif"/>
          <w:b/>
          <w:color w:val="000000"/>
          <w:sz w:val="23"/>
        </w:rPr>
        <w:t>(b)</w:t>
      </w:r>
      <w:r>
        <w:rPr>
          <w:rFonts w:ascii="Times New Roman;sans-serif" w:hAnsi="Times New Roman;sans-serif"/>
          <w:b w:val="false"/>
          <w:color w:val="000000"/>
          <w:sz w:val="23"/>
        </w:rPr>
        <w:t>A Deferral Election made pursuant to Section 3.5(a) shall be made on a form prescribed by the Company or by completing an electronic document or other procedures determined by the Company and the Deferral Election shall state: (i) that the Participant wishes to make an election to defer the receipt of all or a portion of his or her Compensation; (ii) the whole percentage, dollar amount, or other portion of such Compensation to be deferred; and (iii) the Specified Payment Date, if any, on which the Participant shall receive or begin to receive the distributions of his or her Accounts with respect to the Compensation deferred under such Deferral Election. Each Deferral Election with respect to Compensation shall also include the Participant’s election regarding the form of payment to be received upon his or her death, Disability, Separation from Service or applicable Specified Payment Date, such form to be either (1) a lump sum or (2) monthly, quarterly, or annual installments over a period not to exceed fifteen (15) years. The Deferral Election with respect to the form of payment shall govern the distribution of such Participant’s Account(s), except as provided in Section 3.7. If a Participant fails to specify a form of payment, his or her Account(s) shall be distributed in a lump sum.</w:t>
      </w:r>
    </w:p>
    <w:p>
      <w:pPr>
        <w:pStyle w:val="TextBody"/>
        <w:spacing w:lineRule="auto" w:line="240" w:before="0" w:after="240"/>
        <w:ind w:left="0" w:right="0" w:firstLine="720"/>
        <w:jc w:val="both"/>
        <w:rPr/>
      </w:pPr>
      <w:r>
        <w:rPr>
          <w:rFonts w:ascii="Times New Roman;sans-serif" w:hAnsi="Times New Roman;sans-serif"/>
          <w:b/>
          <w:color w:val="000000"/>
          <w:sz w:val="23"/>
        </w:rPr>
        <w:t>1.6</w:t>
      </w:r>
      <w:r>
        <w:rPr>
          <w:rFonts w:ascii="Times New Roman;sans-serif" w:hAnsi="Times New Roman;sans-serif"/>
          <w:b/>
          <w:color w:val="000000"/>
          <w:sz w:val="23"/>
        </w:rPr>
        <w:t>Suspension of Deferral Election.</w:t>
      </w:r>
      <w:r>
        <w:rPr>
          <w:color w:val="000000"/>
        </w:rPr>
        <w:t xml:space="preserve"> </w:t>
      </w:r>
      <w:r>
        <w:rPr>
          <w:rFonts w:ascii="Times New Roman;sans-serif" w:hAnsi="Times New Roman;sans-serif"/>
          <w:b w:val="false"/>
          <w:color w:val="000000"/>
          <w:sz w:val="23"/>
        </w:rPr>
        <w:t>Notwithstanding the provisions of Section 3.5, the Administrator, in its sole discretion upon written application by a Participant, may authorize the suspension of a Participant’s Deferral Election in the event of an Unforeseeable Emergency. Any suspension authorized by the Administrator shall become effective as soon as practicable after the Administrator’s receipt of a suspension application, but no later than the first payroll period beginning thirty (30) days after the receipt of such suspension application. Such suspension shall be effective for the remainder of the Plan Year and shall be deemed an annual election for each succeeding Plan Year unless a subsequent Deferral Election is made with the Company pursuant to Section 3.5.</w:t>
      </w:r>
    </w:p>
    <w:p>
      <w:pPr>
        <w:pStyle w:val="TextBody"/>
        <w:spacing w:lineRule="auto" w:line="240" w:before="0" w:after="240"/>
        <w:ind w:left="0" w:right="0" w:firstLine="720"/>
        <w:jc w:val="both"/>
        <w:rPr/>
      </w:pPr>
      <w:r>
        <w:rPr>
          <w:rFonts w:ascii="Times New Roman;sans-serif" w:hAnsi="Times New Roman;sans-serif"/>
          <w:b/>
          <w:color w:val="000000"/>
          <w:sz w:val="23"/>
        </w:rPr>
        <w:t>1.7</w:t>
      </w:r>
      <w:r>
        <w:rPr>
          <w:rFonts w:ascii="Times New Roman;sans-serif" w:hAnsi="Times New Roman;sans-serif"/>
          <w:b/>
          <w:color w:val="000000"/>
          <w:sz w:val="23"/>
        </w:rPr>
        <w:t xml:space="preserve">Change in Form of Distribution and Specified Payment Date. </w:t>
      </w:r>
      <w:r>
        <w:rPr>
          <w:rFonts w:ascii="Times New Roman;sans-serif" w:hAnsi="Times New Roman;sans-serif"/>
          <w:b w:val="false"/>
          <w:color w:val="000000"/>
          <w:sz w:val="23"/>
        </w:rPr>
        <w:t xml:space="preserve">If approved by the Administrator, a Participant may amend a prior Deferral Election on a form prescribed by the Company or by completing an electronic document or other procedures determined by the Company in order to change the form of the distribution of his or her Accounts and/or any Specified Payment Date (in each case, a “Subsequent Change”). A Subsequent Change shall be given effect by the Administrator only if the election to change the form of payment or the Specified Payment Date </w:t>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43535"/>
                <wp:effectExtent l="0" t="0" r="0" b="0"/>
                <wp:wrapNone/>
                <wp:docPr id="174" name="Frame14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5</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 does not take effect until at least twelve (12) months after the date on which the election is made and (b) is made at least twelve (12) months prior to the date a lump sum is scheduled to be paid or, in the case of installment payments, twelve (12) months prior to the date the first payment is scheduled to be paid. Notwithstanding anything herein to the contrary, any payment with respect to which a Participant makes a Subsequent Change shall not be made before the fifth (5th) anniversary of the date on which the payment would have been made had the Participant not made the Subsequent Change.</w:t>
      </w:r>
    </w:p>
    <w:p>
      <w:pPr>
        <w:pStyle w:val="TextBody"/>
        <w:spacing w:lineRule="auto" w:line="240" w:before="0" w:after="240"/>
        <w:ind w:left="0" w:right="0" w:firstLine="720"/>
        <w:jc w:val="both"/>
        <w:rPr/>
      </w:pPr>
      <w:r>
        <w:rPr>
          <w:rFonts w:ascii="Times New Roman;sans-serif" w:hAnsi="Times New Roman;sans-serif"/>
          <w:b/>
          <w:color w:val="000000"/>
          <w:sz w:val="23"/>
        </w:rPr>
        <w:t>1.8</w:t>
      </w:r>
      <w:r>
        <w:rPr>
          <w:rFonts w:ascii="Times New Roman;sans-serif" w:hAnsi="Times New Roman;sans-serif"/>
          <w:b/>
          <w:color w:val="000000"/>
          <w:sz w:val="23"/>
        </w:rPr>
        <w:t>Conversion of Cash Compensation into Restricted Stock Units.</w:t>
      </w:r>
      <w:r>
        <w:rPr>
          <w:color w:val="000000"/>
        </w:rPr>
        <w:t xml:space="preserve"> </w:t>
      </w:r>
      <w:r>
        <w:rPr>
          <w:rFonts w:ascii="Times New Roman;sans-serif" w:hAnsi="Times New Roman;sans-serif"/>
          <w:b w:val="false"/>
          <w:color w:val="000000"/>
          <w:sz w:val="23"/>
        </w:rPr>
        <w:t>Each Participant may elect in his or her Deferral Election to convert all or a portion of his or her Cash Compensation that he or she elects to defer during the applicable Plan Year pursuant to this Article 3 into Restricted Stock Units (the “Converted Restricted Stock Units”), which Converted Restricted Stock Units shall be credited to the Participant’s Restricted Stock Unit Account. In such case, the number of Converted Restricted Stock Units will equal the amount of Cash Compensation, or the portion thereof, that the Participant elects to convert into Restricted Stock Units divided by the Fair Market Value on the date on which the Cash Compensation, or the portion thereof, would be paid, and such Converted Restricted Stock Units shall be credited to the Participant’s Restricted Stock Unit Account on such date. Converted Restricted Stock Units will be granted pursuant to the terms and conditions of the 2015 Stock Incentive Plan.</w:t>
      </w:r>
    </w:p>
    <w:p>
      <w:pPr>
        <w:pStyle w:val="TextBody"/>
        <w:spacing w:lineRule="auto" w:line="240" w:before="0" w:after="240"/>
        <w:jc w:val="center"/>
        <w:rPr/>
      </w:pPr>
      <w:r>
        <w:rPr>
          <w:rFonts w:ascii="Times New Roman;sans-serif" w:hAnsi="Times New Roman;sans-serif"/>
          <w:b/>
          <w:color w:val="000000"/>
          <w:sz w:val="24"/>
        </w:rPr>
        <w:t>ARTICLE 4.</w:t>
      </w:r>
      <w:r>
        <w:rPr>
          <w:rFonts w:ascii="Times New Roman;sans-serif" w:hAnsi="Times New Roman;sans-serif"/>
          <w:b/>
          <w:color w:val="000000"/>
          <w:sz w:val="23"/>
        </w:rPr>
        <w:br/>
        <w:br/>
        <w:t>INVESTMENT OF CASH DEFERRED ACCOUNTS;</w:t>
        <w:br/>
        <w:t>DIVIDEND EQUIVALENTS; REPORTS</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Rabbi Trust.</w:t>
      </w:r>
      <w:r>
        <w:rPr>
          <w:color w:val="000000"/>
        </w:rPr>
        <w:t xml:space="preserve"> </w:t>
      </w:r>
      <w:r>
        <w:rPr>
          <w:rFonts w:ascii="Times New Roman;sans-serif" w:hAnsi="Times New Roman;sans-serif"/>
          <w:b w:val="false"/>
          <w:color w:val="000000"/>
          <w:sz w:val="23"/>
        </w:rPr>
        <w:t>A rabbi trust (the “Trust”) may be established in connection with the Plan. In such case, the Company will transfer the Participants’ deferred Cash Compensation to the Trust. The Trust will be irrevocable and will terminate on the earlier to occur of (i) all funds having been distributed from the Trust, or (ii) the date all obligations under the Plan have been satisfied. The Trust will provide that the assets of the Trust will be distributed only to or for the benefit of the Participants or their beneficiaries unless the insolvency provisions of the Trust apply. The Company will appoint an independent trustee for the Trust and will enter into a trust agreement, in form and substance acceptable to the Company, with the Trustee. The Administrator shall select the initial independent trustee.</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Hypothetical Investments.</w:t>
      </w:r>
      <w:r>
        <w:rPr>
          <w:color w:val="000000"/>
        </w:rPr>
        <w:t xml:space="preserve"> </w:t>
      </w:r>
      <w:r>
        <w:rPr>
          <w:rFonts w:ascii="Times New Roman;sans-serif" w:hAnsi="Times New Roman;sans-serif"/>
          <w:b w:val="false"/>
          <w:color w:val="000000"/>
          <w:sz w:val="23"/>
        </w:rPr>
        <w:t>Any amounts of cash credited to a Participant’s Cash Deferred Account shall be deemed to be invested in one or more hypothetical investments (“Hypothetical Investments”). Each Participant shall select Hypothetical Investments from a list of investments selected from time to time by the Administrator (“Account List”), and subject to any limitation on permissible allocations among groups of Hypothetical Investments that the Administrator may establish. The Administrator may change or discontinue any Hypothetical Investment at any time; provided that, following a Corporate Transaction, the Administrator may not change or modify the investment options existing immediately prior to such Corporate Transaction in any manner that is adverse to the Participants. In any case, the Trust may (but will not be required to) make actual investments that mirror a Participant’s Hypothetical Investments.</w:t>
      </w:r>
    </w:p>
    <w:p>
      <w:pPr>
        <w:pStyle w:val="TextBody"/>
        <w:spacing w:lineRule="auto" w:line="240" w:before="0" w:after="240"/>
        <w:ind w:left="0" w:right="0" w:firstLine="1440"/>
        <w:jc w:val="both"/>
        <w:rPr/>
      </w:pPr>
      <w:r>
        <w:rPr>
          <w:rFonts w:ascii="Times New Roman;sans-serif" w:hAnsi="Times New Roman;sans-serif"/>
          <w:b/>
          <w:color w:val="000000"/>
          <w:sz w:val="23"/>
        </w:rPr>
        <w:t>(a)</w:t>
      </w:r>
      <w:r>
        <w:rPr>
          <w:rFonts w:ascii="Times New Roman;sans-serif" w:hAnsi="Times New Roman;sans-serif"/>
          <w:b w:val="false"/>
          <w:color w:val="000000"/>
          <w:sz w:val="23"/>
        </w:rPr>
        <w:t>The amounts of hypothetical income, appreciation and depreciation in value of the Hypothetical Investments shall be credited and debited to, or otherwise reflected in, such Cash Deferred Account from time to time in accordance with procedures established by the Administrator. Unless otherwise determined by the Administrator, amounts credited to a Participant’s Cash Deferred Account shall be deemed invested in Hypothetical Investments as of the date so credited. Each Participant shall assume the investment risk of the Hypothetical Investments.</w:t>
      </w:r>
    </w:p>
    <w:p>
      <w:pPr>
        <w:pStyle w:val="TextBody"/>
        <w:spacing w:lineRule="auto" w:line="240" w:before="0" w:after="240"/>
        <w:ind w:left="0" w:right="0" w:firstLine="1440"/>
        <w:jc w:val="both"/>
        <w:rPr/>
      </w:pPr>
      <w:r>
        <w:rPr>
          <w:rFonts w:ascii="Times New Roman;sans-serif" w:hAnsi="Times New Roman;sans-serif"/>
          <w:b/>
          <w:color w:val="000000"/>
          <w:sz w:val="23"/>
        </w:rPr>
        <w:t>(b)</w:t>
      </w:r>
      <w:r>
        <w:rPr>
          <w:rFonts w:ascii="Times New Roman;sans-serif" w:hAnsi="Times New Roman;sans-serif"/>
          <w:b w:val="false"/>
          <w:color w:val="000000"/>
          <w:sz w:val="23"/>
        </w:rPr>
        <w:t xml:space="preserve">A Participant may allocate and reallocate amounts credited to the Participant’s Cash Deferred Account to one or more of the Hypothetical Investments authorized under the Plan with such frequency as and subject to such procedures and rules as determined by the </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43535"/>
                <wp:effectExtent l="0" t="0" r="0" b="0"/>
                <wp:wrapNone/>
                <wp:docPr id="175" name="Frame14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6</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Administrator. The Administrator may restrict or prohibit reallocation of amounts deemed invested in specified Hypothetical Investments to comply with applicable law or regulation.</w:t>
      </w:r>
    </w:p>
    <w:p>
      <w:pPr>
        <w:pStyle w:val="TextBody"/>
        <w:spacing w:lineRule="auto" w:line="240" w:before="0" w:after="240"/>
        <w:ind w:left="0" w:right="0" w:firstLine="1440"/>
        <w:jc w:val="both"/>
        <w:rPr/>
      </w:pPr>
      <w:r>
        <w:rPr>
          <w:rFonts w:ascii="Times New Roman;sans-serif" w:hAnsi="Times New Roman;sans-serif"/>
          <w:b/>
          <w:color w:val="000000"/>
          <w:sz w:val="23"/>
        </w:rPr>
        <w:t>(c)</w:t>
      </w:r>
      <w:r>
        <w:rPr>
          <w:rFonts w:ascii="Times New Roman;sans-serif" w:hAnsi="Times New Roman;sans-serif"/>
          <w:b w:val="false"/>
          <w:color w:val="000000"/>
          <w:sz w:val="23"/>
        </w:rPr>
        <w:t>Notwithstanding any other provision of this Plan that may be interpreted to the contrary, the Hypothetical Investments are to be used for measurement purposes only. A Participant’s election of any such Hypothetical Investments, the allocation of such Hypothetical Investments to his or her Cash Deferred Account, the calculation of additional amounts and the crediting or debiting of such amounts to a Participant’s Cash Deferred Account shall not be considered or construed in any manner as an actual investment of his or her Cash Deferred Account in any such Hypothetical Investments. In the event that the Administrator, in its discretion, decides to cause the Trustee to invest funds in any or all of the Hypothetical Investments, no Participant shall have any rights in or to such investments themselves. Without limiting the foregoing, a Participant’s Cash Deferred Account shall at all times be a bookkeeping entry only and shall not represent any investment made on his or her behalf by the Company or the Trust. The Participant shall at all times remain an unsecured creditor of the Company with respect to his or her Cash Deferred Account.</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 xml:space="preserve">Dividend Equivalents. </w:t>
      </w:r>
      <w:r>
        <w:rPr>
          <w:rFonts w:ascii="Times New Roman;sans-serif" w:hAnsi="Times New Roman;sans-serif"/>
          <w:b w:val="false"/>
          <w:color w:val="000000"/>
          <w:sz w:val="23"/>
        </w:rPr>
        <w:t>The Company may credit a Participant with Dividend Equivalents with respect to share of Class A Common Stock credited to his or her Stock Deferred Account and each Restricted Stock Unit credited to his or her Restricted Stock Unit Account. Dividend Equivalents, if any, shall be accrued and paid in cash to a Participant upon the distribution of his or her Stock Deferred Account or Restricted Stock Unit Account, as applicable. The cash value of the Dividend Equivalents shall not be credited to the Participant’s Cash Deferred Account.</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rPr>
        <w:t>Participant Reports.</w:t>
      </w:r>
      <w:r>
        <w:rPr>
          <w:color w:val="000000"/>
        </w:rPr>
        <w:t xml:space="preserve"> </w:t>
      </w:r>
      <w:r>
        <w:rPr>
          <w:rFonts w:ascii="Times New Roman;sans-serif" w:hAnsi="Times New Roman;sans-serif"/>
          <w:b w:val="false"/>
          <w:color w:val="000000"/>
          <w:sz w:val="23"/>
        </w:rPr>
        <w:t>At the end of each Plan Year (or on a more frequent basis as determined by the Administrator), a report shall be issued to each Participant who has an Account, and such report will set forth the value of each such Account and, as applicable, the number of shares of Class A Common Stock or Restricted Stock Units credited to each such Account.</w:t>
      </w:r>
    </w:p>
    <w:p>
      <w:pPr>
        <w:pStyle w:val="TextBody"/>
        <w:spacing w:lineRule="auto" w:line="240" w:before="0" w:after="240"/>
        <w:jc w:val="center"/>
        <w:rPr/>
      </w:pPr>
      <w:r>
        <w:rPr>
          <w:rFonts w:ascii="Times New Roman;sans-serif" w:hAnsi="Times New Roman;sans-serif"/>
          <w:b/>
          <w:color w:val="000000"/>
          <w:sz w:val="24"/>
        </w:rPr>
        <w:t>ARTICLE 5.</w:t>
      </w:r>
      <w:r>
        <w:rPr>
          <w:rFonts w:ascii="Times New Roman;sans-serif" w:hAnsi="Times New Roman;sans-serif"/>
          <w:b/>
          <w:color w:val="000000"/>
          <w:sz w:val="23"/>
        </w:rPr>
        <w:br/>
        <w:br/>
        <w:t>DISTRIBUTION OF ACCOUNTS</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Distribution upon a Specified Payment Date.</w:t>
      </w:r>
      <w:r>
        <w:rPr>
          <w:color w:val="000000"/>
        </w:rPr>
        <w:t xml:space="preserve"> </w:t>
      </w:r>
      <w:r>
        <w:rPr>
          <w:rFonts w:ascii="Times New Roman;sans-serif" w:hAnsi="Times New Roman;sans-serif"/>
          <w:b w:val="false"/>
          <w:color w:val="000000"/>
          <w:sz w:val="23"/>
        </w:rPr>
        <w:t>Subject to Section 5.10, if a Participant’s Deferral Election provides for distributions based on the occurrence of a Specified Payment Date, upon such Specified Payment Date, the Account(s) attributable to such Deferral Election shall be distributed to the Participant in a lump sum or, with respect to an Account for which the Deferral Election provides for a fixed schedule, shall commence to be distributed to the Participant in equal monthly, quarterly or annual installments not to exceed a fifteen (15) year period as specified on the Participant’s Deferral Election. In the event the value of any Participant’s Cash Deferred Account as of his or her Specified Payment Date is ten thousand dollars ($10,000) or less, the Cash Deferred Account shall be distributed in cash in a lump sum notwithstanding the Participant’s election to have his or her Cash Deferred Account distributed in installments under the Plan. The Cash Deferred Account shall be valued on the date a distribution is processed. All payments and deliveries due under this Section 5.1 shall be made or shall commence as soon as reasonably feasible following the Participant’s Specified Payment Date, but in no event later than thirty (30) days following the Specified Payment Date; provided that, if such thirty-day period ends in the taxable year following the year in which the Specified Payment Date occurs, the Participant shall not have the right to designate the year of payment.</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43535"/>
                <wp:effectExtent l="0" t="0" r="0" b="0"/>
                <wp:wrapNone/>
                <wp:docPr id="176" name="Frame14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7</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 xml:space="preserve">Distribution upon Separation From Service. </w:t>
      </w:r>
      <w:r>
        <w:rPr>
          <w:rFonts w:ascii="Times New Roman;sans-serif" w:hAnsi="Times New Roman;sans-serif"/>
          <w:b w:val="false"/>
          <w:color w:val="000000"/>
          <w:sz w:val="23"/>
        </w:rPr>
        <w:t>Subject to 7(j), if a Participant’s Deferral Election provides for a distribution based on his or her Separation from Service, upon such Separation from Service, the Account(s) attributable to such Deferral Election shall be distributed to the Participant in a lump sum or, with respect to an Account for which the Deferral Election provides for a fixed schedule, in equal monthly, quarterly or annual installments not to exceed a fifteen (15) year period as specified on the Participant’s Deferral Election. In the event the value of any Participant’s Cash Deferred Account at the time distribution is to commence is ten thousand dollars ($10,000) or less, the Cash Deferred Account shall be distributed in cash in a lump sum notwithstanding the Participant’s election to have his or her Cash Deferred Account distributed in installments under the Plan. The Cash Deferred Account shall be valued on the date a distribution is processed. Subject to the last sentence of this Section 5.2, all payments and deliveries due under this Section 5.2 shall be made or shall commence as soon as reasonably feasible following the date of a Participant’s Separation from Service, but in no event later than thirty (30) days following such date; provided that, if such thirty-day period ends in the taxable year following the year in which the Separation from Service occurs, the Participant shall not have the right to designate the year of payment. Notwithstanding the foregoing, distributions to a Specified Employee as a result of Separation from Service, whether the distribution is made in the form of a lump sum or installments, shall not be made or the payments may not begin before the date which is six (6) months after the date of the Separation from Service, or, if earlier, the date of death of the Specified Employee.</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Distribution upon Death.</w:t>
      </w:r>
      <w:r>
        <w:rPr>
          <w:color w:val="000000"/>
        </w:rPr>
        <w:t xml:space="preserve"> </w:t>
      </w:r>
      <w:r>
        <w:rPr>
          <w:rFonts w:ascii="Times New Roman;sans-serif" w:hAnsi="Times New Roman;sans-serif"/>
          <w:b w:val="false"/>
          <w:color w:val="000000"/>
          <w:sz w:val="23"/>
        </w:rPr>
        <w:t>Upon the death of a Participant prior to the payment of his or her Accounts, the balance of his or her Accounts shall be paid to the Participant’s Beneficiary in a lump sum or, with respect to an Account for which the Deferral Election provides for a fixed schedule, in equal monthly, quarterly or annual installments not to exceed a fifteen (15) year period as specified on the Participant’s Deferral Election form with such payment to be made or payments to commence in the case of installment distributions within sixty (60) days following the date of the Participant’s death; provided that, if such sixty-day period ends in the taxable year following the year in which the Participant’s death occurs, neither the Participant nor the Beneficiary shall have the right to designate the year of payment; further, provided, however, if the value of a Cash Deferred Account at the time an installment distribution is to commence is ten thousand dollars ($10,000) or less, the Cash Deferred Account shall be distributed to the Participant’s Beneficiary in a lump sum. The Cash Deferred Account shall be valued on the date a distribution is processed. If a Participant who has elected to have his or her Accounts distributed in installments under the terms of the Plan dies subsequent to the commencement of such installment payments but prior to the completion of such payments, the installments shall continue as if the Participant had not died and shall be paid to the Beneficiary.</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rPr>
        <w:t>Beneficiary Designation.</w:t>
      </w:r>
      <w:r>
        <w:rPr>
          <w:color w:val="000000"/>
        </w:rPr>
        <w:t xml:space="preserve"> </w:t>
      </w:r>
      <w:r>
        <w:rPr>
          <w:rFonts w:ascii="Times New Roman;sans-serif" w:hAnsi="Times New Roman;sans-serif"/>
          <w:b w:val="false"/>
          <w:color w:val="000000"/>
          <w:sz w:val="23"/>
        </w:rPr>
        <w:t>A Participant may designate a Beneficiary or Beneficiaries, and a contingent Beneficiary or Beneficiaries, to receive the undistributed portion of his or her Accounts if he or she dies before distribution is completed. In the event a Beneficiary designation is not on file or all designated Beneficiaries are deceased or cannot be located, payment will be made to the Participant’s estate. The Beneficiary designation may be changed by the Participant or former Participant at any time without the consent of the prior Beneficiary.</w:t>
      </w:r>
    </w:p>
    <w:p>
      <w:pPr>
        <w:pStyle w:val="TextBody"/>
        <w:spacing w:lineRule="auto" w:line="240" w:before="0" w:after="240"/>
        <w:ind w:left="0" w:right="0" w:firstLine="720"/>
        <w:jc w:val="both"/>
        <w:rPr/>
      </w:pPr>
      <w:r>
        <w:rPr>
          <w:rFonts w:ascii="Times New Roman;sans-serif" w:hAnsi="Times New Roman;sans-serif"/>
          <w:b/>
          <w:color w:val="000000"/>
          <w:sz w:val="23"/>
        </w:rPr>
        <w:t>1.5</w:t>
      </w:r>
      <w:r>
        <w:rPr>
          <w:rFonts w:ascii="Times New Roman;sans-serif" w:hAnsi="Times New Roman;sans-serif"/>
          <w:b/>
          <w:color w:val="000000"/>
          <w:sz w:val="23"/>
        </w:rPr>
        <w:t>Distribution upon Disability.</w:t>
      </w:r>
      <w:r>
        <w:rPr>
          <w:color w:val="000000"/>
        </w:rPr>
        <w:t xml:space="preserve"> </w:t>
      </w:r>
      <w:r>
        <w:rPr>
          <w:rFonts w:ascii="Times New Roman;sans-serif" w:hAnsi="Times New Roman;sans-serif"/>
          <w:b w:val="false"/>
          <w:color w:val="000000"/>
          <w:sz w:val="23"/>
        </w:rPr>
        <w:t>Upon the Disability of a Participant prior to the payment of his or her Accounts, the balance of his or her Accounts shall be paid to the Participant in a lump sum or, with respect to his or her Cash Deferred Account, in equal monthly, quarterly or annual installments not to exceed a fifteen (15) year period as specified on the Participant’s Deferral Election form with such payment to be made or payments to commence in the case of installment distributions within ninety (90) days following the date on which the Participant becomes Disabled; provided that, if such ninety-day period ends in the taxable year following the year in which the Participant becomes Disabled, the Participant shall not have the right to designate the year of payment; further, provided, however, if the value of a Cash Deferred Account at the time an installment distribution is to commence is ten thousand dollars ($10,000) or less, the Cash Deferred Account shall be distributed to the Participant in a lump sum. The Cash Deferred Account shall be valued on the date a distribution is processed.</w:t>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43535"/>
                <wp:effectExtent l="0" t="0" r="0" b="0"/>
                <wp:wrapNone/>
                <wp:docPr id="177" name="Frame14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8</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3"/>
        </w:rPr>
        <w:t>1.6</w:t>
      </w:r>
      <w:r>
        <w:rPr>
          <w:rFonts w:ascii="Times New Roman;sans-serif" w:hAnsi="Times New Roman;sans-serif"/>
          <w:b/>
          <w:color w:val="000000"/>
          <w:sz w:val="23"/>
        </w:rPr>
        <w:t>Distribution upon an Unforeseeable Emergency.</w:t>
      </w:r>
      <w:r>
        <w:rPr>
          <w:color w:val="000000"/>
        </w:rPr>
        <w:t xml:space="preserve"> </w:t>
      </w:r>
      <w:r>
        <w:rPr>
          <w:rFonts w:ascii="Times New Roman;sans-serif" w:hAnsi="Times New Roman;sans-serif"/>
          <w:b w:val="false"/>
          <w:color w:val="000000"/>
          <w:sz w:val="23"/>
        </w:rPr>
        <w:t>A Participant may request a distribution of his or her Accounts due to an Unforeseeable Emergency by submitting a written request to the Administrator accompanied by evidence to demonstrate that the circumstances being experienced qualify as an Unforeseeable Emergency. The Administrator shall have the authority to require such evidence as it deems necessary to determine if a distribution is warranted. If an application for a distribution due to an Unforeseeable Emergency is approved, the distribution is limited to an amount sufficient to meet the need resulting from the Unforeseeable Emergency. The allowed distribution shall be payable in the form determined by the Administrator as soon as possible after approval of such distribution.</w:t>
      </w:r>
    </w:p>
    <w:p>
      <w:pPr>
        <w:pStyle w:val="TextBody"/>
        <w:spacing w:lineRule="auto" w:line="240" w:before="0" w:after="240"/>
        <w:ind w:left="0" w:right="0" w:firstLine="720"/>
        <w:jc w:val="both"/>
        <w:rPr/>
      </w:pPr>
      <w:r>
        <w:rPr>
          <w:rFonts w:ascii="Times New Roman;sans-serif" w:hAnsi="Times New Roman;sans-serif"/>
          <w:b/>
          <w:color w:val="000000"/>
          <w:sz w:val="23"/>
        </w:rPr>
        <w:t>1.7</w:t>
      </w:r>
      <w:r>
        <w:rPr>
          <w:rFonts w:ascii="Times New Roman;sans-serif" w:hAnsi="Times New Roman;sans-serif"/>
          <w:b/>
          <w:color w:val="000000"/>
          <w:sz w:val="23"/>
        </w:rPr>
        <w:t>Distribution Pursuant to a Domestic Relations Order.</w:t>
      </w:r>
      <w:r>
        <w:rPr>
          <w:color w:val="000000"/>
        </w:rPr>
        <w:t xml:space="preserve"> </w:t>
      </w:r>
      <w:r>
        <w:rPr>
          <w:rFonts w:ascii="Times New Roman;sans-serif" w:hAnsi="Times New Roman;sans-serif"/>
          <w:b w:val="false"/>
          <w:color w:val="000000"/>
          <w:sz w:val="23"/>
        </w:rPr>
        <w:t>The Administrator is authorized to make any payments directed by a Domestic Relations Order in any action in which the Plan or the Administrator has been named as a party. In addition, if a court determines that a spouse or former spouse of a Participant has an interest in the Participant’s benefits under the Plan in connection with a property settlement or otherwise, the Administrator, in its sole discretion, shall have the right, notwithstanding any election made by a Participant, to immediately distribute the spouse’s or former spouse’s interest in the Participant’s benefits under the Plan to that spouse or former spouse.</w:t>
      </w:r>
    </w:p>
    <w:p>
      <w:pPr>
        <w:pStyle w:val="TextBody"/>
        <w:spacing w:lineRule="auto" w:line="240" w:before="0" w:after="240"/>
        <w:ind w:left="0" w:right="0" w:firstLine="720"/>
        <w:jc w:val="both"/>
        <w:rPr/>
      </w:pPr>
      <w:r>
        <w:rPr>
          <w:rFonts w:ascii="Times New Roman;sans-serif" w:hAnsi="Times New Roman;sans-serif"/>
          <w:b/>
          <w:color w:val="000000"/>
          <w:sz w:val="23"/>
        </w:rPr>
        <w:t>1.8</w:t>
      </w:r>
      <w:r>
        <w:rPr>
          <w:rFonts w:ascii="Times New Roman;sans-serif" w:hAnsi="Times New Roman;sans-serif"/>
          <w:b/>
          <w:color w:val="000000"/>
          <w:sz w:val="23"/>
        </w:rPr>
        <w:t>Distribution upon Corporate Transaction.</w:t>
      </w:r>
      <w:r>
        <w:rPr>
          <w:color w:val="000000"/>
        </w:rPr>
        <w:t xml:space="preserve"> </w:t>
      </w:r>
      <w:r>
        <w:rPr>
          <w:rFonts w:ascii="Times New Roman;sans-serif" w:hAnsi="Times New Roman;sans-serif"/>
          <w:b w:val="false"/>
          <w:color w:val="000000"/>
          <w:sz w:val="23"/>
        </w:rPr>
        <w:t>Upon a Corporate Transaction, a Participant shall be paid the balance of his Accounts in a lump sum within sixty (60) days following the date on which the Corporate Transaction occurs; provided that, if such sixty-day period ends in the taxable year following the year in which the Corporate Transaction occurs, the Participant shall not have the right to designate the year of payment.</w:t>
      </w:r>
    </w:p>
    <w:p>
      <w:pPr>
        <w:pStyle w:val="TextBody"/>
        <w:spacing w:lineRule="auto" w:line="240" w:before="0" w:after="240"/>
        <w:ind w:left="0" w:right="0" w:firstLine="720"/>
        <w:jc w:val="both"/>
        <w:rPr/>
      </w:pPr>
      <w:r>
        <w:rPr>
          <w:rFonts w:ascii="Times New Roman;sans-serif" w:hAnsi="Times New Roman;sans-serif"/>
          <w:b/>
          <w:color w:val="000000"/>
          <w:sz w:val="23"/>
        </w:rPr>
        <w:t>1.9</w:t>
      </w:r>
      <w:r>
        <w:rPr>
          <w:rFonts w:ascii="Times New Roman;sans-serif" w:hAnsi="Times New Roman;sans-serif"/>
          <w:b/>
          <w:color w:val="000000"/>
          <w:sz w:val="23"/>
        </w:rPr>
        <w:t>Distribution in the Event of Taxation.</w:t>
      </w:r>
      <w:r>
        <w:rPr>
          <w:color w:val="000000"/>
        </w:rPr>
        <w:t xml:space="preserve"> </w:t>
      </w:r>
      <w:r>
        <w:rPr>
          <w:rFonts w:ascii="Times New Roman;sans-serif" w:hAnsi="Times New Roman;sans-serif"/>
          <w:b w:val="false"/>
          <w:color w:val="000000"/>
          <w:sz w:val="23"/>
        </w:rPr>
        <w:t>If, for any reason, it has been determined that the Plan fails to meet the requirements of Section 409A of the Code, and the failure is not or cannot be corrected under an Internal Revenue Service correction program for such failure, the Administrator shall distribute to the Participant the portion of the Participant’s Account(s) that is required to be included in income as a result of the failure of the Plan to comply with the requirements of Section 409A of the Code.</w:t>
      </w:r>
    </w:p>
    <w:p>
      <w:pPr>
        <w:pStyle w:val="TextBody"/>
        <w:spacing w:lineRule="auto" w:line="240" w:before="0" w:after="240"/>
        <w:ind w:left="0" w:right="0" w:firstLine="720"/>
        <w:jc w:val="both"/>
        <w:rPr/>
      </w:pPr>
      <w:r>
        <w:rPr>
          <w:rFonts w:ascii="Times New Roman;sans-serif" w:hAnsi="Times New Roman;sans-serif"/>
          <w:b/>
          <w:color w:val="000000"/>
          <w:sz w:val="23"/>
        </w:rPr>
        <w:t>1.10</w:t>
      </w:r>
      <w:r>
        <w:rPr>
          <w:rFonts w:ascii="Times New Roman;sans-serif" w:hAnsi="Times New Roman;sans-serif"/>
          <w:b/>
          <w:color w:val="000000"/>
          <w:sz w:val="23"/>
        </w:rPr>
        <w:t>Distribution Events.</w:t>
      </w:r>
      <w:r>
        <w:rPr>
          <w:color w:val="000000"/>
        </w:rPr>
        <w:t xml:space="preserve"> </w:t>
      </w:r>
      <w:r>
        <w:rPr>
          <w:rFonts w:ascii="Times New Roman;sans-serif" w:hAnsi="Times New Roman;sans-serif"/>
          <w:b w:val="false"/>
          <w:color w:val="000000"/>
          <w:sz w:val="23"/>
        </w:rPr>
        <w:t>Notwithstanding any provision of this Plan to the contrary, a Participant’s Account(s) shall be distributed in accordance with his or her Deferral Election made with respect to such Account. With respect to each Account, a Deferral Election shall provide for a distribution on or based on (a) the Participant’s Specified Payment Date, (b) the Participant’s Separation from Service or (c) the first to occur of the Participant’s Specified Payment Date or the Participant’s Separation from Service. Notwithstanding the foregoing, all Accounts, or, if applicable, a portion thereof, shall be distributed on or based on the first to occur of: (i) the Participant’s death, (ii) the Participant’s Disability, (iii) an Unforeseeable Emergency, (iv) the receipt of a Domestic Relations Order requiring distribution, (v) a Corporate Transaction, (vi) income inclusion due to failure to comply with Section 409A of the Code or (vii) a Plan termination pursuant to Section 7.4.</w:t>
      </w:r>
    </w:p>
    <w:p>
      <w:pPr>
        <w:pStyle w:val="TextBody"/>
        <w:spacing w:lineRule="auto" w:line="240" w:before="0" w:after="240"/>
        <w:ind w:left="0" w:right="0" w:firstLine="720"/>
        <w:jc w:val="both"/>
        <w:rPr/>
      </w:pPr>
      <w:r>
        <w:rPr>
          <w:rFonts w:ascii="Times New Roman;sans-serif" w:hAnsi="Times New Roman;sans-serif"/>
          <w:b/>
          <w:color w:val="000000"/>
          <w:sz w:val="23"/>
        </w:rPr>
        <w:t>1.11</w:t>
      </w:r>
      <w:r>
        <w:rPr>
          <w:rFonts w:ascii="Times New Roman;sans-serif" w:hAnsi="Times New Roman;sans-serif"/>
          <w:b/>
          <w:color w:val="000000"/>
          <w:sz w:val="23"/>
        </w:rPr>
        <w:t>Form of Distributions.</w:t>
      </w:r>
      <w:r>
        <w:rPr>
          <w:color w:val="000000"/>
        </w:rPr>
        <w:t xml:space="preserve"> </w:t>
      </w:r>
      <w:r>
        <w:rPr>
          <w:rFonts w:ascii="Times New Roman;sans-serif" w:hAnsi="Times New Roman;sans-serif"/>
          <w:b w:val="false"/>
          <w:color w:val="000000"/>
          <w:sz w:val="23"/>
        </w:rPr>
        <w:t>Distributions made to a Participant with respect to his or her Cash Deferred Account shall be paid in cash. Distributions made to a Participant with respect to her or Stock Deferred Account shall be paid in shares of Class A Common Stock. Distributions made to a Participant with respect to his or her Restricted Stock Unit Account may, in the discretion of the Administrator, be in cash, shares of Class A Common Stock of equivalent Fair Market Value as of the date of vesting, or a combination of both.</w:t>
      </w:r>
    </w:p>
    <w:p>
      <w:pPr>
        <w:pStyle w:val="TextBody"/>
        <w:spacing w:lineRule="auto" w:line="240" w:before="0" w:after="240"/>
        <w:ind w:left="0" w:right="0" w:firstLine="720"/>
        <w:jc w:val="both"/>
        <w:rPr/>
      </w:pPr>
      <w:r>
        <w:rPr>
          <w:rFonts w:ascii="Times New Roman;sans-serif" w:hAnsi="Times New Roman;sans-serif"/>
          <w:b/>
          <w:color w:val="000000"/>
          <w:sz w:val="23"/>
        </w:rPr>
        <w:t>1.12</w:t>
      </w:r>
      <w:r>
        <w:rPr>
          <w:rFonts w:ascii="Times New Roman;sans-serif" w:hAnsi="Times New Roman;sans-serif"/>
          <w:b/>
          <w:color w:val="000000"/>
          <w:sz w:val="23"/>
        </w:rPr>
        <w:t>Rights as a Stockholder.</w:t>
      </w:r>
      <w:r>
        <w:rPr>
          <w:color w:val="000000"/>
        </w:rPr>
        <w:t xml:space="preserve"> </w:t>
      </w:r>
      <w:r>
        <w:rPr>
          <w:rFonts w:ascii="Times New Roman;sans-serif" w:hAnsi="Times New Roman;sans-serif"/>
          <w:b w:val="false"/>
          <w:color w:val="000000"/>
          <w:sz w:val="23"/>
        </w:rPr>
        <w:t>Participants shall have no rights or privileges as a stockholder of the Company with respect to any shares of Class A Common Stock in respect of a Stock Deferred Account or Restricted Stock Unit Account unless and until they become owners of shares of Class A Common Stock following distribution in respect of such Account, in whole or in part, in shares of Class A Common Stock.</w:t>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43535"/>
                <wp:effectExtent l="0" t="0" r="0" b="0"/>
                <wp:wrapNone/>
                <wp:docPr id="178" name="Frame15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9</w:t>
                      </w:r>
                    </w:p>
                    <w:p>
                      <w:pPr>
                        <w:pStyle w:val="TextBody"/>
                        <w:spacing w:before="0" w:after="0"/>
                        <w:rPr/>
                      </w:pPr>
                      <w:r>
                        <w:rPr/>
                      </w:r>
                    </w:p>
                  </w:txbxContent>
                </v:textbox>
              </v:rect>
            </w:pict>
          </mc:Fallback>
        </mc:AlternateContent>
      </w:r>
    </w:p>
    <w:p>
      <w:pPr>
        <w:pStyle w:val="TextBody"/>
        <w:spacing w:lineRule="auto" w:line="240"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3"/>
        </w:rPr>
        <w:br/>
        <w:br/>
        <w:t>ADMINISTRATION OF PLAN; AMENDMENT</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Administrator.</w:t>
      </w:r>
      <w:r>
        <w:rPr>
          <w:color w:val="000000"/>
        </w:rPr>
        <w:t xml:space="preserve"> </w:t>
      </w:r>
      <w:r>
        <w:rPr>
          <w:rFonts w:ascii="Times New Roman;sans-serif" w:hAnsi="Times New Roman;sans-serif"/>
          <w:b w:val="false"/>
          <w:color w:val="000000"/>
          <w:sz w:val="23"/>
        </w:rPr>
        <w:t xml:space="preserve">Authority to control and manage the operation and administration of the Plan shall be vested in the Administrator. Each of the members shall meet the independence requirements under the then applicable rules, regulations or listing requirements adopted by The NASDAQ Stock Market or the principal exchange on which the Class A Common Stock is then listed or admitted to trading. Members of any Committee serving as Administrator may be appointed from time to time by, and shall serve at the pleasure of, the Board. The Board may limit the composition of such Committee to those persons necessary to comply with the requirements of Section 162(m) of the Code and Section 16 of the Exchange Act. </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Powers of the Administrator.</w:t>
      </w:r>
      <w:r>
        <w:rPr>
          <w:color w:val="000000"/>
        </w:rPr>
        <w:t xml:space="preserve"> </w:t>
      </w:r>
      <w:r>
        <w:rPr>
          <w:rFonts w:ascii="Times New Roman;sans-serif" w:hAnsi="Times New Roman;sans-serif"/>
          <w:b w:val="false"/>
          <w:color w:val="000000"/>
          <w:sz w:val="23"/>
        </w:rPr>
        <w:t>In addition to any other powers or authority conferred upon the Administrator elsewhere in this Plan or by law, the Administrator shall have full power and authority: (a) to determine all questions relating to eligibility for participation in the Plan and the amount in the Account or Accounts of the Participants and all questions pertaining to claims for benefits and procedures for claim review; (b) to interpret the Plan and resolve all questions arising under the Plan, including any questions of construction; (c) to create, amend or rescind rules and regulations relating to the Plan; (d) to correct any defect or supply any omission or reconcile any inconsistency in the Plan or in a Deferral Election; (e) to adopt such procedures and sub-plans as are necessary or appropriate to permit participation in the Plan by Nonemployee Directors who are foreign nationals or employed outside the United States; and (f) to make all other determinations and take such further action necessary or advisable for the administration of this Plan, but only to the extent not contrary to the express provisions of this Plan. Any action, decision, interpretation or determination made in good faith by the Administrator in the exercise of its authority conferred upon it under this Plan shall be final and binding on the Company and all Participants. The Administrator may, from time to time, employ other agents and delegate to them such administration duties as it deems necessary, and may, from time to time, consult with counsel.</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Limitation on Liability.</w:t>
      </w:r>
      <w:r>
        <w:rPr>
          <w:color w:val="000000"/>
        </w:rPr>
        <w:t xml:space="preserve"> </w:t>
      </w:r>
      <w:r>
        <w:rPr>
          <w:rFonts w:ascii="Times New Roman;sans-serif" w:hAnsi="Times New Roman;sans-serif"/>
          <w:b w:val="false"/>
          <w:color w:val="000000"/>
          <w:sz w:val="23"/>
        </w:rPr>
        <w:t>No employee of the Company or member of the Board or Committee shall be subject to any liability with respect to duties under the Plan unless the person acts fraudulently or in bad faith. To the extent permitted by law, the Company shall indemnify each member of the Board or Committee, and any employee of the Company with duties under the Plan, who was or is a party, or is threatened to be made a party, to any threatened, pending or completed proceeding, whether civil, criminal, administrative or investigative, by reason of such person’s conduct in the performance of duties under the Plan.</w:t>
      </w:r>
    </w:p>
    <w:p>
      <w:pPr>
        <w:pStyle w:val="TextBody"/>
        <w:spacing w:lineRule="auto" w:line="240" w:before="0" w:after="240"/>
        <w:jc w:val="center"/>
        <w:rPr/>
      </w:pPr>
      <w:r>
        <w:rPr>
          <w:rFonts w:ascii="Times New Roman;sans-serif" w:hAnsi="Times New Roman;sans-serif"/>
          <w:b/>
          <w:color w:val="000000"/>
          <w:sz w:val="24"/>
        </w:rPr>
        <w:t>ARTICLE 7.</w:t>
      </w:r>
      <w:r>
        <w:rPr>
          <w:rFonts w:ascii="Times New Roman;sans-serif" w:hAnsi="Times New Roman;sans-serif"/>
          <w:b/>
          <w:color w:val="000000"/>
          <w:sz w:val="23"/>
        </w:rPr>
        <w:br/>
        <w:br/>
        <w:t>MISCELLANEOUS</w:t>
      </w:r>
    </w:p>
    <w:p>
      <w:pPr>
        <w:pStyle w:val="TextBody"/>
        <w:spacing w:lineRule="auto" w:line="240" w:before="0" w:after="240"/>
        <w:ind w:left="0" w:right="0" w:firstLine="720"/>
        <w:jc w:val="both"/>
        <w:rPr/>
      </w:pPr>
      <w:r>
        <w:rPr>
          <w:rFonts w:ascii="Times New Roman;sans-serif" w:hAnsi="Times New Roman;sans-serif"/>
          <w:b/>
          <w:color w:val="000000"/>
          <w:sz w:val="23"/>
        </w:rPr>
        <w:t>1.1</w:t>
      </w:r>
      <w:r>
        <w:rPr>
          <w:rFonts w:ascii="Times New Roman;sans-serif" w:hAnsi="Times New Roman;sans-serif"/>
          <w:b/>
          <w:color w:val="000000"/>
          <w:sz w:val="23"/>
        </w:rPr>
        <w:t>Benefits Not Alienable.</w:t>
      </w:r>
      <w:r>
        <w:rPr>
          <w:color w:val="000000"/>
        </w:rPr>
        <w:t xml:space="preserve"> </w:t>
      </w:r>
      <w:r>
        <w:rPr>
          <w:rFonts w:ascii="Times New Roman;sans-serif" w:hAnsi="Times New Roman;sans-serif"/>
          <w:b w:val="false"/>
          <w:color w:val="000000"/>
          <w:sz w:val="23"/>
        </w:rPr>
        <w:t>Other than as provided above, benefits under this Plan may not be assigned or alienated, whether voluntarily or involuntarily. Any unauthorized attempt at assignment, transfer, pledge or other disposition shall be without effect.</w:t>
      </w:r>
    </w:p>
    <w:p>
      <w:pPr>
        <w:pStyle w:val="TextBody"/>
        <w:spacing w:lineRule="auto" w:line="240" w:before="0" w:after="240"/>
        <w:ind w:left="0" w:right="0" w:firstLine="720"/>
        <w:jc w:val="both"/>
        <w:rPr/>
      </w:pPr>
      <w:r>
        <w:rPr>
          <w:rFonts w:ascii="Times New Roman;sans-serif" w:hAnsi="Times New Roman;sans-serif"/>
          <w:b/>
          <w:color w:val="000000"/>
          <w:sz w:val="23"/>
        </w:rPr>
        <w:t>1.2</w:t>
      </w:r>
      <w:r>
        <w:rPr>
          <w:rFonts w:ascii="Times New Roman;sans-serif" w:hAnsi="Times New Roman;sans-serif"/>
          <w:b/>
          <w:color w:val="000000"/>
          <w:sz w:val="23"/>
        </w:rPr>
        <w:t>Unsecured General Creditor.</w:t>
      </w:r>
      <w:r>
        <w:rPr>
          <w:color w:val="000000"/>
        </w:rPr>
        <w:t xml:space="preserve"> </w:t>
      </w:r>
      <w:r>
        <w:rPr>
          <w:rFonts w:ascii="Times New Roman;sans-serif" w:hAnsi="Times New Roman;sans-serif"/>
          <w:b w:val="false"/>
          <w:color w:val="000000"/>
          <w:sz w:val="23"/>
        </w:rPr>
        <w:t>The Plan shall at all times be considered entirely unfunded and no provision shall at any time be made with respect to segregating assets of any Participant for payment of any amounts hereunder. The Plan constitutes a mere promise of the Company to make payments to Participants in the future and, subject to Section 4.1, Participants have rights only as unsecured general creditors of the Company.</w:t>
      </w:r>
    </w:p>
    <w:p>
      <w:pPr>
        <w:pStyle w:val="TextBody"/>
        <w:spacing w:lineRule="auto" w:line="240" w:before="0" w:after="240"/>
        <w:ind w:left="0" w:right="0" w:firstLine="720"/>
        <w:jc w:val="both"/>
        <w:rPr/>
      </w:pPr>
      <w:r>
        <w:rPr>
          <w:rFonts w:ascii="Times New Roman;sans-serif" w:hAnsi="Times New Roman;sans-serif"/>
          <w:b/>
          <w:color w:val="000000"/>
          <w:sz w:val="23"/>
        </w:rPr>
        <w:t>1.3</w:t>
      </w:r>
      <w:r>
        <w:rPr>
          <w:rFonts w:ascii="Times New Roman;sans-serif" w:hAnsi="Times New Roman;sans-serif"/>
          <w:b/>
          <w:color w:val="000000"/>
          <w:sz w:val="23"/>
        </w:rPr>
        <w:t>No Enlargement of Rights</w:t>
      </w:r>
      <w:r>
        <w:rPr>
          <w:rFonts w:ascii="Times New Roman;sans-serif" w:hAnsi="Times New Roman;sans-serif"/>
          <w:b w:val="false"/>
          <w:color w:val="000000"/>
          <w:sz w:val="23"/>
        </w:rPr>
        <w:t xml:space="preserve">. This Plan is strictly a voluntary undertaking on the part of the Company and shall not be deemed to constitute a contract between the Company and any Participant to be consideration for, or an inducement to, or a condition of, the employment of any </w:t>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43535"/>
                <wp:effectExtent l="0" t="0" r="0" b="0"/>
                <wp:wrapNone/>
                <wp:docPr id="179" name="Frame15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10</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Participant. Nothing contained in the Plan shall be deemed to give the right to any Participant to be retained by the Company as a Nonemployee Director of the Company or otherwise or to otherwise interfere with any right of the Company. The Company will have no duty or obligation to any Participant to warn, advise or otherwise inform such Participant as to the time or manner of exercising any right under the Plan. The Company has no duty or obligation to reduce the tax consequences resulting from a Participant’s rights to benefits under the Plan. The payments made in accordance with the Plan are in addition to any other benefits or compensation to which a Participant may be entitled or for which he or she may be eligible, whether funded or unfunded, by reason of his or her employment by the Company.</w:t>
      </w:r>
    </w:p>
    <w:p>
      <w:pPr>
        <w:pStyle w:val="TextBody"/>
        <w:spacing w:lineRule="auto" w:line="240" w:before="0" w:after="240"/>
        <w:ind w:left="0" w:right="0" w:firstLine="720"/>
        <w:jc w:val="both"/>
        <w:rPr/>
      </w:pPr>
      <w:r>
        <w:rPr>
          <w:rFonts w:ascii="Times New Roman;sans-serif" w:hAnsi="Times New Roman;sans-serif"/>
          <w:b/>
          <w:color w:val="000000"/>
          <w:sz w:val="23"/>
        </w:rPr>
        <w:t>1.4</w:t>
      </w:r>
      <w:r>
        <w:rPr>
          <w:rFonts w:ascii="Times New Roman;sans-serif" w:hAnsi="Times New Roman;sans-serif"/>
          <w:b/>
          <w:color w:val="000000"/>
          <w:sz w:val="23"/>
        </w:rPr>
        <w:t>Amendment and Termination</w:t>
      </w:r>
      <w:r>
        <w:rPr>
          <w:rFonts w:ascii="Times New Roman;sans-serif" w:hAnsi="Times New Roman;sans-serif"/>
          <w:b w:val="false"/>
          <w:color w:val="000000"/>
          <w:sz w:val="23"/>
        </w:rPr>
        <w:t>. The Plan may be amended, modified, or terminated by the Administrator in its sole discretion at any time and from time to time; provided, however, that no such amendment, modification, or termination shall impair any rights to benefits under the Plan prior to such amendment, modification, or termination; further, provided, that any termination of the Plan and any distributions made in connection with such termination shall, in each case, be made in accordance with the requirements of Section 409A of the Code and Treasury Regulation Section 1.409A-3(j)(4)(ix).</w:t>
      </w:r>
    </w:p>
    <w:p>
      <w:pPr>
        <w:pStyle w:val="TextBody"/>
        <w:spacing w:lineRule="auto" w:line="240" w:before="0" w:after="240"/>
        <w:ind w:left="0" w:right="0" w:firstLine="720"/>
        <w:jc w:val="both"/>
        <w:rPr/>
      </w:pPr>
      <w:r>
        <w:rPr>
          <w:rFonts w:ascii="Times New Roman;sans-serif" w:hAnsi="Times New Roman;sans-serif"/>
          <w:b/>
          <w:color w:val="000000"/>
          <w:sz w:val="23"/>
        </w:rPr>
        <w:t>1.5</w:t>
      </w:r>
      <w:r>
        <w:rPr>
          <w:rFonts w:ascii="Times New Roman;sans-serif" w:hAnsi="Times New Roman;sans-serif"/>
          <w:b/>
          <w:color w:val="000000"/>
          <w:sz w:val="23"/>
        </w:rPr>
        <w:t>No Tax or Other Representations.</w:t>
      </w:r>
      <w:r>
        <w:rPr>
          <w:color w:val="000000"/>
        </w:rPr>
        <w:t xml:space="preserve"> </w:t>
      </w:r>
      <w:r>
        <w:rPr>
          <w:rFonts w:ascii="Times New Roman;sans-serif" w:hAnsi="Times New Roman;sans-serif"/>
          <w:b w:val="false"/>
          <w:color w:val="000000"/>
          <w:sz w:val="23"/>
        </w:rPr>
        <w:t>The Company makes no representation with respect to the state, federal, financial, estate planning or the securities implications of the Plan. Participants should consult with their own tax, financial and legal advisors with respect to their participation in the Plan.</w:t>
      </w:r>
    </w:p>
    <w:p>
      <w:pPr>
        <w:pStyle w:val="TextBody"/>
        <w:spacing w:lineRule="auto" w:line="240" w:before="0" w:after="240"/>
        <w:ind w:left="0" w:right="0" w:firstLine="720"/>
        <w:jc w:val="both"/>
        <w:rPr/>
      </w:pPr>
      <w:r>
        <w:rPr>
          <w:rFonts w:ascii="Times New Roman;sans-serif" w:hAnsi="Times New Roman;sans-serif"/>
          <w:b/>
          <w:color w:val="000000"/>
          <w:sz w:val="23"/>
        </w:rPr>
        <w:t>1.6</w:t>
      </w:r>
      <w:r>
        <w:rPr>
          <w:rFonts w:ascii="Times New Roman;sans-serif" w:hAnsi="Times New Roman;sans-serif"/>
          <w:b/>
          <w:color w:val="000000"/>
          <w:sz w:val="23"/>
        </w:rPr>
        <w:t>Governing Law.</w:t>
      </w:r>
      <w:r>
        <w:rPr>
          <w:color w:val="000000"/>
        </w:rPr>
        <w:t xml:space="preserve"> </w:t>
      </w:r>
      <w:r>
        <w:rPr>
          <w:rFonts w:ascii="Times New Roman;sans-serif" w:hAnsi="Times New Roman;sans-serif"/>
          <w:b w:val="false"/>
          <w:color w:val="000000"/>
          <w:sz w:val="23"/>
        </w:rPr>
        <w:t>The validity, construction, and effect of the Plan and any rules and regulations relating to the Plan shall be governed by and determined in accordance with the laws of the State of Delaware without giving effect to conflicts-of-laws principles.</w:t>
      </w:r>
    </w:p>
    <w:p>
      <w:pPr>
        <w:pStyle w:val="TextBody"/>
        <w:spacing w:lineRule="auto" w:line="240" w:before="0" w:after="240"/>
        <w:ind w:left="0" w:right="0" w:firstLine="720"/>
        <w:jc w:val="both"/>
        <w:rPr/>
      </w:pPr>
      <w:r>
        <w:rPr>
          <w:rFonts w:ascii="Times New Roman;sans-serif" w:hAnsi="Times New Roman;sans-serif"/>
          <w:b/>
          <w:color w:val="000000"/>
          <w:sz w:val="23"/>
        </w:rPr>
        <w:t>1.7</w:t>
      </w:r>
      <w:r>
        <w:rPr>
          <w:rFonts w:ascii="Times New Roman;sans-serif" w:hAnsi="Times New Roman;sans-serif"/>
          <w:b/>
          <w:color w:val="000000"/>
          <w:sz w:val="23"/>
        </w:rPr>
        <w:t>Section 409A of the Code.</w:t>
      </w:r>
      <w:r>
        <w:rPr>
          <w:color w:val="000000"/>
        </w:rPr>
        <w:t xml:space="preserve"> </w:t>
      </w:r>
      <w:r>
        <w:rPr>
          <w:rFonts w:ascii="Times New Roman;sans-serif" w:hAnsi="Times New Roman;sans-serif"/>
          <w:b w:val="false"/>
          <w:color w:val="000000"/>
          <w:sz w:val="23"/>
        </w:rPr>
        <w:t>All Accounts under the Plan that are intended to be “deferred compensation” subject to Section 409A shall be interpreted, administered and construed to comply with Section 409A, and all Accounts under the Plan that are intended to be exempt from Section 409A shall be interpreted, administered and construed to comply with and preserve such exemption. The Administrator shall have full authority to give effect to the intent of the foregoing sentence. Notwithstanding the foregoing, neither the Company nor any member of the Board shall have any liability to any person in the event Section 409A of the Code applies to any Account in a manner that results in adverse tax consequences for the Participant or any of his or her Beneficiaries or transferees.</w:t>
      </w:r>
    </w:p>
    <w:p>
      <w:pPr>
        <w:pStyle w:val="TextBody"/>
        <w:spacing w:lineRule="auto" w:line="240" w:before="0" w:after="240"/>
        <w:ind w:left="0" w:right="0" w:firstLine="720"/>
        <w:jc w:val="both"/>
        <w:rPr/>
      </w:pPr>
      <w:r>
        <w:rPr>
          <w:rFonts w:ascii="Times New Roman;sans-serif" w:hAnsi="Times New Roman;sans-serif"/>
          <w:b/>
          <w:color w:val="000000"/>
          <w:sz w:val="23"/>
        </w:rPr>
        <w:t>1.8</w:t>
      </w:r>
      <w:r>
        <w:rPr>
          <w:rFonts w:ascii="Times New Roman;sans-serif" w:hAnsi="Times New Roman;sans-serif"/>
          <w:b/>
          <w:color w:val="000000"/>
          <w:sz w:val="23"/>
        </w:rPr>
        <w:t>Conflicts.</w:t>
      </w:r>
      <w:r>
        <w:rPr>
          <w:color w:val="000000"/>
        </w:rPr>
        <w:t xml:space="preserve"> </w:t>
      </w:r>
      <w:r>
        <w:rPr>
          <w:rFonts w:ascii="Times New Roman;sans-serif" w:hAnsi="Times New Roman;sans-serif"/>
          <w:b w:val="false"/>
          <w:color w:val="000000"/>
          <w:sz w:val="23"/>
        </w:rPr>
        <w:t xml:space="preserve">In the case of any conflict or potential inconsistency between the Plan and a provision of any Account or Deferral Election, the Plan shall govern, unless otherwise determined by the Administrator. </w:t>
      </w:r>
    </w:p>
    <w:p>
      <w:pPr>
        <w:pStyle w:val="TextBody"/>
        <w:spacing w:lineRule="auto" w:line="240" w:before="0" w:after="240"/>
        <w:ind w:left="0" w:right="0" w:firstLine="720"/>
        <w:jc w:val="both"/>
        <w:rPr/>
      </w:pPr>
      <w:r>
        <w:rPr>
          <w:rFonts w:ascii="Times New Roman;sans-serif" w:hAnsi="Times New Roman;sans-serif"/>
          <w:b/>
          <w:color w:val="000000"/>
          <w:sz w:val="23"/>
        </w:rPr>
        <w:t>1.9</w:t>
      </w:r>
      <w:r>
        <w:rPr>
          <w:rFonts w:ascii="Times New Roman;sans-serif" w:hAnsi="Times New Roman;sans-serif"/>
          <w:b/>
          <w:color w:val="000000"/>
          <w:sz w:val="23"/>
        </w:rPr>
        <w:t>Severability.</w:t>
      </w:r>
      <w:r>
        <w:rPr>
          <w:color w:val="000000"/>
        </w:rPr>
        <w:t xml:space="preserve"> </w:t>
      </w:r>
      <w:r>
        <w:rPr>
          <w:rFonts w:ascii="Times New Roman;sans-serif" w:hAnsi="Times New Roman;sans-serif"/>
          <w:b w:val="false"/>
          <w:color w:val="000000"/>
          <w:sz w:val="23"/>
        </w:rPr>
        <w:t>Should any provision or portion of this Plan be held to be unenforceable or invalid for any reason, the remaining provisions and portions of this Plan shall be unaffected by such holding.</w:t>
      </w:r>
    </w:p>
    <w:p>
      <w:pPr>
        <w:pStyle w:val="TextBody"/>
        <w:spacing w:lineRule="auto" w:line="240" w:before="0" w:after="240"/>
        <w:ind w:left="0" w:right="0" w:firstLine="720"/>
        <w:jc w:val="both"/>
        <w:rPr/>
      </w:pPr>
      <w:r>
        <w:rPr>
          <w:rFonts w:ascii="Times New Roman;sans-serif" w:hAnsi="Times New Roman;sans-serif"/>
          <w:b/>
          <w:color w:val="000000"/>
          <w:sz w:val="23"/>
        </w:rPr>
        <w:t>1.10</w:t>
      </w:r>
      <w:r>
        <w:rPr>
          <w:rFonts w:ascii="Times New Roman;sans-serif" w:hAnsi="Times New Roman;sans-serif"/>
          <w:b/>
          <w:color w:val="000000"/>
          <w:sz w:val="23"/>
        </w:rPr>
        <w:t>Captions and Section Headings.</w:t>
      </w:r>
      <w:r>
        <w:rPr>
          <w:color w:val="000000"/>
        </w:rPr>
        <w:t xml:space="preserve"> </w:t>
      </w:r>
      <w:r>
        <w:rPr>
          <w:rFonts w:ascii="Times New Roman;sans-serif" w:hAnsi="Times New Roman;sans-serif"/>
          <w:b w:val="false"/>
          <w:color w:val="000000"/>
          <w:sz w:val="23"/>
        </w:rPr>
        <w:t>Captions and section headings used herein are for convenience only, and are not part of this Plan and shall not be used in construing it.</w:t>
      </w:r>
    </w:p>
    <w:p>
      <w:pPr>
        <w:pStyle w:val="TextBody"/>
        <w:spacing w:lineRule="auto" w:line="240" w:before="0" w:after="240"/>
        <w:ind w:left="0" w:right="0" w:firstLine="720"/>
        <w:jc w:val="both"/>
        <w:rPr/>
      </w:pPr>
      <w:r>
        <w:rPr>
          <w:rFonts w:ascii="Times New Roman;sans-serif" w:hAnsi="Times New Roman;sans-serif"/>
          <w:b/>
          <w:color w:val="000000"/>
          <w:sz w:val="23"/>
        </w:rPr>
        <w:t>1.11</w:t>
      </w:r>
      <w:r>
        <w:rPr>
          <w:rFonts w:ascii="Times New Roman;sans-serif" w:hAnsi="Times New Roman;sans-serif"/>
          <w:b/>
          <w:color w:val="000000"/>
          <w:sz w:val="23"/>
        </w:rPr>
        <w:t>Electronic Delivery.</w:t>
      </w:r>
      <w:r>
        <w:rPr>
          <w:color w:val="000000"/>
        </w:rPr>
        <w:t xml:space="preserve"> </w:t>
      </w:r>
      <w:r>
        <w:rPr>
          <w:rFonts w:ascii="Times New Roman;sans-serif" w:hAnsi="Times New Roman;sans-serif"/>
          <w:b w:val="false"/>
          <w:color w:val="000000"/>
          <w:sz w:val="23"/>
        </w:rPr>
        <w:t>Any reference herein to a “written” agreement, document or notice shall include any agreement or document delivered electronically or posted on the Company’s intranet.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10.20</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43535"/>
                <wp:effectExtent l="0" t="0" r="0" b="0"/>
                <wp:wrapNone/>
                <wp:docPr id="180" name="Frame15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11</w:t>
                      </w:r>
                    </w:p>
                    <w:p>
                      <w:pPr>
                        <w:pStyle w:val="TextBody"/>
                        <w:spacing w:before="0" w:after="0"/>
                        <w:rPr/>
                      </w:pPr>
                      <w:r>
                        <w:rPr/>
                      </w:r>
                    </w:p>
                  </w:txbxContent>
                </v:textbox>
              </v:rect>
            </w:pict>
          </mc:Fallback>
        </mc:AlternateContent>
      </w:r>
    </w:p>
    <w:p>
      <w:pPr>
        <w:pStyle w:val="TextBody"/>
        <w:spacing w:lineRule="auto" w:line="417" w:before="0" w:after="0"/>
        <w:jc w:val="center"/>
        <w:rPr>
          <w:rFonts w:ascii="Times New Roman;sans-serif" w:hAnsi="Times New Roman;sans-serif"/>
          <w:b/>
          <w:color w:val="000000"/>
          <w:sz w:val="23"/>
        </w:rPr>
      </w:pPr>
      <w:r>
        <w:rPr>
          <w:rFonts w:ascii="Times New Roman;sans-serif" w:hAnsi="Times New Roman;sans-serif"/>
          <w:b/>
          <w:color w:val="000000"/>
          <w:sz w:val="23"/>
        </w:rPr>
        <w:t xml:space="preserve">DEFERRAL ELECTION FORM </w:t>
      </w:r>
    </w:p>
    <w:p>
      <w:pPr>
        <w:pStyle w:val="TextBody"/>
        <w:spacing w:before="0" w:after="0"/>
        <w:jc w:val="center"/>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3"/>
        </w:rPr>
        <w:t xml:space="preserve">On this December ___, 2021, the undersigned, ____________________________, does hereby irrevocably elect to defer the receipt of the Compensation set forth in </w:t>
      </w:r>
      <w:r>
        <w:rPr>
          <w:rFonts w:ascii="Times New Roman;sans-serif" w:hAnsi="Times New Roman;sans-serif"/>
          <w:b w:val="false"/>
          <w:color w:val="000000"/>
          <w:sz w:val="23"/>
          <w:u w:val="single"/>
        </w:rPr>
        <w:t>Exhibit A</w:t>
      </w:r>
      <w:r>
        <w:rPr>
          <w:color w:val="000000"/>
        </w:rPr>
        <w:t xml:space="preserve"> </w:t>
      </w:r>
      <w:r>
        <w:rPr>
          <w:rFonts w:ascii="Times New Roman;sans-serif" w:hAnsi="Times New Roman;sans-serif"/>
          <w:b w:val="false"/>
          <w:color w:val="000000"/>
          <w:sz w:val="23"/>
        </w:rPr>
        <w:t xml:space="preserve">(the “Deferred Compensation”) from AppFolio, Inc., a Delaware corporation (the “Company”), until the “Deferred Payment Date” set forth in </w:t>
      </w:r>
      <w:r>
        <w:rPr>
          <w:rFonts w:ascii="Times New Roman;sans-serif" w:hAnsi="Times New Roman;sans-serif"/>
          <w:b w:val="false"/>
          <w:color w:val="000000"/>
          <w:sz w:val="23"/>
          <w:u w:val="single"/>
        </w:rPr>
        <w:t>Exhibit A</w:t>
      </w:r>
      <w:r>
        <w:rPr>
          <w:rFonts w:ascii="Times New Roman;sans-serif" w:hAnsi="Times New Roman;sans-serif"/>
          <w:b w:val="false"/>
          <w:color w:val="000000"/>
          <w:sz w:val="23"/>
        </w:rPr>
        <w:t>, pursuant to the Nonemployee Director Deferred Compensation Plan of the Company (the “Deferred Plan”), which, but for this election, would be received by the undersigned during the year ending December 31, 2022. Capitalized terms used but not defined herein have the meanings ascribed to such terms in the Deferral Plan.</w:t>
      </w:r>
    </w:p>
    <w:p>
      <w:pPr>
        <w:pStyle w:val="TextBody"/>
        <w:spacing w:lineRule="auto" w:line="240"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By executing this election form, the undersigned acknowledges and agrees that the receipt of the Deferred Compensation, along with any and all amounts payable in respect of the Deferred Compensation pursuant to the Deferred Plan, shall be deferred pursuant to the Deferred Plan until the Deferred Payment Date set forth above or, if sooner, the date of payment as determined under the Deferred Plan (the “Deferral Period”). The undersigned acknowledges that the delivery of the Deferred Compensation and any rights to transfer or otherwise assign or alienate the Deferred Compensation shall be deferred at least until the end of the Deferral Period, except as explicitly set forth in the Deferred Plan.</w:t>
      </w:r>
    </w:p>
    <w:p>
      <w:pPr>
        <w:pStyle w:val="TextBody"/>
        <w:spacing w:lineRule="auto" w:line="240"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The undersigned does hereby acknowledge that the deferral election made on this Deferral Election Form is irrevocable, and such deferral election will be governed by the terms and conditions of the Deferred Plan.</w:t>
      </w:r>
    </w:p>
    <w:p>
      <w:pPr>
        <w:pStyle w:val="TextBody"/>
        <w:spacing w:lineRule="auto" w:line="240" w:before="0" w:after="120"/>
        <w:rPr>
          <w:rFonts w:ascii="Times New Roman;sans-serif" w:hAnsi="Times New Roman;sans-serif"/>
          <w:b w:val="false"/>
          <w:color w:val="000000"/>
          <w:sz w:val="23"/>
        </w:rPr>
      </w:pPr>
      <w:r>
        <w:rPr>
          <w:rFonts w:ascii="Times New Roman;sans-serif" w:hAnsi="Times New Roman;sans-serif"/>
          <w:b w:val="false"/>
          <w:color w:val="000000"/>
          <w:sz w:val="23"/>
        </w:rPr>
        <w:t>ACKNOWLEDGED AND ACCEPTED:</w:t>
      </w:r>
    </w:p>
    <w:p>
      <w:pPr>
        <w:pStyle w:val="TextBody"/>
        <w:spacing w:lineRule="auto" w:line="240" w:before="0" w:after="240"/>
        <w:rPr>
          <w:rFonts w:ascii="Times New Roman;sans-serif" w:hAnsi="Times New Roman;sans-serif"/>
          <w:b/>
          <w:color w:val="000000"/>
          <w:sz w:val="23"/>
        </w:rPr>
      </w:pPr>
      <w:r>
        <w:rPr>
          <w:rFonts w:ascii="Times New Roman;sans-serif" w:hAnsi="Times New Roman;sans-serif"/>
          <w:b/>
          <w:color w:val="000000"/>
          <w:sz w:val="23"/>
        </w:rPr>
        <w:t>DIRECTOR                        COMPANY</w:t>
      </w:r>
    </w:p>
    <w:p>
      <w:pPr>
        <w:pStyle w:val="TextBody"/>
        <w:spacing w:before="0" w:after="0"/>
        <w:rPr/>
      </w:pPr>
      <w:r>
        <w:rPr/>
      </w:r>
    </w:p>
    <w:p>
      <w:pPr>
        <w:pStyle w:val="TextBody"/>
        <w:spacing w:lineRule="auto" w:line="240" w:before="0" w:after="0"/>
        <w:rPr/>
      </w:pPr>
      <w:r>
        <w:rPr>
          <w:color w:val="000000"/>
          <w:u w:val="single"/>
        </w:rPr>
        <w:t>                    </w:t>
      </w:r>
      <w:r>
        <w:rPr>
          <w:color w:val="000000"/>
        </w:rPr>
        <w:t>        </w:t>
      </w:r>
      <w:r>
        <w:rPr>
          <w:rFonts w:ascii="Times New Roman;sans-serif" w:hAnsi="Times New Roman;sans-serif"/>
          <w:b w:val="false"/>
          <w:color w:val="000000"/>
          <w:sz w:val="23"/>
        </w:rPr>
        <w:t>APPFOLIO, INC.</w:t>
      </w:r>
    </w:p>
    <w:p>
      <w:pPr>
        <w:pStyle w:val="TextBody"/>
        <w:spacing w:lineRule="auto" w:line="240" w:before="0" w:after="240"/>
        <w:rPr>
          <w:rFonts w:ascii="Times New Roman;sans-serif" w:hAnsi="Times New Roman;sans-serif"/>
          <w:b w:val="false"/>
          <w:color w:val="000000"/>
          <w:sz w:val="23"/>
        </w:rPr>
      </w:pPr>
      <w:r>
        <w:rPr>
          <w:rFonts w:ascii="Times New Roman;sans-serif" w:hAnsi="Times New Roman;sans-serif"/>
          <w:b w:val="false"/>
          <w:color w:val="000000"/>
          <w:sz w:val="23"/>
        </w:rPr>
        <w:t>Print Name                                            </w:t>
      </w:r>
    </w:p>
    <w:p>
      <w:pPr>
        <w:pStyle w:val="TextBody"/>
        <w:spacing w:lineRule="auto" w:line="240" w:before="0" w:after="0"/>
        <w:rPr>
          <w:color w:val="000000"/>
        </w:rPr>
      </w:pPr>
      <w:r>
        <w:rPr>
          <w:color w:val="000000"/>
        </w:rPr>
        <w:t>                            </w:t>
      </w:r>
    </w:p>
    <w:p>
      <w:pPr>
        <w:pStyle w:val="TextBody"/>
        <w:spacing w:lineRule="auto" w:line="240" w:before="0" w:after="0"/>
        <w:rPr/>
      </w:pPr>
      <w:r>
        <w:rPr>
          <w:color w:val="000000"/>
          <w:u w:val="single"/>
        </w:rPr>
        <w:t>                    </w:t>
      </w:r>
      <w:r>
        <w:rPr>
          <w:color w:val="000000"/>
        </w:rPr>
        <w:t>        </w:t>
      </w:r>
      <w:r>
        <w:rPr>
          <w:rFonts w:ascii="Times New Roman;sans-serif" w:hAnsi="Times New Roman;sans-serif"/>
          <w:b w:val="false"/>
          <w:color w:val="000000"/>
          <w:sz w:val="23"/>
        </w:rPr>
        <w:t xml:space="preserve">By: </w:t>
      </w:r>
      <w:r>
        <w:rPr>
          <w:color w:val="000000"/>
          <w:u w:val="single"/>
        </w:rPr>
        <w:t>                    </w:t>
      </w:r>
    </w:p>
    <w:p>
      <w:pPr>
        <w:pStyle w:val="TextBody"/>
        <w:spacing w:lineRule="auto" w:line="240" w:before="0" w:after="0"/>
        <w:rPr>
          <w:rFonts w:ascii="Times New Roman;sans-serif" w:hAnsi="Times New Roman;sans-serif"/>
          <w:b w:val="false"/>
          <w:color w:val="000000"/>
          <w:sz w:val="23"/>
        </w:rPr>
      </w:pPr>
      <w:r>
        <w:rPr>
          <w:rFonts w:ascii="Times New Roman;sans-serif" w:hAnsi="Times New Roman;sans-serif"/>
          <w:b w:val="false"/>
          <w:color w:val="000000"/>
          <w:sz w:val="23"/>
        </w:rPr>
        <w:t xml:space="preserve">Signature                        Name: </w:t>
      </w:r>
    </w:p>
    <w:p>
      <w:pPr>
        <w:pStyle w:val="TextBody"/>
        <w:spacing w:lineRule="auto" w:line="240" w:before="0" w:after="0"/>
        <w:ind w:left="0" w:right="0" w:firstLine="720"/>
        <w:rPr>
          <w:rFonts w:ascii="Times New Roman;sans-serif" w:hAnsi="Times New Roman;sans-serif"/>
          <w:b w:val="false"/>
          <w:color w:val="000000"/>
          <w:sz w:val="23"/>
        </w:rPr>
      </w:pPr>
      <w:r>
        <w:rPr>
          <w:rFonts w:ascii="Times New Roman;sans-serif" w:hAnsi="Times New Roman;sans-serif"/>
          <w:b w:val="false"/>
          <w:color w:val="000000"/>
          <w:sz w:val="23"/>
        </w:rPr>
        <w:t>Title: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10.20</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0"/>
        <w:jc w:val="center"/>
        <w:rPr>
          <w:rFonts w:ascii="Times New Roman;sans-serif" w:hAnsi="Times New Roman;sans-serif"/>
          <w:b/>
          <w:color w:val="000000"/>
          <w:sz w:val="23"/>
          <w:u w:val="single"/>
        </w:rPr>
      </w:pPr>
      <w:r>
        <w:rPr>
          <w:rFonts w:ascii="Times New Roman;sans-serif" w:hAnsi="Times New Roman;sans-serif"/>
          <w:b/>
          <w:color w:val="000000"/>
          <w:sz w:val="23"/>
          <w:u w:val="single"/>
        </w:rPr>
        <w:t>Exhibit 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Deferred Compensation</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873"/>
        <w:gridCol w:w="768"/>
        <w:gridCol w:w="769"/>
        <w:gridCol w:w="1785"/>
        <w:gridCol w:w="1502"/>
        <w:gridCol w:w="883"/>
        <w:gridCol w:w="1215"/>
        <w:gridCol w:w="1176"/>
        <w:gridCol w:w="1234"/>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2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3"/>
              </w:rPr>
            </w:pPr>
            <w:r>
              <w:rPr>
                <w:rFonts w:ascii="Times New Roman;sans-serif" w:hAnsi="Times New Roman;sans-serif"/>
                <w:b/>
                <w:color w:val="000000"/>
                <w:sz w:val="23"/>
              </w:rPr>
              <w:t>Type of Deferred Compensation</w:t>
            </w:r>
          </w:p>
        </w:tc>
        <w:tc>
          <w:tcPr>
            <w:tcW w:w="417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3"/>
              </w:rPr>
            </w:pPr>
            <w:r>
              <w:rPr>
                <w:rFonts w:ascii="Times New Roman;sans-serif" w:hAnsi="Times New Roman;sans-serif"/>
                <w:b/>
                <w:color w:val="000000"/>
                <w:sz w:val="23"/>
              </w:rPr>
              <w:t>Amount of Deferred Compensation</w:t>
            </w:r>
          </w:p>
        </w:tc>
        <w:tc>
          <w:tcPr>
            <w:tcW w:w="36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3"/>
              </w:rPr>
            </w:pPr>
            <w:r>
              <w:rPr>
                <w:rFonts w:ascii="Times New Roman;sans-serif" w:hAnsi="Times New Roman;sans-serif"/>
                <w:b/>
                <w:color w:val="000000"/>
                <w:sz w:val="23"/>
              </w:rPr>
              <w:t>Deferred Payment Date</w:t>
            </w:r>
          </w:p>
        </w:tc>
      </w:tr>
      <w:tr>
        <w:trPr/>
        <w:tc>
          <w:tcPr>
            <w:tcW w:w="24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Cash Compensation</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Convert Cash Compensation into Converted Restricted Stock Units</w:t>
            </w:r>
          </w:p>
        </w:tc>
        <w:tc>
          <w:tcPr>
            <w:tcW w:w="417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[Choose and complete only one of the following.]</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$__________</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__________ %</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For the following quarter(s):</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January 1 – March 31</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April 1 – June 30</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July 1 – September 30</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October 1 – December 31</w:t>
            </w:r>
          </w:p>
        </w:tc>
        <w:tc>
          <w:tcPr>
            <w:tcW w:w="36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[Choose and complete only one of the following.]</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Specified Payment Date</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 lump sum on this date: __________</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 xml:space="preserve">Equal installments per fixed schedule over __________ [Not to exceed 15] year(s) beginning on date: __________ </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Monthly</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Quarterly</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Annually</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Separation from Service</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First to Occur of Specified Payment Date or Separation from Service [Also Complete Specified Payment Date section above.]</w:t>
            </w:r>
          </w:p>
        </w:tc>
      </w:tr>
      <w:tr>
        <w:trPr/>
        <w:tc>
          <w:tcPr>
            <w:tcW w:w="241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Stock Compensation</w:t>
            </w:r>
          </w:p>
        </w:tc>
        <w:tc>
          <w:tcPr>
            <w:tcW w:w="417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[Choose and complete only one of the following.]</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__________ Shares under the following Award: __________________________</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__________ %</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For the following quarter(s):</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January 1 – March 31</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April 1 – June 30</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July 1 – September 30</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October 1 – December 31</w:t>
            </w:r>
          </w:p>
        </w:tc>
        <w:tc>
          <w:tcPr>
            <w:tcW w:w="362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[Choose and complete only one of the following.]</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Specified Payment Date</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 lump sum on this date: __________</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 xml:space="preserve">Equal installments per fixed schedule over __________ [Not to exceed 15] year(s) beginning on date: __________ </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Monthly</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Quarterly</w:t>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Annually</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Separation from Service</w:t>
            </w:r>
          </w:p>
          <w:p>
            <w:pPr>
              <w:pStyle w:val="TableContents"/>
              <w:spacing w:before="0" w:after="0"/>
              <w:jc w:val="left"/>
              <w:rPr/>
            </w:pPr>
            <w:r>
              <w:rPr/>
            </w:r>
          </w:p>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3"/>
              </w:rPr>
              <w:t>First to Occur of Specified Payment Date or Separation from Service [Also Complete Specified Payment Date section above.]</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04825"/>
                <wp:effectExtent l="0" t="0" r="0" b="0"/>
                <wp:wrapNone/>
                <wp:docPr id="182" name="Frame154"/>
                <a:graphic xmlns:a="http://schemas.openxmlformats.org/drawingml/2006/main">
                  <a:graphicData uri="http://schemas.microsoft.com/office/word/2010/wordprocessingShape">
                    <wps:wsp>
                      <wps:cNvSpPr txBox="1"/>
                      <wps:spPr>
                        <a:xfrm>
                          <a:off x="0" y="0"/>
                          <a:ext cx="6480175" cy="504825"/>
                        </a:xfrm>
                        <a:prstGeom prst="rect"/>
                      </wps:spPr>
                      <wps:txbx>
                        <w:txbxContent>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Initials:</w:t>
                            </w:r>
                          </w:p>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AppFolio, Inc.: _____</w:t>
                            </w:r>
                          </w:p>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Participant: _____</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Initials:</w:t>
                      </w:r>
                    </w:p>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AppFolio, Inc.: _____</w:t>
                      </w:r>
                    </w:p>
                    <w:p>
                      <w:pPr>
                        <w:pStyle w:val="TextBody"/>
                        <w:spacing w:lineRule="auto" w:line="240" w:before="0" w:after="0"/>
                        <w:jc w:val="right"/>
                        <w:rPr>
                          <w:rFonts w:ascii="Times New Roman;sans-serif" w:hAnsi="Times New Roman;sans-serif"/>
                          <w:b w:val="false"/>
                          <w:color w:val="000000"/>
                          <w:sz w:val="23"/>
                        </w:rPr>
                      </w:pPr>
                      <w:r>
                        <w:rPr>
                          <w:rFonts w:ascii="Times New Roman;sans-serif" w:hAnsi="Times New Roman;sans-serif"/>
                          <w:b w:val="false"/>
                          <w:color w:val="000000"/>
                          <w:sz w:val="23"/>
                        </w:rPr>
                        <w:t>Participant: _____</w:t>
                      </w:r>
                    </w:p>
                  </w:txbxContent>
                </v:textbox>
              </v:rect>
            </w:pict>
          </mc:Fallback>
        </mc:AlternateContent>
      </w:r>
    </w:p>
    <w:p>
      <w:pPr>
        <w:pStyle w:val="TextBody"/>
        <w:spacing w:before="100" w:after="100"/>
        <w:rPr/>
      </w:pPr>
      <w:r>
        <w:rPr/>
      </w:r>
    </w:p>
    <w:p>
      <w:pPr>
        <w:pStyle w:val="TextBody"/>
        <w:spacing w:lineRule="auto" w:line="288" w:before="100" w:after="100"/>
        <w:jc w:val="right"/>
        <w:rPr>
          <w:rFonts w:ascii="Times New Roman;sans-serif" w:hAnsi="Times New Roman;sans-serif"/>
          <w:b/>
          <w:color w:val="000000"/>
          <w:sz w:val="24"/>
        </w:rPr>
      </w:pPr>
      <w:r>
        <w:rPr>
          <w:rFonts w:ascii="Times New Roman;sans-serif" w:hAnsi="Times New Roman;sans-serif"/>
          <w:b/>
          <w:color w:val="000000"/>
          <w:sz w:val="24"/>
        </w:rPr>
        <w:t xml:space="preserve">Exhibit 21.1 </w:t>
      </w:r>
    </w:p>
    <w:p>
      <w:pPr>
        <w:pStyle w:val="TextBody"/>
        <w:spacing w:before="100" w:after="100"/>
        <w:jc w:val="right"/>
        <w:rPr/>
      </w:pPr>
      <w:r>
        <w:rPr/>
      </w:r>
    </w:p>
    <w:p>
      <w:pPr>
        <w:pStyle w:val="TextBody"/>
        <w:spacing w:lineRule="auto" w:line="288" w:before="100" w:after="100"/>
        <w:jc w:val="center"/>
        <w:rPr>
          <w:rFonts w:ascii="Times New Roman;sans-serif" w:hAnsi="Times New Roman;sans-serif"/>
          <w:b/>
          <w:color w:val="000000"/>
          <w:sz w:val="24"/>
        </w:rPr>
      </w:pPr>
      <w:r>
        <w:rPr>
          <w:rFonts w:ascii="Times New Roman;sans-serif" w:hAnsi="Times New Roman;sans-serif"/>
          <w:b/>
          <w:color w:val="000000"/>
          <w:sz w:val="24"/>
        </w:rPr>
        <w:t xml:space="preserve">List of Subsidiaries of the Registrant </w:t>
      </w:r>
    </w:p>
    <w:tbl>
      <w:tblPr>
        <w:tblW w:w="4782" w:type="dxa"/>
        <w:jc w:val="center"/>
        <w:tblInd w:w="0" w:type="dxa"/>
        <w:tblCellMar>
          <w:top w:w="28" w:type="dxa"/>
          <w:left w:w="28" w:type="dxa"/>
          <w:bottom w:w="28" w:type="dxa"/>
          <w:right w:w="28" w:type="dxa"/>
        </w:tblCellMar>
      </w:tblPr>
      <w:tblGrid>
        <w:gridCol w:w="1209"/>
        <w:gridCol w:w="1062"/>
        <w:gridCol w:w="1073"/>
        <w:gridCol w:w="109"/>
        <w:gridCol w:w="109"/>
        <w:gridCol w:w="109"/>
        <w:gridCol w:w="325"/>
        <w:gridCol w:w="325"/>
        <w:gridCol w:w="461"/>
      </w:tblGrid>
      <w:tr>
        <w:trPr/>
        <w:tc>
          <w:tcPr>
            <w:tcW w:w="120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Utility Management,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Investment Management,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Dynasty Marketplace,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AppFolio Insurance Services, Inc.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RentLinx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 Mar Insurance Company,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bl>
    <w:p>
      <w:pPr>
        <w:pStyle w:val="TextBody"/>
        <w:spacing w:before="0" w:after="10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spacing w:lineRule="auto" w:line="288" w:before="240" w:after="283"/>
        <w:jc w:val="center"/>
        <w:rPr>
          <w:rFonts w:ascii="Georgia;serif" w:hAnsi="Georgia;serif"/>
          <w:b w:val="false"/>
          <w:color w:val="000000"/>
          <w:sz w:val="20"/>
        </w:rPr>
      </w:pPr>
      <w:r>
        <w:rPr>
          <w:rFonts w:ascii="Georgia;serif" w:hAnsi="Georgia;serif"/>
          <w:b w:val="false"/>
          <w:color w:val="000000"/>
          <w:sz w:val="20"/>
        </w:rPr>
        <w:t xml:space="preserve">CONSENT OF INDEPENDENT REGISTERED PUBLIC ACCOUNTING FIRM </w:t>
      </w:r>
    </w:p>
    <w:p>
      <w:pPr>
        <w:pStyle w:val="TextBody"/>
        <w:spacing w:before="0" w:after="120"/>
        <w:rPr/>
      </w:pPr>
      <w:r>
        <w:rPr/>
      </w:r>
    </w:p>
    <w:p>
      <w:pPr>
        <w:pStyle w:val="TextBody"/>
        <w:spacing w:lineRule="auto" w:line="268" w:before="0" w:after="0"/>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 on Form S-8 (No. 333-236818, No. 333-229970, No. 333-223231, No. 333-216274, No. 333-209792, and No. 333-206179) of AppFolio, Inc. of our report dated February 28, 2022 relating to the financial statements and the effectiveness of internal control over financial reporting, which appears in this Form 10-K.</w:t>
      </w:r>
    </w:p>
    <w:p>
      <w:pPr>
        <w:pStyle w:val="TextBody"/>
        <w:spacing w:before="0" w:after="0"/>
        <w:rPr/>
      </w:pPr>
      <w:r>
        <w:rPr/>
      </w:r>
    </w:p>
    <w:p>
      <w:pPr>
        <w:pStyle w:val="TextBody"/>
        <w:spacing w:lineRule="auto" w:line="288" w:before="0" w:after="0"/>
        <w:rPr>
          <w:rFonts w:ascii="Georgia;serif" w:hAnsi="Georgia;serif"/>
          <w:b w:val="false"/>
          <w:color w:val="000000"/>
          <w:sz w:val="20"/>
        </w:rPr>
      </w:pPr>
      <w:r>
        <w:rPr>
          <w:rFonts w:ascii="Georgia;serif" w:hAnsi="Georgia;serif"/>
          <w:b w:val="false"/>
          <w:color w:val="000000"/>
          <w:sz w:val="20"/>
        </w:rPr>
        <w:t>/s/ PricewaterhouseCoopers LLP</w:t>
      </w:r>
    </w:p>
    <w:p>
      <w:pPr>
        <w:pStyle w:val="TextBody"/>
        <w:spacing w:lineRule="auto" w:line="288" w:before="0" w:after="0"/>
        <w:rPr>
          <w:rFonts w:ascii="Georgia;serif" w:hAnsi="Georgia;serif"/>
          <w:b w:val="false"/>
          <w:color w:val="000000"/>
          <w:sz w:val="20"/>
        </w:rPr>
      </w:pPr>
      <w:r>
        <w:rPr>
          <w:rFonts w:ascii="Georgia;serif" w:hAnsi="Georgia;serif"/>
          <w:b w:val="false"/>
          <w:color w:val="000000"/>
          <w:sz w:val="20"/>
        </w:rPr>
        <w:t>Los Angeles, California</w:t>
      </w:r>
    </w:p>
    <w:p>
      <w:pPr>
        <w:pStyle w:val="TextBody"/>
        <w:spacing w:lineRule="auto" w:line="268" w:before="0" w:after="0"/>
        <w:rPr>
          <w:rFonts w:ascii="Georgia;serif" w:hAnsi="Georgia;serif"/>
          <w:b w:val="false"/>
          <w:color w:val="000000"/>
          <w:sz w:val="20"/>
        </w:rPr>
      </w:pPr>
      <w:r>
        <w:rPr>
          <w:rFonts w:ascii="Georgia;serif" w:hAnsi="Georgia;serif"/>
          <w:b w:val="false"/>
          <w:color w:val="000000"/>
          <w:sz w:val="20"/>
        </w:rPr>
        <w:t>February 28, 2022</w:t>
      </w:r>
    </w:p>
    <w:p>
      <w:pPr>
        <w:pStyle w:val="TextBody"/>
        <w:spacing w:before="0" w:after="0"/>
        <w:rPr/>
      </w:pPr>
      <w:r>
        <w:rPr/>
      </w:r>
    </w:p>
    <w:p>
      <w:pPr>
        <w:pStyle w:val="TextBody"/>
        <w:spacing w:before="240" w:after="283"/>
        <w:rPr/>
      </w:pPr>
      <w:r>
        <w:rPr/>
      </w:r>
    </w:p>
    <w:p>
      <w:pPr>
        <w:pStyle w:val="TextBody"/>
        <w:spacing w:before="0" w:after="0"/>
        <w:jc w:val="center"/>
        <w:rPr/>
      </w:pPr>
      <w:r>
        <w:rPr/>
      </w:r>
    </w:p>
    <w:p>
      <w:pPr>
        <w:pStyle w:val="TextBody"/>
        <w:spacing w:before="0" w:after="0"/>
        <w:jc w:val="both"/>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Jason Randall, certify that:</w:t>
      </w:r>
    </w:p>
    <w:tbl>
      <w:tblPr>
        <w:tblW w:w="6011" w:type="dxa"/>
        <w:jc w:val="center"/>
        <w:tblInd w:w="0" w:type="dxa"/>
        <w:tblCellMar>
          <w:top w:w="28" w:type="dxa"/>
          <w:left w:w="28" w:type="dxa"/>
          <w:bottom w:w="28" w:type="dxa"/>
          <w:right w:w="28" w:type="dxa"/>
        </w:tblCellMar>
      </w:tblPr>
      <w:tblGrid>
        <w:gridCol w:w="124"/>
        <w:gridCol w:w="109"/>
        <w:gridCol w:w="109"/>
        <w:gridCol w:w="1655"/>
        <w:gridCol w:w="1655"/>
        <w:gridCol w:w="23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AppFolio, Inc.;</w:t>
            </w:r>
          </w:p>
        </w:tc>
      </w:tr>
    </w:tbl>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color w:val="000000"/>
        </w:rPr>
      </w:pPr>
      <w:r>
        <w:rPr>
          <w:color w:val="000000"/>
        </w:rPr>
        <w:t>  </w:t>
      </w:r>
    </w:p>
    <w:tbl>
      <w:tblPr>
        <w:tblW w:w="4585" w:type="dxa"/>
        <w:jc w:val="left"/>
        <w:tblInd w:w="0" w:type="dxa"/>
        <w:tblCellMar>
          <w:top w:w="28" w:type="dxa"/>
          <w:left w:w="28" w:type="dxa"/>
          <w:bottom w:w="28" w:type="dxa"/>
          <w:right w:w="28" w:type="dxa"/>
        </w:tblCellMar>
      </w:tblPr>
      <w:tblGrid>
        <w:gridCol w:w="216"/>
        <w:gridCol w:w="191"/>
        <w:gridCol w:w="192"/>
        <w:gridCol w:w="529"/>
        <w:gridCol w:w="529"/>
        <w:gridCol w:w="531"/>
        <w:gridCol w:w="109"/>
        <w:gridCol w:w="109"/>
        <w:gridCol w:w="109"/>
        <w:gridCol w:w="606"/>
        <w:gridCol w:w="606"/>
        <w:gridCol w:w="858"/>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Randall</w:t>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011" w:type="dxa"/>
        <w:jc w:val="left"/>
        <w:tblInd w:w="0" w:type="dxa"/>
        <w:tblCellMar>
          <w:top w:w="28" w:type="dxa"/>
          <w:left w:w="28" w:type="dxa"/>
          <w:bottom w:w="28" w:type="dxa"/>
          <w:right w:w="28" w:type="dxa"/>
        </w:tblCellMar>
      </w:tblPr>
      <w:tblGrid>
        <w:gridCol w:w="124"/>
        <w:gridCol w:w="109"/>
        <w:gridCol w:w="109"/>
        <w:gridCol w:w="1655"/>
        <w:gridCol w:w="1655"/>
        <w:gridCol w:w="23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AppFolio, Inc.;</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481" w:type="dxa"/>
        <w:jc w:val="left"/>
        <w:tblInd w:w="0" w:type="dxa"/>
        <w:tblCellMar>
          <w:top w:w="28" w:type="dxa"/>
          <w:left w:w="28" w:type="dxa"/>
          <w:bottom w:w="28" w:type="dxa"/>
          <w:right w:w="28" w:type="dxa"/>
        </w:tblCellMar>
      </w:tblPr>
      <w:tblGrid>
        <w:gridCol w:w="200"/>
        <w:gridCol w:w="177"/>
        <w:gridCol w:w="178"/>
        <w:gridCol w:w="529"/>
        <w:gridCol w:w="529"/>
        <w:gridCol w:w="531"/>
        <w:gridCol w:w="109"/>
        <w:gridCol w:w="109"/>
        <w:gridCol w:w="109"/>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Annual Report on Form 10-K of AppFolio, Inc. (the “Company”) for the period ended December 31, 2021, as filed with the Securities and Exchange Commission on the date hereof (the “Report”):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803" w:type="dxa"/>
        <w:jc w:val="center"/>
        <w:tblInd w:w="0" w:type="dxa"/>
        <w:tblCellMar>
          <w:top w:w="28" w:type="dxa"/>
          <w:left w:w="28" w:type="dxa"/>
          <w:bottom w:w="28" w:type="dxa"/>
          <w:right w:w="28" w:type="dxa"/>
        </w:tblCellMar>
      </w:tblPr>
      <w:tblGrid>
        <w:gridCol w:w="200"/>
        <w:gridCol w:w="177"/>
        <w:gridCol w:w="178"/>
        <w:gridCol w:w="529"/>
        <w:gridCol w:w="529"/>
        <w:gridCol w:w="531"/>
        <w:gridCol w:w="149"/>
        <w:gridCol w:w="149"/>
        <w:gridCol w:w="151"/>
        <w:gridCol w:w="940"/>
        <w:gridCol w:w="940"/>
        <w:gridCol w:w="13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Randall</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603" w:type="dxa"/>
        <w:jc w:val="center"/>
        <w:tblInd w:w="0" w:type="dxa"/>
        <w:tblCellMar>
          <w:top w:w="28" w:type="dxa"/>
          <w:left w:w="28" w:type="dxa"/>
          <w:bottom w:w="28" w:type="dxa"/>
          <w:right w:w="28" w:type="dxa"/>
        </w:tblCellMar>
      </w:tblPr>
      <w:tblGrid>
        <w:gridCol w:w="200"/>
        <w:gridCol w:w="177"/>
        <w:gridCol w:w="178"/>
        <w:gridCol w:w="529"/>
        <w:gridCol w:w="529"/>
        <w:gridCol w:w="531"/>
        <w:gridCol w:w="149"/>
        <w:gridCol w:w="149"/>
        <w:gridCol w:w="151"/>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rPr>
          <w:color w:val="000000"/>
        </w:rPr>
      </w:pPr>
      <w:r>
        <w:rPr>
          <w:color w:val="000000"/>
        </w:rPr>
        <w:t> </w:t>
      </w:r>
      <w:r>
        <w:br w:type="page"/>
      </w:r>
    </w:p>
    <w:p>
      <w:pPr>
        <w:pStyle w:val="TextBody"/>
        <w:spacing w:before="0" w:after="283"/>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Times">
    <w:altName w:val="Times New Roman"/>
    <w:charset w:val="00"/>
    <w:family w:val="auto"/>
    <w:pitch w:val="default"/>
  </w:font>
  <w:font w:name="Georgia">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33195/000143319515000003/exhibit3163015.htm" TargetMode="External"/><Relationship Id="rId5" Type="http://schemas.openxmlformats.org/officeDocument/2006/relationships/hyperlink" Target="http://www.sec.gov/Archives/edgar/data/1433195/000143319515000003/exhibit3263015.htm" TargetMode="External"/><Relationship Id="rId6" Type="http://schemas.openxmlformats.org/officeDocument/2006/relationships/hyperlink" Target="http://www.sec.gov/Archives/edgar/data/1433195/000119312515213095/d907976dex41.htm" TargetMode="External"/><Relationship Id="rId7" Type="http://schemas.openxmlformats.org/officeDocument/2006/relationships/hyperlink" Target="http://www.sec.gov/Archives/edgar/data/1433195/000119312515213095/d907976dex42.htm" TargetMode="External"/><Relationship Id="rId8" Type="http://schemas.openxmlformats.org/officeDocument/2006/relationships/hyperlink" Target="https://www.sec.gov/Archives/edgar/data/1433195/000143319520000019/a123119exhibit43.htm" TargetMode="External"/><Relationship Id="rId9" Type="http://schemas.openxmlformats.org/officeDocument/2006/relationships/hyperlink" Target="https://www.sec.gov/Archives/edgar/data/1433195/000143319519000085/exhibit10150castilianl.htm" TargetMode="External"/><Relationship Id="rId10" Type="http://schemas.openxmlformats.org/officeDocument/2006/relationships/hyperlink" Target="https://www.sec.gov/Archives/edgar/data/1433195/000143319519000085/exhibit10150castilianl.htm" TargetMode="External"/><Relationship Id="rId11" Type="http://schemas.openxmlformats.org/officeDocument/2006/relationships/hyperlink" Target="https://www.sec.gov/Archives/edgar/data/1433195/000143319519000085/exhibit10270castilianl.htm" TargetMode="External"/><Relationship Id="rId12" Type="http://schemas.openxmlformats.org/officeDocument/2006/relationships/hyperlink" Target="https://www.sec.gov/Archives/edgar/data/1433195/000143319519000085/exhibit10270castilianl.htm" TargetMode="External"/><Relationship Id="rId13" Type="http://schemas.openxmlformats.org/officeDocument/2006/relationships/hyperlink" Target="https://www.sec.gov/Archives/edgar/data/1433195/000143319519000085/exhibit10270castilianl.htm" TargetMode="External"/><Relationship Id="rId14" Type="http://schemas.openxmlformats.org/officeDocument/2006/relationships/hyperlink" Target="https://www.sec.gov/Archives/edgar/data/1433195/000143319519000085/exhibit10390castilianl.htm" TargetMode="External"/><Relationship Id="rId15" Type="http://schemas.openxmlformats.org/officeDocument/2006/relationships/hyperlink" Target="https://www.sec.gov/Archives/edgar/data/1433195/000143319519000085/exhibit10390castilianl.htm" TargetMode="External"/><Relationship Id="rId16" Type="http://schemas.openxmlformats.org/officeDocument/2006/relationships/hyperlink" Target="https://www.sec.gov/Archives/edgar/data/1433195/000143319521000080/a642021exhibit101.htm" TargetMode="External"/><Relationship Id="rId17" Type="http://schemas.openxmlformats.org/officeDocument/2006/relationships/hyperlink" Target="http://www.sec.gov/Archives/edgar/data/1433195/000119312515213095/d907976dex103.htm" TargetMode="External"/><Relationship Id="rId18" Type="http://schemas.openxmlformats.org/officeDocument/2006/relationships/hyperlink" Target="http://www.sec.gov/Archives/edgar/data/1433195/000119312515213095/d907976dex104.htm" TargetMode="External"/><Relationship Id="rId19" Type="http://schemas.openxmlformats.org/officeDocument/2006/relationships/hyperlink" Target="http://www.sec.gov/Archives/edgar/data/1433195/000119312515213095/d907976dex105.htm" TargetMode="External"/><Relationship Id="rId20" Type="http://schemas.openxmlformats.org/officeDocument/2006/relationships/hyperlink" Target="http://www.sec.gov/Archives/edgar/data/1433195/000143319518000011/exhibit109-longxtermcashin.htm" TargetMode="External"/><Relationship Id="rId21" Type="http://schemas.openxmlformats.org/officeDocument/2006/relationships/hyperlink" Target="http://www.sec.gov/Archives/edgar/data/1433195/000143319518000011/exhibit1010-longxtermcashi.htm" TargetMode="External"/><Relationship Id="rId22" Type="http://schemas.openxmlformats.org/officeDocument/2006/relationships/hyperlink" Target="https://www.sec.gov/Archives/edgar/data/1433195/000143319521000106/a93021ex101faysiengoonempl.htm" TargetMode="External"/><Relationship Id="rId23" Type="http://schemas.openxmlformats.org/officeDocument/2006/relationships/image" Target="media/image3.png"/><Relationship Id="rId24" Type="http://schemas.openxmlformats.org/officeDocument/2006/relationships/image" Target="media/image4.jpe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jpeg"/><Relationship Id="rId30" Type="http://schemas.openxmlformats.org/officeDocument/2006/relationships/image" Target="media/image10.png"/><Relationship Id="rId31" Type="http://schemas.openxmlformats.org/officeDocument/2006/relationships/image" Target="media/image11.jpe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jpe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101</Pages>
  <Words>75423</Words>
  <CharactersWithSpaces>487839</CharactersWithSpaces>
  <Paragraphs>4206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