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285" w:lineRule="exact"/>
        <w:rPr>
          <w:sz w:val="24"/>
          <w:szCs w:val="24"/>
          <w:color w:val="auto"/>
        </w:rPr>
      </w:pPr>
    </w:p>
    <w:p>
      <w:pPr>
        <w:sectPr>
          <w:pgSz w:w="11900" w:h="1684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Barat Elizabeth Erin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44" w:orient="portrait"/>
          <w:cols w:equalWidth="0" w:num="3">
            <w:col w:w="3200" w:space="720"/>
            <w:col w:w="3095" w:space="720"/>
            <w:col w:w="3345"/>
          </w:cols>
          <w:pgMar w:left="460" w:top="219" w:right="359" w:bottom="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48"/>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269</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16,628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183</w:t>
            </w:r>
            <w:r>
              <w:rPr>
                <w:rFonts w:ascii="Times New Roman" w:cs="Times New Roman" w:eastAsia="Times New Roman" w:hAnsi="Times New Roman"/>
                <w:sz w:val="11"/>
                <w:szCs w:val="11"/>
                <w:color w:val="008000"/>
                <w:w w:val="85"/>
              </w:rPr>
              <w:t>(2)</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16,445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146</w:t>
            </w:r>
            <w:r>
              <w:rPr>
                <w:rFonts w:ascii="Times New Roman" w:cs="Times New Roman" w:eastAsia="Times New Roman" w:hAnsi="Times New Roman"/>
                <w:sz w:val="11"/>
                <w:szCs w:val="11"/>
                <w:color w:val="008000"/>
                <w:w w:val="85"/>
              </w:rPr>
              <w:t>(3)</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16,299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110</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16,189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88</w:t>
            </w:r>
            <w:r>
              <w:rPr>
                <w:rFonts w:ascii="Times New Roman" w:cs="Times New Roman" w:eastAsia="Times New Roman" w:hAnsi="Times New Roman"/>
                <w:sz w:val="11"/>
                <w:szCs w:val="11"/>
                <w:color w:val="008000"/>
                <w:w w:val="84"/>
              </w:rPr>
              <w:t>(4)</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16,101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86</w:t>
            </w:r>
            <w:r>
              <w:rPr>
                <w:rFonts w:ascii="Times New Roman" w:cs="Times New Roman" w:eastAsia="Times New Roman" w:hAnsi="Times New Roman"/>
                <w:sz w:val="11"/>
                <w:szCs w:val="11"/>
                <w:color w:val="008000"/>
                <w:w w:val="84"/>
              </w:rPr>
              <w:t>(5)</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16,015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45</w:t>
            </w:r>
            <w:r>
              <w:rPr>
                <w:rFonts w:ascii="Times New Roman" w:cs="Times New Roman" w:eastAsia="Times New Roman" w:hAnsi="Times New Roman"/>
                <w:sz w:val="11"/>
                <w:szCs w:val="11"/>
                <w:color w:val="008000"/>
                <w:w w:val="84"/>
              </w:rPr>
              <w:t>(6)</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15,970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101</w:t>
            </w:r>
            <w:r>
              <w:rPr>
                <w:rFonts w:ascii="Times New Roman" w:cs="Times New Roman" w:eastAsia="Times New Roman" w:hAnsi="Times New Roman"/>
                <w:sz w:val="22"/>
                <w:szCs w:val="22"/>
                <w:color w:val="008000"/>
                <w:w w:val="93"/>
                <w:vertAlign w:val="superscript"/>
              </w:rPr>
              <w:t>(7)</w:t>
            </w:r>
          </w:p>
        </w:tc>
        <w:tc>
          <w:tcPr>
            <w:tcW w:w="44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15,869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jc w:val="center"/>
              <w:ind w:right="4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57"/>
              <w:spacing w:after="0" w:line="133"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performance-based restricted stock units ("PSUs") previously granted to the Reporting Person on January 24,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PSUs previously granted to the Reporting Person on January 25,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time-based restricted stock units ("RSUs") previously granted to the Reporting Person on January 23,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RSUs previously granted to the Reporting Person on April 25,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RSUs previously granted to the Reporting Person on January 24,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RSUs previously granted to the Reporting Person on February 9, 2022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August 10, 2025 of the RSUs previously granted to the Reporting Person on January 28, 2025 pursuant to the Issuer's 2025 Omnibus Plan.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Evan Pickering,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11/12/2025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Elizabeth E. Barat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ectPr>
          <w:pgSz w:w="11900" w:h="16844"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4905"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2025-11-12T18:34:37Z</dcterms:created>
  <dcterms:modified xsi:type="dcterms:W3CDTF">2025-11-12T18:34:37Z</dcterms:modified>
</cp:coreProperties>
</file>