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40"/>
        <w:spacing w:after="0"/>
        <w:rPr>
          <w:sz w:val="20"/>
          <w:szCs w:val="20"/>
          <w:color w:val="auto"/>
        </w:rPr>
      </w:pPr>
      <w:r>
        <w:rPr>
          <w:rFonts w:ascii="Arial" w:cs="Arial" w:eastAsia="Arial" w:hAnsi="Arial"/>
          <w:sz w:val="23"/>
          <w:szCs w:val="23"/>
          <w:b w:val="1"/>
          <w:bCs w:val="1"/>
          <w:color w:val="auto"/>
        </w:rPr>
        <w:t>UNITED STATES</w:t>
      </w:r>
    </w:p>
    <w:p>
      <w:pPr>
        <w:spacing w:after="0" w:line="35" w:lineRule="exact"/>
        <w:rPr>
          <w:sz w:val="24"/>
          <w:szCs w:val="24"/>
          <w:color w:val="auto"/>
        </w:rPr>
      </w:pPr>
    </w:p>
    <w:p>
      <w:pPr>
        <w:jc w:val="center"/>
        <w:ind w:right="-940"/>
        <w:spacing w:after="0"/>
        <w:rPr>
          <w:sz w:val="20"/>
          <w:szCs w:val="20"/>
          <w:color w:val="auto"/>
        </w:rPr>
      </w:pPr>
      <w:r>
        <w:rPr>
          <w:rFonts w:ascii="Arial" w:cs="Arial" w:eastAsia="Arial" w:hAnsi="Arial"/>
          <w:sz w:val="23"/>
          <w:szCs w:val="23"/>
          <w:b w:val="1"/>
          <w:bCs w:val="1"/>
          <w:color w:val="auto"/>
        </w:rPr>
        <w:t>SECURITIES AND EXCHANGE COMMISSION</w:t>
      </w:r>
    </w:p>
    <w:p>
      <w:pPr>
        <w:spacing w:after="0" w:line="8" w:lineRule="exact"/>
        <w:rPr>
          <w:sz w:val="24"/>
          <w:szCs w:val="24"/>
          <w:color w:val="auto"/>
        </w:rPr>
      </w:pPr>
    </w:p>
    <w:p>
      <w:pPr>
        <w:jc w:val="center"/>
        <w:ind w:right="-940"/>
        <w:spacing w:after="0"/>
        <w:rPr>
          <w:sz w:val="20"/>
          <w:szCs w:val="20"/>
          <w:color w:val="auto"/>
        </w:rPr>
      </w:pPr>
      <w:r>
        <w:rPr>
          <w:rFonts w:ascii="Arial" w:cs="Arial" w:eastAsia="Arial" w:hAnsi="Arial"/>
          <w:sz w:val="15"/>
          <w:szCs w:val="15"/>
          <w:b w:val="1"/>
          <w:bCs w:val="1"/>
          <w:color w:val="auto"/>
        </w:rPr>
        <w:t>WASHINGTON, D.C. 20549</w:t>
      </w:r>
    </w:p>
    <w:p>
      <w:pPr>
        <w:spacing w:after="0" w:line="2" w:lineRule="exact"/>
        <w:rPr>
          <w:sz w:val="24"/>
          <w:szCs w:val="24"/>
          <w:color w:val="auto"/>
        </w:rPr>
      </w:pPr>
    </w:p>
    <w:p>
      <w:pPr>
        <w:ind w:left="5081"/>
        <w:spacing w:after="0"/>
        <w:rPr>
          <w:sz w:val="20"/>
          <w:szCs w:val="20"/>
          <w:color w:val="auto"/>
        </w:rPr>
      </w:pPr>
      <w:r>
        <w:rPr>
          <w:rFonts w:ascii="Arial" w:cs="Arial" w:eastAsia="Arial" w:hAnsi="Arial"/>
          <w:sz w:val="15"/>
          <w:szCs w:val="15"/>
          <w:b w:val="1"/>
          <w:bCs w:val="1"/>
          <w:color w:val="auto"/>
        </w:rPr>
        <w:t>_________________</w:t>
      </w:r>
    </w:p>
    <w:p>
      <w:pPr>
        <w:spacing w:after="0" w:line="142" w:lineRule="exact"/>
        <w:rPr>
          <w:sz w:val="24"/>
          <w:szCs w:val="24"/>
          <w:color w:val="auto"/>
        </w:rPr>
      </w:pPr>
    </w:p>
    <w:p>
      <w:pPr>
        <w:ind w:left="5001"/>
        <w:spacing w:after="0"/>
        <w:rPr>
          <w:sz w:val="20"/>
          <w:szCs w:val="20"/>
          <w:color w:val="auto"/>
        </w:rPr>
      </w:pPr>
      <w:r>
        <w:rPr>
          <w:rFonts w:ascii="Arial" w:cs="Arial" w:eastAsia="Arial" w:hAnsi="Arial"/>
          <w:sz w:val="27"/>
          <w:szCs w:val="27"/>
          <w:b w:val="1"/>
          <w:bCs w:val="1"/>
          <w:color w:val="auto"/>
        </w:rPr>
        <w:t>FORM 10-K</w:t>
      </w:r>
    </w:p>
    <w:p>
      <w:pPr>
        <w:spacing w:after="0" w:line="68" w:lineRule="exact"/>
        <w:rPr>
          <w:sz w:val="24"/>
          <w:szCs w:val="24"/>
          <w:color w:val="auto"/>
        </w:rPr>
      </w:pPr>
    </w:p>
    <w:p>
      <w:pPr>
        <w:ind w:left="5081"/>
        <w:spacing w:after="0"/>
        <w:rPr>
          <w:sz w:val="20"/>
          <w:szCs w:val="20"/>
          <w:color w:val="auto"/>
        </w:rPr>
      </w:pPr>
      <w:r>
        <w:rPr>
          <w:rFonts w:ascii="Arial" w:cs="Arial" w:eastAsia="Arial" w:hAnsi="Arial"/>
          <w:sz w:val="15"/>
          <w:szCs w:val="15"/>
          <w:b w:val="1"/>
          <w:bCs w:val="1"/>
          <w:color w:val="auto"/>
        </w:rPr>
        <w:t>_________________</w:t>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4301" w:right="3000" w:hanging="4301"/>
        <w:spacing w:after="0" w:line="587" w:lineRule="auto"/>
        <w:tabs>
          <w:tab w:leader="none" w:pos="186"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2019</w:t>
      </w:r>
    </w:p>
    <w:p>
      <w:pPr>
        <w:spacing w:after="0" w:line="43" w:lineRule="exact"/>
        <w:rPr>
          <w:sz w:val="24"/>
          <w:szCs w:val="24"/>
          <w:color w:val="auto"/>
        </w:rPr>
      </w:pPr>
    </w:p>
    <w:p>
      <w:pPr>
        <w:ind w:left="201" w:hanging="201"/>
        <w:spacing w:after="0"/>
        <w:tabs>
          <w:tab w:leader="none" w:pos="201"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332" w:lineRule="exact"/>
        <w:rPr>
          <w:sz w:val="24"/>
          <w:szCs w:val="24"/>
          <w:color w:val="auto"/>
        </w:rPr>
      </w:pPr>
    </w:p>
    <w:p>
      <w:pPr>
        <w:ind w:left="3881"/>
        <w:spacing w:after="0"/>
        <w:tabs>
          <w:tab w:leader="none" w:pos="66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3716020</wp:posOffset>
            </wp:positionH>
            <wp:positionV relativeFrom="paragraph">
              <wp:posOffset>-6350</wp:posOffset>
            </wp:positionV>
            <wp:extent cx="1073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3785" cy="7620"/>
                    </a:xfrm>
                    <a:prstGeom prst="rect">
                      <a:avLst/>
                    </a:prstGeom>
                    <a:noFill/>
                  </pic:spPr>
                </pic:pic>
              </a:graphicData>
            </a:graphic>
          </wp:anchor>
        </w:drawing>
      </w:r>
    </w:p>
    <w:p>
      <w:pPr>
        <w:spacing w:after="0" w:line="181" w:lineRule="exact"/>
        <w:rPr>
          <w:sz w:val="24"/>
          <w:szCs w:val="24"/>
          <w:color w:val="auto"/>
        </w:rPr>
      </w:pPr>
    </w:p>
    <w:p>
      <w:pPr>
        <w:jc w:val="center"/>
        <w:ind w:right="-940"/>
        <w:spacing w:after="0"/>
        <w:rPr>
          <w:sz w:val="20"/>
          <w:szCs w:val="20"/>
          <w:color w:val="auto"/>
        </w:rPr>
      </w:pPr>
      <w:r>
        <w:rPr>
          <w:rFonts w:ascii="Arial" w:cs="Arial" w:eastAsia="Arial" w:hAnsi="Arial"/>
          <w:sz w:val="15"/>
          <w:szCs w:val="15"/>
          <w:b w:val="1"/>
          <w:bCs w:val="1"/>
          <w:color w:val="auto"/>
        </w:rPr>
        <w:t>Commission File Number 001-37468</w:t>
      </w:r>
    </w:p>
    <w:p>
      <w:pPr>
        <w:spacing w:after="0" w:line="76" w:lineRule="exact"/>
        <w:rPr>
          <w:sz w:val="24"/>
          <w:szCs w:val="24"/>
          <w:color w:val="auto"/>
        </w:rPr>
      </w:pPr>
    </w:p>
    <w:p>
      <w:pPr>
        <w:ind w:left="5081"/>
        <w:spacing w:after="0"/>
        <w:rPr>
          <w:sz w:val="20"/>
          <w:szCs w:val="20"/>
          <w:color w:val="auto"/>
        </w:rPr>
      </w:pPr>
      <w:r>
        <w:rPr>
          <w:rFonts w:ascii="Arial" w:cs="Arial" w:eastAsia="Arial" w:hAnsi="Arial"/>
          <w:sz w:val="15"/>
          <w:szCs w:val="15"/>
          <w:b w:val="1"/>
          <w:bCs w:val="1"/>
          <w:color w:val="auto"/>
        </w:rPr>
        <w:t>_________________</w:t>
      </w:r>
    </w:p>
    <w:p>
      <w:pPr>
        <w:spacing w:after="0" w:line="158" w:lineRule="exact"/>
        <w:rPr>
          <w:sz w:val="24"/>
          <w:szCs w:val="24"/>
          <w:color w:val="auto"/>
        </w:rPr>
      </w:pPr>
    </w:p>
    <w:p>
      <w:pPr>
        <w:jc w:val="center"/>
        <w:ind w:right="-940"/>
        <w:spacing w:after="0"/>
        <w:rPr>
          <w:sz w:val="20"/>
          <w:szCs w:val="20"/>
          <w:color w:val="auto"/>
        </w:rPr>
      </w:pPr>
      <w:r>
        <w:rPr>
          <w:rFonts w:ascii="Arial" w:cs="Arial" w:eastAsia="Arial" w:hAnsi="Arial"/>
          <w:sz w:val="27"/>
          <w:szCs w:val="27"/>
          <w:b w:val="1"/>
          <w:bCs w:val="1"/>
          <w:color w:val="auto"/>
        </w:rPr>
        <w:t>AppFolio, Inc.</w:t>
      </w:r>
    </w:p>
    <w:p>
      <w:pPr>
        <w:spacing w:after="0" w:line="34" w:lineRule="exact"/>
        <w:rPr>
          <w:sz w:val="24"/>
          <w:szCs w:val="24"/>
          <w:color w:val="auto"/>
        </w:rPr>
      </w:pPr>
    </w:p>
    <w:p>
      <w:pPr>
        <w:jc w:val="center"/>
        <w:ind w:right="-94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60" w:lineRule="exact"/>
        <w:rPr>
          <w:sz w:val="24"/>
          <w:szCs w:val="24"/>
          <w:color w:val="auto"/>
        </w:rPr>
      </w:pPr>
    </w:p>
    <w:p>
      <w:pPr>
        <w:ind w:left="5081"/>
        <w:spacing w:after="0"/>
        <w:rPr>
          <w:sz w:val="20"/>
          <w:szCs w:val="20"/>
          <w:color w:val="auto"/>
        </w:rPr>
      </w:pPr>
      <w:r>
        <w:rPr>
          <w:rFonts w:ascii="Arial" w:cs="Arial" w:eastAsia="Arial" w:hAnsi="Arial"/>
          <w:sz w:val="15"/>
          <w:szCs w:val="15"/>
          <w:b w:val="1"/>
          <w:bCs w:val="1"/>
          <w:color w:val="auto"/>
        </w:rPr>
        <w:t>_________________</w:t>
      </w:r>
    </w:p>
    <w:p>
      <w:pPr>
        <w:spacing w:after="0" w:line="395" w:lineRule="exact"/>
        <w:rPr>
          <w:sz w:val="24"/>
          <w:szCs w:val="24"/>
          <w:color w:val="auto"/>
        </w:rPr>
      </w:pPr>
    </w:p>
    <w:tbl>
      <w:tblPr>
        <w:tblLayout w:type="fixed"/>
        <w:tblInd w:w="1561" w:type="dxa"/>
        <w:tblCellMar>
          <w:top w:w="0" w:type="dxa"/>
          <w:left w:w="0" w:type="dxa"/>
          <w:bottom w:w="0" w:type="dxa"/>
          <w:right w:w="0" w:type="dxa"/>
        </w:tblCellMar>
      </w:tblPr>
      <w:tr>
        <w:trPr>
          <w:trHeight w:val="216"/>
        </w:trPr>
        <w:tc>
          <w:tcPr>
            <w:tcW w:w="4300" w:type="dxa"/>
            <w:vAlign w:val="bottom"/>
          </w:tcPr>
          <w:p>
            <w:pPr>
              <w:jc w:val="center"/>
              <w:ind w:right="1497"/>
              <w:spacing w:after="0"/>
              <w:rPr>
                <w:sz w:val="20"/>
                <w:szCs w:val="20"/>
                <w:color w:val="auto"/>
              </w:rPr>
            </w:pPr>
            <w:r>
              <w:rPr>
                <w:rFonts w:ascii="Arial" w:cs="Arial" w:eastAsia="Arial" w:hAnsi="Arial"/>
                <w:sz w:val="17"/>
                <w:szCs w:val="17"/>
                <w:b w:val="1"/>
                <w:bCs w:val="1"/>
                <w:color w:val="auto"/>
                <w:w w:val="91"/>
              </w:rPr>
              <w:t>Delaware</w:t>
            </w:r>
          </w:p>
        </w:tc>
        <w:tc>
          <w:tcPr>
            <w:tcW w:w="4060" w:type="dxa"/>
            <w:vAlign w:val="bottom"/>
          </w:tcPr>
          <w:p>
            <w:pPr>
              <w:jc w:val="right"/>
              <w:ind w:right="757"/>
              <w:spacing w:after="0"/>
              <w:rPr>
                <w:sz w:val="20"/>
                <w:szCs w:val="20"/>
                <w:color w:val="auto"/>
              </w:rPr>
            </w:pPr>
            <w:r>
              <w:rPr>
                <w:rFonts w:ascii="Arial" w:cs="Arial" w:eastAsia="Arial" w:hAnsi="Arial"/>
                <w:sz w:val="17"/>
                <w:szCs w:val="17"/>
                <w:b w:val="1"/>
                <w:bCs w:val="1"/>
                <w:color w:val="auto"/>
              </w:rPr>
              <w:t>26-0359894</w:t>
            </w:r>
          </w:p>
        </w:tc>
      </w:tr>
      <w:tr>
        <w:trPr>
          <w:trHeight w:val="249"/>
        </w:trPr>
        <w:tc>
          <w:tcPr>
            <w:tcW w:w="4300" w:type="dxa"/>
            <w:vAlign w:val="bottom"/>
          </w:tcPr>
          <w:p>
            <w:pPr>
              <w:jc w:val="center"/>
              <w:ind w:right="1497"/>
              <w:spacing w:after="0"/>
              <w:rPr>
                <w:sz w:val="20"/>
                <w:szCs w:val="20"/>
                <w:color w:val="auto"/>
              </w:rPr>
            </w:pPr>
            <w:r>
              <w:rPr>
                <w:rFonts w:ascii="Arial" w:cs="Arial" w:eastAsia="Arial" w:hAnsi="Arial"/>
                <w:sz w:val="17"/>
                <w:szCs w:val="17"/>
                <w:b w:val="1"/>
                <w:bCs w:val="1"/>
                <w:i w:val="1"/>
                <w:iCs w:val="1"/>
                <w:color w:val="auto"/>
                <w:w w:val="86"/>
              </w:rPr>
              <w:t>(State of incorporation or organization)</w:t>
            </w:r>
          </w:p>
        </w:tc>
        <w:tc>
          <w:tcPr>
            <w:tcW w:w="4060" w:type="dxa"/>
            <w:vAlign w:val="bottom"/>
          </w:tcPr>
          <w:p>
            <w:pPr>
              <w:jc w:val="center"/>
              <w:ind w:left="1497"/>
              <w:spacing w:after="0"/>
              <w:rPr>
                <w:sz w:val="20"/>
                <w:szCs w:val="20"/>
                <w:color w:val="auto"/>
              </w:rPr>
            </w:pPr>
            <w:r>
              <w:rPr>
                <w:rFonts w:ascii="Arial" w:cs="Arial" w:eastAsia="Arial" w:hAnsi="Arial"/>
                <w:sz w:val="17"/>
                <w:szCs w:val="17"/>
                <w:b w:val="1"/>
                <w:bCs w:val="1"/>
                <w:i w:val="1"/>
                <w:iCs w:val="1"/>
                <w:color w:val="auto"/>
                <w:w w:val="88"/>
              </w:rPr>
              <w:t>(I.R.S. Employer Identification No.)</w:t>
            </w:r>
          </w:p>
        </w:tc>
      </w:tr>
      <w:tr>
        <w:trPr>
          <w:trHeight w:val="510"/>
        </w:trPr>
        <w:tc>
          <w:tcPr>
            <w:tcW w:w="4300" w:type="dxa"/>
            <w:vAlign w:val="bottom"/>
          </w:tcPr>
          <w:p>
            <w:pPr>
              <w:jc w:val="center"/>
              <w:ind w:right="1497"/>
              <w:spacing w:after="0"/>
              <w:rPr>
                <w:sz w:val="20"/>
                <w:szCs w:val="20"/>
                <w:color w:val="auto"/>
              </w:rPr>
            </w:pPr>
            <w:r>
              <w:rPr>
                <w:rFonts w:ascii="Arial" w:cs="Arial" w:eastAsia="Arial" w:hAnsi="Arial"/>
                <w:sz w:val="17"/>
                <w:szCs w:val="17"/>
                <w:b w:val="1"/>
                <w:bCs w:val="1"/>
                <w:color w:val="auto"/>
                <w:w w:val="90"/>
              </w:rPr>
              <w:t>50 Castilian Drive</w:t>
            </w:r>
          </w:p>
        </w:tc>
        <w:tc>
          <w:tcPr>
            <w:tcW w:w="4060" w:type="dxa"/>
            <w:vAlign w:val="bottom"/>
          </w:tcPr>
          <w:p>
            <w:pPr>
              <w:spacing w:after="0"/>
              <w:rPr>
                <w:sz w:val="24"/>
                <w:szCs w:val="24"/>
                <w:color w:val="auto"/>
              </w:rPr>
            </w:pPr>
          </w:p>
        </w:tc>
      </w:tr>
      <w:tr>
        <w:trPr>
          <w:trHeight w:val="249"/>
        </w:trPr>
        <w:tc>
          <w:tcPr>
            <w:tcW w:w="4300" w:type="dxa"/>
            <w:vAlign w:val="bottom"/>
          </w:tcPr>
          <w:p>
            <w:pPr>
              <w:jc w:val="center"/>
              <w:ind w:right="1517"/>
              <w:spacing w:after="0"/>
              <w:rPr>
                <w:sz w:val="20"/>
                <w:szCs w:val="20"/>
                <w:color w:val="auto"/>
              </w:rPr>
            </w:pPr>
            <w:r>
              <w:rPr>
                <w:rFonts w:ascii="Arial" w:cs="Arial" w:eastAsia="Arial" w:hAnsi="Arial"/>
                <w:sz w:val="17"/>
                <w:szCs w:val="17"/>
                <w:b w:val="1"/>
                <w:bCs w:val="1"/>
                <w:color w:val="auto"/>
                <w:w w:val="91"/>
              </w:rPr>
              <w:t>Santa Barbara, California</w:t>
            </w:r>
          </w:p>
        </w:tc>
        <w:tc>
          <w:tcPr>
            <w:tcW w:w="4060" w:type="dxa"/>
            <w:vAlign w:val="bottom"/>
          </w:tcPr>
          <w:p>
            <w:pPr>
              <w:jc w:val="right"/>
              <w:ind w:right="957"/>
              <w:spacing w:after="0"/>
              <w:rPr>
                <w:sz w:val="20"/>
                <w:szCs w:val="20"/>
                <w:color w:val="auto"/>
              </w:rPr>
            </w:pPr>
            <w:r>
              <w:rPr>
                <w:rFonts w:ascii="Arial" w:cs="Arial" w:eastAsia="Arial" w:hAnsi="Arial"/>
                <w:sz w:val="17"/>
                <w:szCs w:val="17"/>
                <w:b w:val="1"/>
                <w:bCs w:val="1"/>
                <w:i w:val="1"/>
                <w:iCs w:val="1"/>
                <w:color w:val="auto"/>
              </w:rPr>
              <w:t>93117</w:t>
            </w:r>
          </w:p>
        </w:tc>
      </w:tr>
      <w:tr>
        <w:trPr>
          <w:trHeight w:val="249"/>
        </w:trPr>
        <w:tc>
          <w:tcPr>
            <w:tcW w:w="4300" w:type="dxa"/>
            <w:vAlign w:val="bottom"/>
          </w:tcPr>
          <w:p>
            <w:pPr>
              <w:jc w:val="center"/>
              <w:ind w:right="1477"/>
              <w:spacing w:after="0"/>
              <w:rPr>
                <w:sz w:val="20"/>
                <w:szCs w:val="20"/>
                <w:color w:val="auto"/>
              </w:rPr>
            </w:pPr>
            <w:r>
              <w:rPr>
                <w:rFonts w:ascii="Arial" w:cs="Arial" w:eastAsia="Arial" w:hAnsi="Arial"/>
                <w:sz w:val="17"/>
                <w:szCs w:val="17"/>
                <w:b w:val="1"/>
                <w:bCs w:val="1"/>
                <w:i w:val="1"/>
                <w:iCs w:val="1"/>
                <w:color w:val="auto"/>
                <w:w w:val="83"/>
              </w:rPr>
              <w:t>(Address of principal executive offices)</w:t>
            </w:r>
          </w:p>
        </w:tc>
        <w:tc>
          <w:tcPr>
            <w:tcW w:w="4060" w:type="dxa"/>
            <w:vAlign w:val="bottom"/>
          </w:tcPr>
          <w:p>
            <w:pPr>
              <w:jc w:val="center"/>
              <w:ind w:left="1497"/>
              <w:spacing w:after="0"/>
              <w:rPr>
                <w:sz w:val="20"/>
                <w:szCs w:val="20"/>
                <w:color w:val="auto"/>
              </w:rPr>
            </w:pPr>
            <w:r>
              <w:rPr>
                <w:rFonts w:ascii="Arial" w:cs="Arial" w:eastAsia="Arial" w:hAnsi="Arial"/>
                <w:sz w:val="17"/>
                <w:szCs w:val="17"/>
                <w:b w:val="1"/>
                <w:bCs w:val="1"/>
                <w:i w:val="1"/>
                <w:iCs w:val="1"/>
                <w:color w:val="auto"/>
                <w:w w:val="85"/>
              </w:rPr>
              <w:t>(Zip Code)</w:t>
            </w:r>
          </w:p>
        </w:tc>
      </w:tr>
    </w:tbl>
    <w:p>
      <w:pPr>
        <w:spacing w:after="0" w:line="282" w:lineRule="exact"/>
        <w:rPr>
          <w:sz w:val="24"/>
          <w:szCs w:val="24"/>
          <w:color w:val="auto"/>
        </w:rPr>
      </w:pPr>
    </w:p>
    <w:p>
      <w:pPr>
        <w:jc w:val="center"/>
        <w:ind w:right="-980"/>
        <w:spacing w:after="0"/>
        <w:rPr>
          <w:sz w:val="20"/>
          <w:szCs w:val="20"/>
          <w:color w:val="auto"/>
        </w:rPr>
      </w:pPr>
      <w:r>
        <w:rPr>
          <w:rFonts w:ascii="Arial" w:cs="Arial" w:eastAsia="Arial" w:hAnsi="Arial"/>
          <w:sz w:val="17"/>
          <w:szCs w:val="17"/>
          <w:b w:val="1"/>
          <w:bCs w:val="1"/>
          <w:color w:val="auto"/>
        </w:rPr>
        <w:t>(805) 364-6093</w:t>
      </w:r>
    </w:p>
    <w:p>
      <w:pPr>
        <w:spacing w:after="0" w:line="78" w:lineRule="exact"/>
        <w:rPr>
          <w:sz w:val="24"/>
          <w:szCs w:val="24"/>
          <w:color w:val="auto"/>
        </w:rPr>
      </w:pPr>
    </w:p>
    <w:p>
      <w:pPr>
        <w:jc w:val="center"/>
        <w:ind w:right="-940"/>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331" w:lineRule="exact"/>
        <w:rPr>
          <w:sz w:val="24"/>
          <w:szCs w:val="24"/>
          <w:color w:val="auto"/>
        </w:rPr>
      </w:pPr>
    </w:p>
    <w:p>
      <w:pPr>
        <w:ind w:left="3561"/>
        <w:spacing w:after="0"/>
        <w:rPr>
          <w:sz w:val="20"/>
          <w:szCs w:val="20"/>
          <w:color w:val="auto"/>
        </w:rPr>
      </w:pPr>
      <w:r>
        <w:rPr>
          <w:rFonts w:ascii="Arial" w:cs="Arial" w:eastAsia="Arial" w:hAnsi="Arial"/>
          <w:sz w:val="15"/>
          <w:szCs w:val="15"/>
          <w:b w:val="1"/>
          <w:bCs w:val="1"/>
          <w:color w:val="auto"/>
        </w:rPr>
        <w:t>Securities registered pursuant to Section 12(b) of the Exchange Act:</w:t>
      </w:r>
    </w:p>
    <w:p>
      <w:pPr>
        <w:spacing w:after="0" w:line="326" w:lineRule="exact"/>
        <w:rPr>
          <w:sz w:val="24"/>
          <w:szCs w:val="24"/>
          <w:color w:val="auto"/>
        </w:rPr>
      </w:pPr>
    </w:p>
    <w:tbl>
      <w:tblPr>
        <w:tblLayout w:type="fixed"/>
        <w:tblInd w:w="761" w:type="dxa"/>
        <w:tblCellMar>
          <w:top w:w="0" w:type="dxa"/>
          <w:left w:w="0" w:type="dxa"/>
          <w:bottom w:w="0" w:type="dxa"/>
          <w:right w:w="0" w:type="dxa"/>
        </w:tblCellMar>
      </w:tblPr>
      <w:tr>
        <w:trPr>
          <w:trHeight w:val="172"/>
        </w:trPr>
        <w:tc>
          <w:tcPr>
            <w:tcW w:w="3940" w:type="dxa"/>
            <w:vAlign w:val="bottom"/>
            <w:gridSpan w:val="3"/>
          </w:tcPr>
          <w:p>
            <w:pPr>
              <w:jc w:val="center"/>
              <w:ind w:right="660"/>
              <w:spacing w:after="0"/>
              <w:rPr>
                <w:sz w:val="20"/>
                <w:szCs w:val="20"/>
                <w:color w:val="auto"/>
              </w:rPr>
            </w:pPr>
            <w:r>
              <w:rPr>
                <w:rFonts w:ascii="Arial" w:cs="Arial" w:eastAsia="Arial" w:hAnsi="Arial"/>
                <w:sz w:val="15"/>
                <w:szCs w:val="15"/>
                <w:b w:val="1"/>
                <w:bCs w:val="1"/>
                <w:color w:val="auto"/>
                <w:w w:val="86"/>
              </w:rPr>
              <w:t>Title of each class</w:t>
            </w:r>
          </w:p>
        </w:tc>
        <w:tc>
          <w:tcPr>
            <w:tcW w:w="26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9"/>
              </w:rPr>
              <w:t>Trading Symbol(s)</w:t>
            </w:r>
          </w:p>
        </w:tc>
        <w:tc>
          <w:tcPr>
            <w:tcW w:w="3180" w:type="dxa"/>
            <w:vAlign w:val="bottom"/>
            <w:gridSpan w:val="2"/>
          </w:tcPr>
          <w:p>
            <w:pPr>
              <w:jc w:val="center"/>
              <w:ind w:left="665"/>
              <w:spacing w:after="0"/>
              <w:rPr>
                <w:sz w:val="20"/>
                <w:szCs w:val="20"/>
                <w:color w:val="auto"/>
              </w:rPr>
            </w:pPr>
            <w:r>
              <w:rPr>
                <w:rFonts w:ascii="Arial" w:cs="Arial" w:eastAsia="Arial" w:hAnsi="Arial"/>
                <w:sz w:val="15"/>
                <w:szCs w:val="15"/>
                <w:b w:val="1"/>
                <w:bCs w:val="1"/>
                <w:color w:val="auto"/>
                <w:w w:val="87"/>
              </w:rPr>
              <w:t>Name of exchange on which registered</w:t>
            </w:r>
          </w:p>
        </w:tc>
      </w:tr>
      <w:tr>
        <w:trPr>
          <w:trHeight w:val="20"/>
        </w:trPr>
        <w:tc>
          <w:tcPr>
            <w:tcW w:w="10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r>
      <w:tr>
        <w:trPr>
          <w:trHeight w:val="260"/>
        </w:trPr>
        <w:tc>
          <w:tcPr>
            <w:tcW w:w="3940" w:type="dxa"/>
            <w:vAlign w:val="bottom"/>
            <w:gridSpan w:val="3"/>
          </w:tcPr>
          <w:p>
            <w:pPr>
              <w:jc w:val="center"/>
              <w:ind w:right="660"/>
              <w:spacing w:after="0"/>
              <w:rPr>
                <w:sz w:val="20"/>
                <w:szCs w:val="20"/>
                <w:color w:val="auto"/>
              </w:rPr>
            </w:pPr>
            <w:r>
              <w:rPr>
                <w:rFonts w:ascii="Arial" w:cs="Arial" w:eastAsia="Arial" w:hAnsi="Arial"/>
                <w:sz w:val="15"/>
                <w:szCs w:val="15"/>
                <w:b w:val="1"/>
                <w:bCs w:val="1"/>
                <w:color w:val="auto"/>
                <w:w w:val="88"/>
              </w:rPr>
              <w:t>Class A common stock, par value $0.0001 per share</w:t>
            </w:r>
          </w:p>
        </w:tc>
        <w:tc>
          <w:tcPr>
            <w:tcW w:w="660" w:type="dxa"/>
            <w:vAlign w:val="bottom"/>
          </w:tcPr>
          <w:p>
            <w:pPr>
              <w:spacing w:after="0"/>
              <w:rPr>
                <w:sz w:val="22"/>
                <w:szCs w:val="22"/>
                <w:color w:val="auto"/>
              </w:rPr>
            </w:pPr>
          </w:p>
        </w:tc>
        <w:tc>
          <w:tcPr>
            <w:tcW w:w="1940" w:type="dxa"/>
            <w:vAlign w:val="bottom"/>
            <w:gridSpan w:val="2"/>
          </w:tcPr>
          <w:p>
            <w:pPr>
              <w:jc w:val="center"/>
              <w:ind w:right="760"/>
              <w:spacing w:after="0"/>
              <w:rPr>
                <w:sz w:val="20"/>
                <w:szCs w:val="20"/>
                <w:color w:val="auto"/>
              </w:rPr>
            </w:pPr>
            <w:r>
              <w:rPr>
                <w:rFonts w:ascii="Arial" w:cs="Arial" w:eastAsia="Arial" w:hAnsi="Arial"/>
                <w:sz w:val="15"/>
                <w:szCs w:val="15"/>
                <w:b w:val="1"/>
                <w:bCs w:val="1"/>
                <w:color w:val="auto"/>
                <w:w w:val="94"/>
              </w:rPr>
              <w:t>APPF</w:t>
            </w:r>
          </w:p>
        </w:tc>
        <w:tc>
          <w:tcPr>
            <w:tcW w:w="740" w:type="dxa"/>
            <w:vAlign w:val="bottom"/>
          </w:tcPr>
          <w:p>
            <w:pPr>
              <w:spacing w:after="0"/>
              <w:rPr>
                <w:sz w:val="22"/>
                <w:szCs w:val="22"/>
                <w:color w:val="auto"/>
              </w:rPr>
            </w:pPr>
          </w:p>
        </w:tc>
        <w:tc>
          <w:tcPr>
            <w:tcW w:w="2440" w:type="dxa"/>
            <w:vAlign w:val="bottom"/>
          </w:tcPr>
          <w:p>
            <w:pPr>
              <w:jc w:val="center"/>
              <w:spacing w:after="0"/>
              <w:rPr>
                <w:sz w:val="20"/>
                <w:szCs w:val="20"/>
                <w:color w:val="auto"/>
              </w:rPr>
            </w:pPr>
            <w:r>
              <w:rPr>
                <w:rFonts w:ascii="Arial" w:cs="Arial" w:eastAsia="Arial" w:hAnsi="Arial"/>
                <w:sz w:val="15"/>
                <w:szCs w:val="15"/>
                <w:b w:val="1"/>
                <w:bCs w:val="1"/>
                <w:color w:val="auto"/>
                <w:w w:val="95"/>
              </w:rPr>
              <w:t>The NASDAQ Stock Market LLC</w:t>
            </w:r>
          </w:p>
        </w:tc>
      </w:tr>
    </w:tbl>
    <w:p>
      <w:pPr>
        <w:spacing w:after="0" w:line="217" w:lineRule="exact"/>
        <w:rPr>
          <w:sz w:val="24"/>
          <w:szCs w:val="24"/>
          <w:color w:val="auto"/>
        </w:rPr>
      </w:pPr>
    </w:p>
    <w:p>
      <w:pPr>
        <w:jc w:val="center"/>
        <w:ind w:right="-940"/>
        <w:spacing w:after="0"/>
        <w:rPr>
          <w:sz w:val="20"/>
          <w:szCs w:val="20"/>
          <w:color w:val="auto"/>
        </w:rPr>
      </w:pPr>
      <w:r>
        <w:rPr>
          <w:rFonts w:ascii="Arial" w:cs="Arial" w:eastAsia="Arial" w:hAnsi="Arial"/>
          <w:sz w:val="15"/>
          <w:szCs w:val="15"/>
          <w:b w:val="1"/>
          <w:bCs w:val="1"/>
          <w:color w:val="auto"/>
        </w:rPr>
        <w:t>Securities registered pursuant to Section 12(g) of the Exchange Act:</w:t>
      </w:r>
    </w:p>
    <w:p>
      <w:pPr>
        <w:spacing w:after="0" w:line="101" w:lineRule="exact"/>
        <w:rPr>
          <w:sz w:val="24"/>
          <w:szCs w:val="24"/>
          <w:color w:val="auto"/>
        </w:rPr>
      </w:pPr>
    </w:p>
    <w:p>
      <w:pPr>
        <w:jc w:val="center"/>
        <w:ind w:right="-940"/>
        <w:spacing w:after="0"/>
        <w:rPr>
          <w:sz w:val="20"/>
          <w:szCs w:val="20"/>
          <w:color w:val="auto"/>
        </w:rPr>
      </w:pPr>
      <w:r>
        <w:rPr>
          <w:rFonts w:ascii="Arial" w:cs="Arial" w:eastAsia="Arial" w:hAnsi="Arial"/>
          <w:sz w:val="15"/>
          <w:szCs w:val="15"/>
          <w:b w:val="1"/>
          <w:bCs w:val="1"/>
          <w:color w:val="auto"/>
        </w:rPr>
        <w:t>None</w:t>
      </w:r>
    </w:p>
    <w:p>
      <w:pPr>
        <w:spacing w:after="0" w:line="176" w:lineRule="exact"/>
        <w:rPr>
          <w:sz w:val="24"/>
          <w:szCs w:val="24"/>
          <w:color w:val="auto"/>
        </w:rPr>
      </w:pPr>
    </w:p>
    <w:p>
      <w:pPr>
        <w:ind w:left="5081"/>
        <w:spacing w:after="0"/>
        <w:rPr>
          <w:sz w:val="20"/>
          <w:szCs w:val="20"/>
          <w:color w:val="auto"/>
        </w:rPr>
      </w:pPr>
      <w:r>
        <w:rPr>
          <w:rFonts w:ascii="Arial" w:cs="Arial" w:eastAsia="Arial" w:hAnsi="Arial"/>
          <w:sz w:val="15"/>
          <w:szCs w:val="15"/>
          <w:b w:val="1"/>
          <w:bCs w:val="1"/>
          <w:color w:val="auto"/>
        </w:rPr>
        <w:t>_________________</w:t>
      </w:r>
    </w:p>
    <w:p>
      <w:pPr>
        <w:spacing w:after="0" w:line="200" w:lineRule="exact"/>
        <w:rPr>
          <w:sz w:val="24"/>
          <w:szCs w:val="24"/>
          <w:color w:val="auto"/>
        </w:rPr>
      </w:pPr>
    </w:p>
    <w:p>
      <w:pPr>
        <w:spacing w:after="0" w:line="238" w:lineRule="exact"/>
        <w:rPr>
          <w:sz w:val="24"/>
          <w:szCs w:val="24"/>
          <w:color w:val="auto"/>
        </w:rPr>
      </w:pPr>
    </w:p>
    <w:p>
      <w:pPr>
        <w:ind w:left="1" w:right="2480"/>
        <w:spacing w:after="0" w:line="28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ectPr>
          <w:pgSz w:w="11900" w:h="16838" w:orient="portrait"/>
          <w:cols w:equalWidth="0" w:num="1">
            <w:col w:w="10481"/>
          </w:cols>
          <w:pgMar w:left="239" w:top="1138" w:right="1179" w:bottom="1440" w:gutter="0" w:footer="0" w:header="0"/>
        </w:sectPr>
      </w:pPr>
    </w:p>
    <w:bookmarkStart w:id="1" w:name="page2"/>
    <w:bookmarkEnd w:id="1"/>
    <w:p>
      <w:pPr>
        <w:jc w:val="both"/>
        <w:spacing w:after="0" w:line="19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4" w:lineRule="exact"/>
        <w:rPr>
          <w:sz w:val="20"/>
          <w:szCs w:val="20"/>
          <w:color w:val="auto"/>
        </w:rPr>
      </w:pPr>
    </w:p>
    <w:p>
      <w:pPr>
        <w:jc w:val="both"/>
        <w:spacing w:after="0" w:line="19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9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80" w:type="dxa"/>
            <w:vAlign w:val="bottom"/>
          </w:tcPr>
          <w:p>
            <w:pPr>
              <w:ind w:left="580"/>
              <w:spacing w:after="0" w:line="151" w:lineRule="exact"/>
              <w:rPr>
                <w:sz w:val="20"/>
                <w:szCs w:val="20"/>
                <w:color w:val="auto"/>
              </w:rPr>
            </w:pPr>
            <w:r>
              <w:rPr>
                <w:rFonts w:ascii="MS PGothic" w:cs="MS PGothic" w:eastAsia="MS PGothic" w:hAnsi="MS PGothic"/>
                <w:sz w:val="15"/>
                <w:szCs w:val="15"/>
                <w:color w:val="auto"/>
              </w:rPr>
              <w:t>☒</w:t>
            </w:r>
          </w:p>
        </w:tc>
        <w:tc>
          <w:tcPr>
            <w:tcW w:w="5020" w:type="dxa"/>
            <w:vAlign w:val="bottom"/>
          </w:tcPr>
          <w:p>
            <w:pPr>
              <w:ind w:left="2840"/>
              <w:spacing w:after="0"/>
              <w:rPr>
                <w:sz w:val="20"/>
                <w:szCs w:val="20"/>
                <w:color w:val="auto"/>
              </w:rPr>
            </w:pPr>
            <w:r>
              <w:rPr>
                <w:rFonts w:ascii="Arial" w:cs="Arial" w:eastAsia="Arial" w:hAnsi="Arial"/>
                <w:sz w:val="15"/>
                <w:szCs w:val="15"/>
                <w:color w:val="auto"/>
              </w:rPr>
              <w:t>Accelerated filer</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460"/>
        </w:trPr>
        <w:tc>
          <w:tcPr>
            <w:tcW w:w="1940" w:type="dxa"/>
            <w:vAlign w:val="bottom"/>
          </w:tcPr>
          <w:p>
            <w:pPr>
              <w:spacing w:after="0"/>
              <w:rPr>
                <w:sz w:val="20"/>
                <w:szCs w:val="20"/>
                <w:color w:val="auto"/>
              </w:rPr>
            </w:pPr>
            <w:r>
              <w:rPr>
                <w:rFonts w:ascii="Arial" w:cs="Arial" w:eastAsia="Arial" w:hAnsi="Arial"/>
                <w:sz w:val="15"/>
                <w:szCs w:val="15"/>
                <w:color w:val="auto"/>
              </w:rPr>
              <w:t>Non-accelerated filer</w:t>
            </w:r>
          </w:p>
        </w:tc>
        <w:tc>
          <w:tcPr>
            <w:tcW w:w="3580" w:type="dxa"/>
            <w:vAlign w:val="bottom"/>
          </w:tcPr>
          <w:p>
            <w:pPr>
              <w:ind w:left="580"/>
              <w:spacing w:after="0" w:line="151" w:lineRule="exact"/>
              <w:rPr>
                <w:sz w:val="20"/>
                <w:szCs w:val="20"/>
                <w:color w:val="auto"/>
              </w:rPr>
            </w:pPr>
            <w:r>
              <w:rPr>
                <w:rFonts w:ascii="MS PGothic" w:cs="MS PGothic" w:eastAsia="MS PGothic" w:hAnsi="MS PGothic"/>
                <w:sz w:val="15"/>
                <w:szCs w:val="15"/>
                <w:color w:val="auto"/>
              </w:rPr>
              <w:t>☐</w:t>
            </w:r>
          </w:p>
        </w:tc>
        <w:tc>
          <w:tcPr>
            <w:tcW w:w="5020" w:type="dxa"/>
            <w:vAlign w:val="bottom"/>
          </w:tcPr>
          <w:p>
            <w:pPr>
              <w:ind w:left="2840"/>
              <w:spacing w:after="0"/>
              <w:rPr>
                <w:sz w:val="20"/>
                <w:szCs w:val="20"/>
                <w:color w:val="auto"/>
              </w:rPr>
            </w:pPr>
            <w:r>
              <w:rPr>
                <w:rFonts w:ascii="Arial" w:cs="Arial" w:eastAsia="Arial" w:hAnsi="Arial"/>
                <w:sz w:val="15"/>
                <w:szCs w:val="15"/>
                <w:color w:val="auto"/>
              </w:rPr>
              <w:t>Smaller reporting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460"/>
        </w:trPr>
        <w:tc>
          <w:tcPr>
            <w:tcW w:w="19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020" w:type="dxa"/>
            <w:vAlign w:val="bottom"/>
          </w:tcPr>
          <w:p>
            <w:pPr>
              <w:ind w:left="2840"/>
              <w:spacing w:after="0"/>
              <w:rPr>
                <w:sz w:val="20"/>
                <w:szCs w:val="20"/>
                <w:color w:val="auto"/>
              </w:rPr>
            </w:pPr>
            <w:r>
              <w:rPr>
                <w:rFonts w:ascii="Arial" w:cs="Arial" w:eastAsia="Arial" w:hAnsi="Arial"/>
                <w:sz w:val="15"/>
                <w:szCs w:val="15"/>
                <w:color w:val="auto"/>
              </w:rPr>
              <w:t>Emerging growth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18" w:lineRule="exact"/>
        <w:rPr>
          <w:sz w:val="20"/>
          <w:szCs w:val="20"/>
          <w:color w:val="auto"/>
        </w:rPr>
      </w:pPr>
    </w:p>
    <w:p>
      <w:pPr>
        <w:ind w:right="360"/>
        <w:spacing w:after="0" w:line="19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42"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registrant’s Class A common stock on June 28, 2019 (the last business day of the registrant’s mostly recently completed second fiscal quarter), as reported on the NASDAQ Global Market on such date, was approximately $1.786 billion. Shares of the registrant’s Class A common stock and Class B common stock held by each executive officer, director and holder of 10% or more of the registrant’s outstanding Class A common stock and Class B common stock have been excluded from this calculation as such persons may be deemed to be affiliates. The determination of affiliate status for this purpose does not reflect a determination that any of such persons shall be deemed to be an affiliate of the registrant for any other purpose.</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At February 14, 2020, the number of shares of the registrant’s Class A common stock outstanding was 16,591,623 and the number of shares of the registrant’s Class B common stock outstanding was 17,566,442.</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8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Portions of the registrant’s definitive Proxy Statement for the 2020 Annual Meeting of Stockholders (the “Proxy Statement”), to be filed with the Securities and Exchange Commission (the “SEC”) pursuant to Regulation 14A not later than 120 days after the end of the fiscal year covered by this Annual Report on Form 10-K (this “Annual Report”), are incorporated by reference in Part III, Items 10-14 of this Annual Report. Except for the portions of the Proxy Statement specifically incorporated by reference in this Annual Report, the Proxy Statement shall not be deemed to be filed as part hereof.</w:t>
      </w:r>
    </w:p>
    <w:p>
      <w:pPr>
        <w:spacing w:after="0" w:line="50" w:lineRule="exact"/>
        <w:rPr>
          <w:sz w:val="20"/>
          <w:szCs w:val="20"/>
          <w:color w:val="auto"/>
        </w:rPr>
      </w:pPr>
    </w:p>
    <w:p>
      <w:pPr>
        <w:ind w:left="1460"/>
        <w:spacing w:after="0"/>
        <w:rPr>
          <w:sz w:val="20"/>
          <w:szCs w:val="20"/>
          <w:color w:val="auto"/>
        </w:rPr>
      </w:pPr>
      <w:r>
        <w:rPr>
          <w:rFonts w:ascii="Arial" w:cs="Arial" w:eastAsia="Arial" w:hAnsi="Arial"/>
          <w:sz w:val="6"/>
          <w:szCs w:val="6"/>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68" w:lineRule="exact"/>
        <w:rPr>
          <w:sz w:val="20"/>
          <w:szCs w:val="20"/>
          <w:color w:val="auto"/>
        </w:rPr>
      </w:pPr>
    </w:p>
    <w:p>
      <w:pPr>
        <w:ind w:left="1460"/>
        <w:spacing w:after="0"/>
        <w:rPr>
          <w:sz w:val="20"/>
          <w:szCs w:val="20"/>
          <w:color w:val="auto"/>
        </w:rPr>
      </w:pPr>
      <w:r>
        <w:rPr>
          <w:rFonts w:ascii="Arial" w:cs="Arial" w:eastAsia="Arial" w:hAnsi="Arial"/>
          <w:sz w:val="6"/>
          <w:szCs w:val="6"/>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w:t>
      </w:r>
    </w:p>
    <w:p>
      <w:pPr>
        <w:sectPr>
          <w:pgSz w:w="11900" w:h="16838" w:orient="portrait"/>
          <w:cols w:equalWidth="0" w:num="1">
            <w:col w:w="11420"/>
          </w:cols>
          <w:pgMar w:left="240" w:top="57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APPFOLIO,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2019</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gridSpan w:val="10"/>
          </w:tcPr>
          <w:p>
            <w:pPr>
              <w:ind w:left="40"/>
              <w:spacing w:after="0"/>
              <w:rPr>
                <w:sz w:val="20"/>
                <w:szCs w:val="20"/>
                <w:color w:val="auto"/>
              </w:rPr>
            </w:pPr>
            <w:r>
              <w:rPr>
                <w:rFonts w:ascii="Arial" w:cs="Arial" w:eastAsia="Arial" w:hAnsi="Arial"/>
                <w:sz w:val="17"/>
                <w:szCs w:val="17"/>
                <w:b w:val="1"/>
                <w:bCs w:val="1"/>
                <w:color w:val="auto"/>
              </w:rPr>
              <w:t>TABLE OF CONTENTS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58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60" w:type="dxa"/>
            <w:vAlign w:val="bottom"/>
            <w:gridSpan w:val="8"/>
          </w:tcPr>
          <w:p>
            <w:pPr>
              <w:ind w:left="180"/>
              <w:spacing w:after="0"/>
              <w:rPr>
                <w:sz w:val="20"/>
                <w:szCs w:val="20"/>
                <w:color w:val="auto"/>
              </w:rPr>
            </w:pPr>
            <w:r>
              <w:rPr>
                <w:rFonts w:ascii="Arial" w:cs="Arial" w:eastAsia="Arial" w:hAnsi="Arial"/>
                <w:sz w:val="17"/>
                <w:szCs w:val="17"/>
                <w:b w:val="1"/>
                <w:bCs w:val="1"/>
                <w:color w:val="auto"/>
              </w:rPr>
              <w:t>Section</w:t>
            </w:r>
          </w:p>
        </w:tc>
        <w:tc>
          <w:tcPr>
            <w:tcW w:w="1020" w:type="dxa"/>
            <w:vAlign w:val="bottom"/>
            <w:gridSpan w:val="3"/>
          </w:tcPr>
          <w:p>
            <w:pPr>
              <w:ind w:left="200"/>
              <w:spacing w:after="0"/>
              <w:rPr>
                <w:sz w:val="20"/>
                <w:szCs w:val="20"/>
                <w:color w:val="auto"/>
              </w:rPr>
            </w:pPr>
            <w:r>
              <w:rPr>
                <w:rFonts w:ascii="Arial" w:cs="Arial" w:eastAsia="Arial" w:hAnsi="Arial"/>
                <w:sz w:val="17"/>
                <w:szCs w:val="17"/>
                <w:b w:val="1"/>
                <w:bCs w:val="1"/>
                <w:color w:val="auto"/>
              </w:rPr>
              <w:t>Page No.</w:t>
            </w:r>
          </w:p>
        </w:tc>
      </w:tr>
      <w:tr>
        <w:trPr>
          <w:trHeight w:val="25"/>
        </w:trPr>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10380" w:type="dxa"/>
            <w:vAlign w:val="bottom"/>
            <w:gridSpan w:val="26"/>
          </w:tcPr>
          <w:p>
            <w:pPr>
              <w:spacing w:after="0" w:line="179" w:lineRule="exact"/>
              <w:rPr>
                <w:rFonts w:ascii="Arial" w:cs="Arial" w:eastAsia="Arial" w:hAnsi="Arial"/>
                <w:sz w:val="17"/>
                <w:szCs w:val="17"/>
                <w:color w:val="0000EE"/>
              </w:rPr>
            </w:pPr>
            <w:hyperlink w:anchor="page4">
              <w:r>
                <w:rPr>
                  <w:rFonts w:ascii="Arial" w:cs="Arial" w:eastAsia="Arial" w:hAnsi="Arial"/>
                  <w:sz w:val="17"/>
                  <w:szCs w:val="17"/>
                  <w:color w:val="0000EE"/>
                </w:rPr>
                <w:t>Cautionary Note Regarding Forward-Looking Statements</w:t>
              </w:r>
            </w:hyperlink>
          </w:p>
        </w:tc>
        <w:tc>
          <w:tcPr>
            <w:tcW w:w="560" w:type="dxa"/>
            <w:vAlign w:val="bottom"/>
            <w:gridSpan w:val="2"/>
          </w:tcPr>
          <w:p>
            <w:pPr>
              <w:jc w:val="center"/>
              <w:ind w:left="397"/>
              <w:spacing w:after="0" w:line="179" w:lineRule="exact"/>
              <w:rPr>
                <w:rFonts w:ascii="Arial" w:cs="Arial" w:eastAsia="Arial" w:hAnsi="Arial"/>
                <w:sz w:val="17"/>
                <w:szCs w:val="17"/>
                <w:color w:val="0000EE"/>
                <w:w w:val="84"/>
              </w:rPr>
            </w:pPr>
            <w:hyperlink w:anchor="page4">
              <w:r>
                <w:rPr>
                  <w:rFonts w:ascii="Arial" w:cs="Arial" w:eastAsia="Arial" w:hAnsi="Arial"/>
                  <w:sz w:val="17"/>
                  <w:szCs w:val="17"/>
                  <w:color w:val="0000EE"/>
                  <w:w w:val="84"/>
                </w:rPr>
                <w:t>1</w:t>
              </w:r>
            </w:hyperlink>
          </w:p>
        </w:tc>
        <w:tc>
          <w:tcPr>
            <w:tcW w:w="46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840" w:type="dxa"/>
            <w:vAlign w:val="bottom"/>
            <w:tcBorders>
              <w:top w:val="single" w:sz="8" w:color="0000EE"/>
            </w:tcBorders>
            <w:gridSpan w:val="5"/>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Part I</w:t>
              </w:r>
            </w:hyperlink>
          </w:p>
        </w:tc>
        <w:tc>
          <w:tcPr>
            <w:tcW w:w="6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7"/>
                <w:szCs w:val="17"/>
                <w:color w:val="auto"/>
              </w:rPr>
              <w:t>Item 1.</w:t>
            </w:r>
          </w:p>
        </w:tc>
        <w:tc>
          <w:tcPr>
            <w:tcW w:w="600" w:type="dxa"/>
            <w:vAlign w:val="bottom"/>
          </w:tcPr>
          <w:p>
            <w:pPr>
              <w:spacing w:after="0"/>
              <w:rPr>
                <w:rFonts w:ascii="Arial" w:cs="Arial" w:eastAsia="Arial" w:hAnsi="Arial"/>
                <w:sz w:val="17"/>
                <w:szCs w:val="17"/>
                <w:color w:val="0000EE"/>
                <w:w w:val="84"/>
              </w:rPr>
            </w:pPr>
            <w:hyperlink w:anchor="page5">
              <w:r>
                <w:rPr>
                  <w:rFonts w:ascii="Arial" w:cs="Arial" w:eastAsia="Arial" w:hAnsi="Arial"/>
                  <w:sz w:val="17"/>
                  <w:szCs w:val="17"/>
                  <w:color w:val="0000EE"/>
                  <w:w w:val="84"/>
                </w:rPr>
                <w:t>Business</w:t>
              </w:r>
            </w:hyperlink>
          </w:p>
        </w:tc>
        <w:tc>
          <w:tcPr>
            <w:tcW w:w="7940" w:type="dxa"/>
            <w:vAlign w:val="bottom"/>
            <w:gridSpan w:val="20"/>
          </w:tcPr>
          <w:p>
            <w:pPr>
              <w:spacing w:after="0"/>
              <w:rPr>
                <w:sz w:val="19"/>
                <w:szCs w:val="19"/>
                <w:color w:val="auto"/>
              </w:rPr>
            </w:pPr>
          </w:p>
        </w:tc>
        <w:tc>
          <w:tcPr>
            <w:tcW w:w="560" w:type="dxa"/>
            <w:vAlign w:val="bottom"/>
            <w:gridSpan w:val="2"/>
          </w:tcPr>
          <w:p>
            <w:pPr>
              <w:jc w:val="center"/>
              <w:ind w:left="397"/>
              <w:spacing w:after="0"/>
              <w:rPr>
                <w:rFonts w:ascii="Arial" w:cs="Arial" w:eastAsia="Arial" w:hAnsi="Arial"/>
                <w:sz w:val="17"/>
                <w:szCs w:val="17"/>
                <w:color w:val="0000EE"/>
                <w:w w:val="84"/>
              </w:rPr>
            </w:pPr>
            <w:hyperlink w:anchor="page5">
              <w:r>
                <w:rPr>
                  <w:rFonts w:ascii="Arial" w:cs="Arial" w:eastAsia="Arial" w:hAnsi="Arial"/>
                  <w:sz w:val="17"/>
                  <w:szCs w:val="17"/>
                  <w:color w:val="0000EE"/>
                  <w:w w:val="84"/>
                </w:rPr>
                <w:t>2</w:t>
              </w:r>
            </w:hyperlink>
          </w:p>
        </w:tc>
        <w:tc>
          <w:tcPr>
            <w:tcW w:w="4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1A.</w:t>
            </w:r>
          </w:p>
        </w:tc>
        <w:tc>
          <w:tcPr>
            <w:tcW w:w="840" w:type="dxa"/>
            <w:vAlign w:val="bottom"/>
            <w:gridSpan w:val="3"/>
          </w:tcPr>
          <w:p>
            <w:pPr>
              <w:spacing w:after="0"/>
              <w:rPr>
                <w:rFonts w:ascii="Arial" w:cs="Arial" w:eastAsia="Arial" w:hAnsi="Arial"/>
                <w:sz w:val="17"/>
                <w:szCs w:val="17"/>
                <w:color w:val="0000EE"/>
                <w:w w:val="86"/>
              </w:rPr>
            </w:pPr>
            <w:hyperlink w:anchor="page12">
              <w:r>
                <w:rPr>
                  <w:rFonts w:ascii="Arial" w:cs="Arial" w:eastAsia="Arial" w:hAnsi="Arial"/>
                  <w:sz w:val="17"/>
                  <w:szCs w:val="17"/>
                  <w:color w:val="0000EE"/>
                  <w:w w:val="86"/>
                </w:rPr>
                <w:t>Risk Factors</w:t>
              </w:r>
            </w:hyperlink>
          </w:p>
        </w:tc>
        <w:tc>
          <w:tcPr>
            <w:tcW w:w="7700" w:type="dxa"/>
            <w:vAlign w:val="bottom"/>
            <w:gridSpan w:val="18"/>
          </w:tcPr>
          <w:p>
            <w:pPr>
              <w:spacing w:after="0"/>
              <w:rPr>
                <w:sz w:val="19"/>
                <w:szCs w:val="19"/>
                <w:color w:val="auto"/>
              </w:rPr>
            </w:pPr>
          </w:p>
        </w:tc>
        <w:tc>
          <w:tcPr>
            <w:tcW w:w="560" w:type="dxa"/>
            <w:vAlign w:val="bottom"/>
            <w:gridSpan w:val="2"/>
          </w:tcPr>
          <w:p>
            <w:pPr>
              <w:jc w:val="center"/>
              <w:ind w:left="397"/>
              <w:spacing w:after="0"/>
              <w:rPr>
                <w:rFonts w:ascii="Arial" w:cs="Arial" w:eastAsia="Arial" w:hAnsi="Arial"/>
                <w:sz w:val="17"/>
                <w:szCs w:val="17"/>
                <w:color w:val="0000EE"/>
                <w:w w:val="84"/>
              </w:rPr>
            </w:pPr>
            <w:hyperlink w:anchor="page12">
              <w:r>
                <w:rPr>
                  <w:rFonts w:ascii="Arial" w:cs="Arial" w:eastAsia="Arial" w:hAnsi="Arial"/>
                  <w:sz w:val="17"/>
                  <w:szCs w:val="17"/>
                  <w:color w:val="0000EE"/>
                  <w:w w:val="84"/>
                </w:rPr>
                <w:t>9</w:t>
              </w:r>
            </w:hyperlink>
          </w:p>
        </w:tc>
        <w:tc>
          <w:tcPr>
            <w:tcW w:w="4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1B.</w:t>
            </w:r>
          </w:p>
        </w:tc>
        <w:tc>
          <w:tcPr>
            <w:tcW w:w="8540" w:type="dxa"/>
            <w:vAlign w:val="bottom"/>
            <w:gridSpan w:val="21"/>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Unresolved Staff Comments</w:t>
              </w:r>
            </w:hyperlink>
          </w:p>
        </w:tc>
        <w:tc>
          <w:tcPr>
            <w:tcW w:w="1020" w:type="dxa"/>
            <w:vAlign w:val="bottom"/>
            <w:gridSpan w:val="3"/>
          </w:tcPr>
          <w:p>
            <w:pPr>
              <w:jc w:val="center"/>
              <w:spacing w:after="0"/>
              <w:rPr>
                <w:rFonts w:ascii="Arial" w:cs="Arial" w:eastAsia="Arial" w:hAnsi="Arial"/>
                <w:sz w:val="17"/>
                <w:szCs w:val="17"/>
                <w:color w:val="0000EE"/>
                <w:w w:val="84"/>
              </w:rPr>
            </w:pPr>
            <w:hyperlink w:anchor="page35">
              <w:r>
                <w:rPr>
                  <w:rFonts w:ascii="Arial" w:cs="Arial" w:eastAsia="Arial" w:hAnsi="Arial"/>
                  <w:sz w:val="17"/>
                  <w:szCs w:val="17"/>
                  <w:color w:val="0000EE"/>
                  <w:w w:val="84"/>
                </w:rPr>
                <w:t>32</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2.</w:t>
            </w:r>
          </w:p>
        </w:tc>
        <w:tc>
          <w:tcPr>
            <w:tcW w:w="680" w:type="dxa"/>
            <w:vAlign w:val="bottom"/>
            <w:gridSpan w:val="2"/>
          </w:tcPr>
          <w:p>
            <w:pPr>
              <w:spacing w:after="0"/>
              <w:rPr>
                <w:rFonts w:ascii="Arial" w:cs="Arial" w:eastAsia="Arial" w:hAnsi="Arial"/>
                <w:sz w:val="17"/>
                <w:szCs w:val="17"/>
                <w:color w:val="0000EE"/>
                <w:w w:val="85"/>
              </w:rPr>
            </w:pPr>
            <w:hyperlink w:anchor="page35">
              <w:r>
                <w:rPr>
                  <w:rFonts w:ascii="Arial" w:cs="Arial" w:eastAsia="Arial" w:hAnsi="Arial"/>
                  <w:sz w:val="17"/>
                  <w:szCs w:val="17"/>
                  <w:color w:val="0000EE"/>
                  <w:w w:val="85"/>
                </w:rPr>
                <w:t>Properties</w:t>
              </w:r>
            </w:hyperlink>
          </w:p>
        </w:tc>
        <w:tc>
          <w:tcPr>
            <w:tcW w:w="1200" w:type="dxa"/>
            <w:vAlign w:val="bottom"/>
            <w:gridSpan w:val="6"/>
          </w:tcPr>
          <w:p>
            <w:pPr>
              <w:spacing w:after="0"/>
              <w:rPr>
                <w:sz w:val="19"/>
                <w:szCs w:val="19"/>
                <w:color w:val="auto"/>
              </w:rPr>
            </w:pPr>
          </w:p>
        </w:tc>
        <w:tc>
          <w:tcPr>
            <w:tcW w:w="6660" w:type="dxa"/>
            <w:vAlign w:val="bottom"/>
            <w:gridSpan w:val="13"/>
          </w:tcPr>
          <w:p>
            <w:pPr>
              <w:spacing w:after="0"/>
              <w:rPr>
                <w:sz w:val="19"/>
                <w:szCs w:val="19"/>
                <w:color w:val="auto"/>
              </w:rPr>
            </w:pPr>
          </w:p>
        </w:tc>
        <w:tc>
          <w:tcPr>
            <w:tcW w:w="1020" w:type="dxa"/>
            <w:vAlign w:val="bottom"/>
            <w:gridSpan w:val="3"/>
          </w:tcPr>
          <w:p>
            <w:pPr>
              <w:jc w:val="center"/>
              <w:spacing w:after="0"/>
              <w:rPr>
                <w:rFonts w:ascii="Arial" w:cs="Arial" w:eastAsia="Arial" w:hAnsi="Arial"/>
                <w:sz w:val="17"/>
                <w:szCs w:val="17"/>
                <w:color w:val="0000EE"/>
                <w:w w:val="84"/>
              </w:rPr>
            </w:pPr>
            <w:hyperlink w:anchor="page35">
              <w:r>
                <w:rPr>
                  <w:rFonts w:ascii="Arial" w:cs="Arial" w:eastAsia="Arial" w:hAnsi="Arial"/>
                  <w:sz w:val="17"/>
                  <w:szCs w:val="17"/>
                  <w:color w:val="0000EE"/>
                  <w:w w:val="84"/>
                </w:rPr>
                <w:t>32</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3.</w:t>
            </w:r>
          </w:p>
        </w:tc>
        <w:tc>
          <w:tcPr>
            <w:tcW w:w="1240" w:type="dxa"/>
            <w:vAlign w:val="bottom"/>
            <w:gridSpan w:val="4"/>
          </w:tcPr>
          <w:p>
            <w:pPr>
              <w:spacing w:after="0"/>
              <w:rPr>
                <w:rFonts w:ascii="Arial" w:cs="Arial" w:eastAsia="Arial" w:hAnsi="Arial"/>
                <w:sz w:val="17"/>
                <w:szCs w:val="17"/>
                <w:color w:val="0000EE"/>
                <w:w w:val="85"/>
              </w:rPr>
            </w:pPr>
            <w:hyperlink w:anchor="page36">
              <w:r>
                <w:rPr>
                  <w:rFonts w:ascii="Arial" w:cs="Arial" w:eastAsia="Arial" w:hAnsi="Arial"/>
                  <w:sz w:val="17"/>
                  <w:szCs w:val="17"/>
                  <w:color w:val="0000EE"/>
                  <w:w w:val="85"/>
                </w:rPr>
                <w:t>Legal Proceedings</w:t>
              </w:r>
            </w:hyperlink>
          </w:p>
        </w:tc>
        <w:tc>
          <w:tcPr>
            <w:tcW w:w="7300" w:type="dxa"/>
            <w:vAlign w:val="bottom"/>
            <w:gridSpan w:val="17"/>
          </w:tcPr>
          <w:p>
            <w:pPr>
              <w:spacing w:after="0"/>
              <w:rPr>
                <w:sz w:val="19"/>
                <w:szCs w:val="19"/>
                <w:color w:val="auto"/>
              </w:rPr>
            </w:pPr>
          </w:p>
        </w:tc>
        <w:tc>
          <w:tcPr>
            <w:tcW w:w="1020" w:type="dxa"/>
            <w:vAlign w:val="bottom"/>
            <w:gridSpan w:val="3"/>
          </w:tcPr>
          <w:p>
            <w:pPr>
              <w:jc w:val="center"/>
              <w:spacing w:after="0"/>
              <w:rPr>
                <w:rFonts w:ascii="Arial" w:cs="Arial" w:eastAsia="Arial" w:hAnsi="Arial"/>
                <w:sz w:val="17"/>
                <w:szCs w:val="17"/>
                <w:color w:val="0000EE"/>
                <w:w w:val="84"/>
              </w:rPr>
            </w:pPr>
            <w:hyperlink w:anchor="page36">
              <w:r>
                <w:rPr>
                  <w:rFonts w:ascii="Arial" w:cs="Arial" w:eastAsia="Arial" w:hAnsi="Arial"/>
                  <w:sz w:val="17"/>
                  <w:szCs w:val="17"/>
                  <w:color w:val="0000EE"/>
                  <w:w w:val="84"/>
                </w:rPr>
                <w:t>33</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4.</w:t>
            </w:r>
          </w:p>
        </w:tc>
        <w:tc>
          <w:tcPr>
            <w:tcW w:w="8540" w:type="dxa"/>
            <w:vAlign w:val="bottom"/>
            <w:gridSpan w:val="21"/>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Mine Safety Disclosures</w:t>
              </w:r>
            </w:hyperlink>
          </w:p>
        </w:tc>
        <w:tc>
          <w:tcPr>
            <w:tcW w:w="1020" w:type="dxa"/>
            <w:vAlign w:val="bottom"/>
            <w:gridSpan w:val="3"/>
          </w:tcPr>
          <w:p>
            <w:pPr>
              <w:jc w:val="center"/>
              <w:spacing w:after="0"/>
              <w:rPr>
                <w:rFonts w:ascii="Arial" w:cs="Arial" w:eastAsia="Arial" w:hAnsi="Arial"/>
                <w:sz w:val="17"/>
                <w:szCs w:val="17"/>
                <w:color w:val="0000EE"/>
                <w:w w:val="84"/>
              </w:rPr>
            </w:pPr>
            <w:hyperlink w:anchor="page36">
              <w:r>
                <w:rPr>
                  <w:rFonts w:ascii="Arial" w:cs="Arial" w:eastAsia="Arial" w:hAnsi="Arial"/>
                  <w:sz w:val="17"/>
                  <w:szCs w:val="17"/>
                  <w:color w:val="0000EE"/>
                  <w:w w:val="84"/>
                </w:rPr>
                <w:t>33</w:t>
              </w:r>
            </w:hyperlink>
          </w:p>
        </w:tc>
      </w:tr>
      <w:tr>
        <w:trPr>
          <w:trHeight w:val="229"/>
        </w:trPr>
        <w:tc>
          <w:tcPr>
            <w:tcW w:w="20" w:type="dxa"/>
            <w:vAlign w:val="bottom"/>
          </w:tcPr>
          <w:p>
            <w:pPr>
              <w:spacing w:after="0"/>
              <w:rPr>
                <w:sz w:val="19"/>
                <w:szCs w:val="19"/>
                <w:color w:val="auto"/>
              </w:rPr>
            </w:pPr>
          </w:p>
        </w:tc>
        <w:tc>
          <w:tcPr>
            <w:tcW w:w="1840" w:type="dxa"/>
            <w:vAlign w:val="bottom"/>
            <w:gridSpan w:val="5"/>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Part II</w:t>
              </w:r>
            </w:hyperlink>
          </w:p>
        </w:tc>
        <w:tc>
          <w:tcPr>
            <w:tcW w:w="6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5.</w:t>
            </w:r>
          </w:p>
        </w:tc>
        <w:tc>
          <w:tcPr>
            <w:tcW w:w="8540" w:type="dxa"/>
            <w:vAlign w:val="bottom"/>
            <w:gridSpan w:val="21"/>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Market for Registrant's Common Equity, Related Stockholder Matters and Issuer Purchases of Equity Securities</w:t>
              </w:r>
            </w:hyperlink>
          </w:p>
        </w:tc>
        <w:tc>
          <w:tcPr>
            <w:tcW w:w="1020" w:type="dxa"/>
            <w:vAlign w:val="bottom"/>
            <w:gridSpan w:val="3"/>
          </w:tcPr>
          <w:p>
            <w:pPr>
              <w:jc w:val="center"/>
              <w:spacing w:after="0"/>
              <w:rPr>
                <w:rFonts w:ascii="Arial" w:cs="Arial" w:eastAsia="Arial" w:hAnsi="Arial"/>
                <w:sz w:val="17"/>
                <w:szCs w:val="17"/>
                <w:color w:val="0000EE"/>
                <w:w w:val="84"/>
              </w:rPr>
            </w:pPr>
            <w:hyperlink w:anchor="page37">
              <w:r>
                <w:rPr>
                  <w:rFonts w:ascii="Arial" w:cs="Arial" w:eastAsia="Arial" w:hAnsi="Arial"/>
                  <w:sz w:val="17"/>
                  <w:szCs w:val="17"/>
                  <w:color w:val="0000EE"/>
                  <w:w w:val="84"/>
                </w:rPr>
                <w:t>34</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6.</w:t>
            </w:r>
          </w:p>
        </w:tc>
        <w:tc>
          <w:tcPr>
            <w:tcW w:w="1580" w:type="dxa"/>
            <w:vAlign w:val="bottom"/>
            <w:gridSpan w:val="5"/>
          </w:tcPr>
          <w:p>
            <w:pPr>
              <w:spacing w:after="0"/>
              <w:rPr>
                <w:rFonts w:ascii="Arial" w:cs="Arial" w:eastAsia="Arial" w:hAnsi="Arial"/>
                <w:sz w:val="17"/>
                <w:szCs w:val="17"/>
                <w:color w:val="0000EE"/>
                <w:w w:val="86"/>
              </w:rPr>
            </w:pPr>
            <w:hyperlink w:anchor="page39">
              <w:r>
                <w:rPr>
                  <w:rFonts w:ascii="Arial" w:cs="Arial" w:eastAsia="Arial" w:hAnsi="Arial"/>
                  <w:sz w:val="17"/>
                  <w:szCs w:val="17"/>
                  <w:color w:val="0000EE"/>
                  <w:w w:val="86"/>
                </w:rPr>
                <w:t>Selected Financial Data</w:t>
              </w:r>
            </w:hyperlink>
          </w:p>
        </w:tc>
        <w:tc>
          <w:tcPr>
            <w:tcW w:w="5840" w:type="dxa"/>
            <w:vAlign w:val="bottom"/>
            <w:gridSpan w:val="14"/>
          </w:tcPr>
          <w:p>
            <w:pPr>
              <w:spacing w:after="0"/>
              <w:rPr>
                <w:sz w:val="19"/>
                <w:szCs w:val="19"/>
                <w:color w:val="auto"/>
              </w:rPr>
            </w:pPr>
          </w:p>
        </w:tc>
        <w:tc>
          <w:tcPr>
            <w:tcW w:w="1120" w:type="dxa"/>
            <w:vAlign w:val="bottom"/>
            <w:gridSpan w:val="2"/>
          </w:tcPr>
          <w:p>
            <w:pPr>
              <w:spacing w:after="0"/>
              <w:rPr>
                <w:sz w:val="19"/>
                <w:szCs w:val="19"/>
                <w:color w:val="auto"/>
              </w:rPr>
            </w:pPr>
          </w:p>
        </w:tc>
        <w:tc>
          <w:tcPr>
            <w:tcW w:w="1020" w:type="dxa"/>
            <w:vAlign w:val="bottom"/>
            <w:gridSpan w:val="3"/>
          </w:tcPr>
          <w:p>
            <w:pPr>
              <w:jc w:val="center"/>
              <w:spacing w:after="0"/>
              <w:rPr>
                <w:rFonts w:ascii="Arial" w:cs="Arial" w:eastAsia="Arial" w:hAnsi="Arial"/>
                <w:sz w:val="17"/>
                <w:szCs w:val="17"/>
                <w:color w:val="0000EE"/>
                <w:w w:val="84"/>
              </w:rPr>
            </w:pPr>
            <w:hyperlink w:anchor="page39">
              <w:r>
                <w:rPr>
                  <w:rFonts w:ascii="Arial" w:cs="Arial" w:eastAsia="Arial" w:hAnsi="Arial"/>
                  <w:sz w:val="17"/>
                  <w:szCs w:val="17"/>
                  <w:color w:val="0000EE"/>
                  <w:w w:val="84"/>
                </w:rPr>
                <w:t>36</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7.</w:t>
            </w:r>
          </w:p>
        </w:tc>
        <w:tc>
          <w:tcPr>
            <w:tcW w:w="5600" w:type="dxa"/>
            <w:vAlign w:val="bottom"/>
            <w:gridSpan w:val="16"/>
          </w:tcPr>
          <w:p>
            <w:pPr>
              <w:spacing w:after="0"/>
              <w:rPr>
                <w:rFonts w:ascii="Arial" w:cs="Arial" w:eastAsia="Arial" w:hAnsi="Arial"/>
                <w:sz w:val="17"/>
                <w:szCs w:val="17"/>
                <w:color w:val="0000EE"/>
                <w:w w:val="89"/>
              </w:rPr>
            </w:pPr>
            <w:hyperlink w:anchor="page40">
              <w:r>
                <w:rPr>
                  <w:rFonts w:ascii="Arial" w:cs="Arial" w:eastAsia="Arial" w:hAnsi="Arial"/>
                  <w:sz w:val="17"/>
                  <w:szCs w:val="17"/>
                  <w:color w:val="0000EE"/>
                  <w:w w:val="89"/>
                </w:rPr>
                <w:t>Management's Discussion Analysis of Financial Condition and Results of Operation</w:t>
              </w:r>
            </w:hyperlink>
          </w:p>
        </w:tc>
        <w:tc>
          <w:tcPr>
            <w:tcW w:w="2940" w:type="dxa"/>
            <w:vAlign w:val="bottom"/>
            <w:gridSpan w:val="5"/>
          </w:tcPr>
          <w:p>
            <w:pPr>
              <w:spacing w:after="0"/>
              <w:rPr>
                <w:sz w:val="19"/>
                <w:szCs w:val="19"/>
                <w:color w:val="auto"/>
              </w:rPr>
            </w:pPr>
          </w:p>
        </w:tc>
        <w:tc>
          <w:tcPr>
            <w:tcW w:w="1020" w:type="dxa"/>
            <w:vAlign w:val="bottom"/>
            <w:gridSpan w:val="3"/>
          </w:tcPr>
          <w:p>
            <w:pPr>
              <w:jc w:val="center"/>
              <w:spacing w:after="0"/>
              <w:rPr>
                <w:rFonts w:ascii="Arial" w:cs="Arial" w:eastAsia="Arial" w:hAnsi="Arial"/>
                <w:sz w:val="17"/>
                <w:szCs w:val="17"/>
                <w:color w:val="0000EE"/>
                <w:w w:val="84"/>
              </w:rPr>
            </w:pPr>
            <w:hyperlink w:anchor="page40">
              <w:r>
                <w:rPr>
                  <w:rFonts w:ascii="Arial" w:cs="Arial" w:eastAsia="Arial" w:hAnsi="Arial"/>
                  <w:sz w:val="17"/>
                  <w:szCs w:val="17"/>
                  <w:color w:val="0000EE"/>
                  <w:w w:val="84"/>
                </w:rPr>
                <w:t>37</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7A.</w:t>
            </w:r>
          </w:p>
        </w:tc>
        <w:tc>
          <w:tcPr>
            <w:tcW w:w="4020" w:type="dxa"/>
            <w:vAlign w:val="bottom"/>
            <w:gridSpan w:val="14"/>
          </w:tcPr>
          <w:p>
            <w:pPr>
              <w:spacing w:after="0"/>
              <w:rPr>
                <w:rFonts w:ascii="Arial" w:cs="Arial" w:eastAsia="Arial" w:hAnsi="Arial"/>
                <w:sz w:val="17"/>
                <w:szCs w:val="17"/>
                <w:color w:val="0000EE"/>
                <w:w w:val="89"/>
              </w:rPr>
            </w:pPr>
            <w:hyperlink w:anchor="page54">
              <w:r>
                <w:rPr>
                  <w:rFonts w:ascii="Arial" w:cs="Arial" w:eastAsia="Arial" w:hAnsi="Arial"/>
                  <w:sz w:val="17"/>
                  <w:szCs w:val="17"/>
                  <w:color w:val="0000EE"/>
                  <w:w w:val="89"/>
                </w:rPr>
                <w:t>Quantitative and Qualitative Disclosures About Market Risk</w:t>
              </w:r>
            </w:hyperlink>
          </w:p>
        </w:tc>
        <w:tc>
          <w:tcPr>
            <w:tcW w:w="1580" w:type="dxa"/>
            <w:vAlign w:val="bottom"/>
            <w:gridSpan w:val="2"/>
          </w:tcPr>
          <w:p>
            <w:pPr>
              <w:spacing w:after="0"/>
              <w:rPr>
                <w:sz w:val="19"/>
                <w:szCs w:val="19"/>
                <w:color w:val="auto"/>
              </w:rPr>
            </w:pPr>
          </w:p>
        </w:tc>
        <w:tc>
          <w:tcPr>
            <w:tcW w:w="2940" w:type="dxa"/>
            <w:vAlign w:val="bottom"/>
            <w:gridSpan w:val="5"/>
          </w:tcPr>
          <w:p>
            <w:pPr>
              <w:spacing w:after="0"/>
              <w:rPr>
                <w:sz w:val="19"/>
                <w:szCs w:val="19"/>
                <w:color w:val="auto"/>
              </w:rPr>
            </w:pPr>
          </w:p>
        </w:tc>
        <w:tc>
          <w:tcPr>
            <w:tcW w:w="1020" w:type="dxa"/>
            <w:vAlign w:val="bottom"/>
            <w:gridSpan w:val="3"/>
          </w:tcPr>
          <w:p>
            <w:pPr>
              <w:jc w:val="center"/>
              <w:spacing w:after="0"/>
              <w:rPr>
                <w:rFonts w:ascii="Arial" w:cs="Arial" w:eastAsia="Arial" w:hAnsi="Arial"/>
                <w:sz w:val="17"/>
                <w:szCs w:val="17"/>
                <w:color w:val="0000EE"/>
                <w:w w:val="84"/>
              </w:rPr>
            </w:pPr>
            <w:hyperlink w:anchor="page54">
              <w:r>
                <w:rPr>
                  <w:rFonts w:ascii="Arial" w:cs="Arial" w:eastAsia="Arial" w:hAnsi="Arial"/>
                  <w:sz w:val="17"/>
                  <w:szCs w:val="17"/>
                  <w:color w:val="0000EE"/>
                  <w:w w:val="84"/>
                </w:rPr>
                <w:t>51</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8.</w:t>
            </w:r>
          </w:p>
        </w:tc>
        <w:tc>
          <w:tcPr>
            <w:tcW w:w="3080" w:type="dxa"/>
            <w:vAlign w:val="bottom"/>
            <w:gridSpan w:val="12"/>
          </w:tcPr>
          <w:p>
            <w:pPr>
              <w:spacing w:after="0"/>
              <w:rPr>
                <w:rFonts w:ascii="Arial" w:cs="Arial" w:eastAsia="Arial" w:hAnsi="Arial"/>
                <w:sz w:val="17"/>
                <w:szCs w:val="17"/>
                <w:color w:val="0000EE"/>
                <w:w w:val="87"/>
              </w:rPr>
            </w:pPr>
            <w:hyperlink w:anchor="page54">
              <w:r>
                <w:rPr>
                  <w:rFonts w:ascii="Arial" w:cs="Arial" w:eastAsia="Arial" w:hAnsi="Arial"/>
                  <w:sz w:val="17"/>
                  <w:szCs w:val="17"/>
                  <w:color w:val="0000EE"/>
                  <w:w w:val="87"/>
                </w:rPr>
                <w:t>Financial Statements and Supplementary Data</w:t>
              </w:r>
            </w:hyperlink>
          </w:p>
        </w:tc>
        <w:tc>
          <w:tcPr>
            <w:tcW w:w="940" w:type="dxa"/>
            <w:vAlign w:val="bottom"/>
            <w:gridSpan w:val="2"/>
          </w:tcPr>
          <w:p>
            <w:pPr>
              <w:spacing w:after="0"/>
              <w:rPr>
                <w:sz w:val="19"/>
                <w:szCs w:val="19"/>
                <w:color w:val="auto"/>
              </w:rPr>
            </w:pPr>
          </w:p>
        </w:tc>
        <w:tc>
          <w:tcPr>
            <w:tcW w:w="4520" w:type="dxa"/>
            <w:vAlign w:val="bottom"/>
            <w:gridSpan w:val="7"/>
          </w:tcPr>
          <w:p>
            <w:pPr>
              <w:spacing w:after="0"/>
              <w:rPr>
                <w:sz w:val="19"/>
                <w:szCs w:val="19"/>
                <w:color w:val="auto"/>
              </w:rPr>
            </w:pPr>
          </w:p>
        </w:tc>
        <w:tc>
          <w:tcPr>
            <w:tcW w:w="1020" w:type="dxa"/>
            <w:vAlign w:val="bottom"/>
            <w:gridSpan w:val="3"/>
          </w:tcPr>
          <w:p>
            <w:pPr>
              <w:jc w:val="center"/>
              <w:spacing w:after="0"/>
              <w:rPr>
                <w:rFonts w:ascii="Arial" w:cs="Arial" w:eastAsia="Arial" w:hAnsi="Arial"/>
                <w:sz w:val="17"/>
                <w:szCs w:val="17"/>
                <w:color w:val="0000EE"/>
                <w:w w:val="84"/>
              </w:rPr>
            </w:pPr>
            <w:hyperlink w:anchor="page54">
              <w:r>
                <w:rPr>
                  <w:rFonts w:ascii="Arial" w:cs="Arial" w:eastAsia="Arial" w:hAnsi="Arial"/>
                  <w:sz w:val="17"/>
                  <w:szCs w:val="17"/>
                  <w:color w:val="0000EE"/>
                  <w:w w:val="84"/>
                </w:rPr>
                <w:t>51</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9.</w:t>
            </w:r>
          </w:p>
        </w:tc>
        <w:tc>
          <w:tcPr>
            <w:tcW w:w="8540" w:type="dxa"/>
            <w:vAlign w:val="bottom"/>
            <w:gridSpan w:val="21"/>
          </w:tcPr>
          <w:p>
            <w:pPr>
              <w:spacing w:after="0"/>
              <w:rPr>
                <w:rFonts w:ascii="Arial" w:cs="Arial" w:eastAsia="Arial" w:hAnsi="Arial"/>
                <w:sz w:val="17"/>
                <w:szCs w:val="17"/>
                <w:color w:val="0000EE"/>
              </w:rPr>
            </w:pPr>
            <w:hyperlink w:anchor="page92">
              <w:r>
                <w:rPr>
                  <w:rFonts w:ascii="Arial" w:cs="Arial" w:eastAsia="Arial" w:hAnsi="Arial"/>
                  <w:sz w:val="17"/>
                  <w:szCs w:val="17"/>
                  <w:color w:val="0000EE"/>
                </w:rPr>
                <w:t>Changes in and Disagreements With Accountants on Accounting and Financial Disclosures</w:t>
              </w:r>
            </w:hyperlink>
          </w:p>
        </w:tc>
        <w:tc>
          <w:tcPr>
            <w:tcW w:w="1020" w:type="dxa"/>
            <w:vAlign w:val="bottom"/>
            <w:gridSpan w:val="3"/>
          </w:tcPr>
          <w:p>
            <w:pPr>
              <w:jc w:val="center"/>
              <w:spacing w:after="0"/>
              <w:rPr>
                <w:rFonts w:ascii="Arial" w:cs="Arial" w:eastAsia="Arial" w:hAnsi="Arial"/>
                <w:sz w:val="17"/>
                <w:szCs w:val="17"/>
                <w:color w:val="0000EE"/>
                <w:w w:val="84"/>
              </w:rPr>
            </w:pPr>
            <w:hyperlink w:anchor="page92">
              <w:r>
                <w:rPr>
                  <w:rFonts w:ascii="Arial" w:cs="Arial" w:eastAsia="Arial" w:hAnsi="Arial"/>
                  <w:sz w:val="17"/>
                  <w:szCs w:val="17"/>
                  <w:color w:val="0000EE"/>
                  <w:w w:val="84"/>
                </w:rPr>
                <w:t>85</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9A.</w:t>
            </w:r>
          </w:p>
        </w:tc>
        <w:tc>
          <w:tcPr>
            <w:tcW w:w="1640" w:type="dxa"/>
            <w:vAlign w:val="bottom"/>
            <w:gridSpan w:val="6"/>
          </w:tcPr>
          <w:p>
            <w:pPr>
              <w:spacing w:after="0"/>
              <w:rPr>
                <w:rFonts w:ascii="Arial" w:cs="Arial" w:eastAsia="Arial" w:hAnsi="Arial"/>
                <w:sz w:val="17"/>
                <w:szCs w:val="17"/>
                <w:color w:val="0000EE"/>
                <w:w w:val="86"/>
              </w:rPr>
            </w:pPr>
            <w:hyperlink w:anchor="page92">
              <w:r>
                <w:rPr>
                  <w:rFonts w:ascii="Arial" w:cs="Arial" w:eastAsia="Arial" w:hAnsi="Arial"/>
                  <w:sz w:val="17"/>
                  <w:szCs w:val="17"/>
                  <w:color w:val="0000EE"/>
                  <w:w w:val="86"/>
                </w:rPr>
                <w:t>Controls and Procedures</w:t>
              </w:r>
            </w:hyperlink>
          </w:p>
        </w:tc>
        <w:tc>
          <w:tcPr>
            <w:tcW w:w="4420" w:type="dxa"/>
            <w:vAlign w:val="bottom"/>
            <w:gridSpan w:val="11"/>
          </w:tcPr>
          <w:p>
            <w:pPr>
              <w:spacing w:after="0"/>
              <w:rPr>
                <w:sz w:val="19"/>
                <w:szCs w:val="19"/>
                <w:color w:val="auto"/>
              </w:rPr>
            </w:pPr>
          </w:p>
        </w:tc>
        <w:tc>
          <w:tcPr>
            <w:tcW w:w="2480" w:type="dxa"/>
            <w:vAlign w:val="bottom"/>
            <w:gridSpan w:val="4"/>
          </w:tcPr>
          <w:p>
            <w:pPr>
              <w:spacing w:after="0"/>
              <w:rPr>
                <w:sz w:val="19"/>
                <w:szCs w:val="19"/>
                <w:color w:val="auto"/>
              </w:rPr>
            </w:pPr>
          </w:p>
        </w:tc>
        <w:tc>
          <w:tcPr>
            <w:tcW w:w="1020" w:type="dxa"/>
            <w:vAlign w:val="bottom"/>
            <w:gridSpan w:val="3"/>
          </w:tcPr>
          <w:p>
            <w:pPr>
              <w:jc w:val="center"/>
              <w:spacing w:after="0"/>
              <w:rPr>
                <w:rFonts w:ascii="Arial" w:cs="Arial" w:eastAsia="Arial" w:hAnsi="Arial"/>
                <w:sz w:val="17"/>
                <w:szCs w:val="17"/>
                <w:color w:val="0000EE"/>
                <w:w w:val="84"/>
              </w:rPr>
            </w:pPr>
            <w:hyperlink w:anchor="page92">
              <w:r>
                <w:rPr>
                  <w:rFonts w:ascii="Arial" w:cs="Arial" w:eastAsia="Arial" w:hAnsi="Arial"/>
                  <w:sz w:val="17"/>
                  <w:szCs w:val="17"/>
                  <w:color w:val="0000EE"/>
                  <w:w w:val="84"/>
                </w:rPr>
                <w:t>85</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9B.</w:t>
            </w:r>
          </w:p>
        </w:tc>
        <w:tc>
          <w:tcPr>
            <w:tcW w:w="1640" w:type="dxa"/>
            <w:vAlign w:val="bottom"/>
            <w:gridSpan w:val="6"/>
          </w:tcPr>
          <w:p>
            <w:pPr>
              <w:spacing w:after="0"/>
              <w:rPr>
                <w:rFonts w:ascii="Arial" w:cs="Arial" w:eastAsia="Arial" w:hAnsi="Arial"/>
                <w:sz w:val="17"/>
                <w:szCs w:val="17"/>
                <w:color w:val="0000EE"/>
              </w:rPr>
            </w:pPr>
            <w:hyperlink w:anchor="page93">
              <w:r>
                <w:rPr>
                  <w:rFonts w:ascii="Arial" w:cs="Arial" w:eastAsia="Arial" w:hAnsi="Arial"/>
                  <w:sz w:val="17"/>
                  <w:szCs w:val="17"/>
                  <w:color w:val="0000EE"/>
                </w:rPr>
                <w:t>Other Information</w:t>
              </w:r>
            </w:hyperlink>
          </w:p>
        </w:tc>
        <w:tc>
          <w:tcPr>
            <w:tcW w:w="6900" w:type="dxa"/>
            <w:vAlign w:val="bottom"/>
            <w:gridSpan w:val="15"/>
          </w:tcPr>
          <w:p>
            <w:pPr>
              <w:spacing w:after="0"/>
              <w:rPr>
                <w:sz w:val="19"/>
                <w:szCs w:val="19"/>
                <w:color w:val="auto"/>
              </w:rPr>
            </w:pPr>
          </w:p>
        </w:tc>
        <w:tc>
          <w:tcPr>
            <w:tcW w:w="1020" w:type="dxa"/>
            <w:vAlign w:val="bottom"/>
            <w:gridSpan w:val="3"/>
          </w:tcPr>
          <w:p>
            <w:pPr>
              <w:jc w:val="center"/>
              <w:spacing w:after="0"/>
              <w:rPr>
                <w:rFonts w:ascii="Arial" w:cs="Arial" w:eastAsia="Arial" w:hAnsi="Arial"/>
                <w:sz w:val="17"/>
                <w:szCs w:val="17"/>
                <w:color w:val="0000EE"/>
                <w:w w:val="84"/>
              </w:rPr>
            </w:pPr>
            <w:hyperlink w:anchor="page93">
              <w:r>
                <w:rPr>
                  <w:rFonts w:ascii="Arial" w:cs="Arial" w:eastAsia="Arial" w:hAnsi="Arial"/>
                  <w:sz w:val="17"/>
                  <w:szCs w:val="17"/>
                  <w:color w:val="0000EE"/>
                  <w:w w:val="84"/>
                </w:rPr>
                <w:t>86</w:t>
              </w:r>
            </w:hyperlink>
          </w:p>
        </w:tc>
      </w:tr>
      <w:tr>
        <w:trPr>
          <w:trHeight w:val="229"/>
        </w:trPr>
        <w:tc>
          <w:tcPr>
            <w:tcW w:w="20" w:type="dxa"/>
            <w:vAlign w:val="bottom"/>
          </w:tcPr>
          <w:p>
            <w:pPr>
              <w:spacing w:after="0"/>
              <w:rPr>
                <w:sz w:val="19"/>
                <w:szCs w:val="19"/>
                <w:color w:val="auto"/>
              </w:rPr>
            </w:pPr>
          </w:p>
        </w:tc>
        <w:tc>
          <w:tcPr>
            <w:tcW w:w="1840" w:type="dxa"/>
            <w:vAlign w:val="bottom"/>
            <w:gridSpan w:val="5"/>
          </w:tcPr>
          <w:p>
            <w:pPr>
              <w:spacing w:after="0"/>
              <w:rPr>
                <w:rFonts w:ascii="Arial" w:cs="Arial" w:eastAsia="Arial" w:hAnsi="Arial"/>
                <w:sz w:val="17"/>
                <w:szCs w:val="17"/>
                <w:color w:val="0000EE"/>
              </w:rPr>
            </w:pPr>
            <w:hyperlink w:anchor="page93">
              <w:r>
                <w:rPr>
                  <w:rFonts w:ascii="Arial" w:cs="Arial" w:eastAsia="Arial" w:hAnsi="Arial"/>
                  <w:sz w:val="17"/>
                  <w:szCs w:val="17"/>
                  <w:color w:val="0000EE"/>
                </w:rPr>
                <w:t>Part III</w:t>
              </w:r>
            </w:hyperlink>
          </w:p>
        </w:tc>
        <w:tc>
          <w:tcPr>
            <w:tcW w:w="6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10.</w:t>
            </w:r>
          </w:p>
        </w:tc>
        <w:tc>
          <w:tcPr>
            <w:tcW w:w="3780" w:type="dxa"/>
            <w:vAlign w:val="bottom"/>
            <w:gridSpan w:val="13"/>
          </w:tcPr>
          <w:p>
            <w:pPr>
              <w:spacing w:after="0"/>
              <w:rPr>
                <w:rFonts w:ascii="Arial" w:cs="Arial" w:eastAsia="Arial" w:hAnsi="Arial"/>
                <w:sz w:val="17"/>
                <w:szCs w:val="17"/>
                <w:color w:val="0000EE"/>
                <w:w w:val="88"/>
              </w:rPr>
            </w:pPr>
            <w:hyperlink w:anchor="page93">
              <w:r>
                <w:rPr>
                  <w:rFonts w:ascii="Arial" w:cs="Arial" w:eastAsia="Arial" w:hAnsi="Arial"/>
                  <w:sz w:val="17"/>
                  <w:szCs w:val="17"/>
                  <w:color w:val="0000EE"/>
                  <w:w w:val="88"/>
                </w:rPr>
                <w:t>Directors, Executive Officers and Corporate Governance</w:t>
              </w:r>
            </w:hyperlink>
          </w:p>
        </w:tc>
        <w:tc>
          <w:tcPr>
            <w:tcW w:w="4760" w:type="dxa"/>
            <w:vAlign w:val="bottom"/>
            <w:gridSpan w:val="8"/>
          </w:tcPr>
          <w:p>
            <w:pPr>
              <w:spacing w:after="0"/>
              <w:rPr>
                <w:sz w:val="19"/>
                <w:szCs w:val="19"/>
                <w:color w:val="auto"/>
              </w:rPr>
            </w:pPr>
          </w:p>
        </w:tc>
        <w:tc>
          <w:tcPr>
            <w:tcW w:w="1020" w:type="dxa"/>
            <w:vAlign w:val="bottom"/>
            <w:gridSpan w:val="3"/>
          </w:tcPr>
          <w:p>
            <w:pPr>
              <w:jc w:val="center"/>
              <w:spacing w:after="0"/>
              <w:rPr>
                <w:rFonts w:ascii="Arial" w:cs="Arial" w:eastAsia="Arial" w:hAnsi="Arial"/>
                <w:sz w:val="17"/>
                <w:szCs w:val="17"/>
                <w:color w:val="0000EE"/>
                <w:w w:val="84"/>
              </w:rPr>
            </w:pPr>
            <w:hyperlink w:anchor="page93">
              <w:r>
                <w:rPr>
                  <w:rFonts w:ascii="Arial" w:cs="Arial" w:eastAsia="Arial" w:hAnsi="Arial"/>
                  <w:sz w:val="17"/>
                  <w:szCs w:val="17"/>
                  <w:color w:val="0000EE"/>
                  <w:w w:val="84"/>
                </w:rPr>
                <w:t>86</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gridSpan w:val="7"/>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11.</w:t>
            </w:r>
          </w:p>
        </w:tc>
        <w:tc>
          <w:tcPr>
            <w:tcW w:w="3780" w:type="dxa"/>
            <w:vAlign w:val="bottom"/>
            <w:gridSpan w:val="13"/>
          </w:tcPr>
          <w:p>
            <w:pPr>
              <w:spacing w:after="0"/>
              <w:rPr>
                <w:rFonts w:ascii="Arial" w:cs="Arial" w:eastAsia="Arial" w:hAnsi="Arial"/>
                <w:sz w:val="17"/>
                <w:szCs w:val="17"/>
                <w:color w:val="0000EE"/>
              </w:rPr>
            </w:pPr>
            <w:hyperlink w:anchor="page93">
              <w:r>
                <w:rPr>
                  <w:rFonts w:ascii="Arial" w:cs="Arial" w:eastAsia="Arial" w:hAnsi="Arial"/>
                  <w:sz w:val="17"/>
                  <w:szCs w:val="17"/>
                  <w:color w:val="0000EE"/>
                </w:rPr>
                <w:t>Executive Compensation</w:t>
              </w:r>
            </w:hyperlink>
          </w:p>
        </w:tc>
        <w:tc>
          <w:tcPr>
            <w:tcW w:w="4760" w:type="dxa"/>
            <w:vAlign w:val="bottom"/>
            <w:gridSpan w:val="8"/>
          </w:tcPr>
          <w:p>
            <w:pPr>
              <w:spacing w:after="0"/>
              <w:rPr>
                <w:sz w:val="19"/>
                <w:szCs w:val="19"/>
                <w:color w:val="auto"/>
              </w:rPr>
            </w:pPr>
          </w:p>
        </w:tc>
        <w:tc>
          <w:tcPr>
            <w:tcW w:w="1020" w:type="dxa"/>
            <w:vAlign w:val="bottom"/>
            <w:gridSpan w:val="3"/>
          </w:tcPr>
          <w:p>
            <w:pPr>
              <w:jc w:val="center"/>
              <w:spacing w:after="0"/>
              <w:rPr>
                <w:rFonts w:ascii="Arial" w:cs="Arial" w:eastAsia="Arial" w:hAnsi="Arial"/>
                <w:sz w:val="17"/>
                <w:szCs w:val="17"/>
                <w:color w:val="0000EE"/>
                <w:w w:val="84"/>
              </w:rPr>
            </w:pPr>
            <w:hyperlink w:anchor="page93">
              <w:r>
                <w:rPr>
                  <w:rFonts w:ascii="Arial" w:cs="Arial" w:eastAsia="Arial" w:hAnsi="Arial"/>
                  <w:sz w:val="17"/>
                  <w:szCs w:val="17"/>
                  <w:color w:val="0000EE"/>
                  <w:w w:val="84"/>
                </w:rPr>
                <w:t>86</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gridSpan w:val="7"/>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12.</w:t>
            </w:r>
          </w:p>
        </w:tc>
        <w:tc>
          <w:tcPr>
            <w:tcW w:w="8540" w:type="dxa"/>
            <w:vAlign w:val="bottom"/>
            <w:gridSpan w:val="21"/>
          </w:tcPr>
          <w:p>
            <w:pPr>
              <w:spacing w:after="0"/>
              <w:rPr>
                <w:rFonts w:ascii="Arial" w:cs="Arial" w:eastAsia="Arial" w:hAnsi="Arial"/>
                <w:sz w:val="17"/>
                <w:szCs w:val="17"/>
                <w:color w:val="0000EE"/>
              </w:rPr>
            </w:pPr>
            <w:hyperlink w:anchor="page93">
              <w:r>
                <w:rPr>
                  <w:rFonts w:ascii="Arial" w:cs="Arial" w:eastAsia="Arial" w:hAnsi="Arial"/>
                  <w:sz w:val="17"/>
                  <w:szCs w:val="17"/>
                  <w:color w:val="0000EE"/>
                </w:rPr>
                <w:t>Security Ownership of Certain Beneficial Owners and Management and Related Stockholder Matters</w:t>
              </w:r>
            </w:hyperlink>
          </w:p>
        </w:tc>
        <w:tc>
          <w:tcPr>
            <w:tcW w:w="1020" w:type="dxa"/>
            <w:vAlign w:val="bottom"/>
            <w:gridSpan w:val="3"/>
          </w:tcPr>
          <w:p>
            <w:pPr>
              <w:jc w:val="center"/>
              <w:spacing w:after="0"/>
              <w:rPr>
                <w:rFonts w:ascii="Arial" w:cs="Arial" w:eastAsia="Arial" w:hAnsi="Arial"/>
                <w:sz w:val="17"/>
                <w:szCs w:val="17"/>
                <w:color w:val="0000EE"/>
                <w:w w:val="84"/>
              </w:rPr>
            </w:pPr>
            <w:hyperlink w:anchor="page93">
              <w:r>
                <w:rPr>
                  <w:rFonts w:ascii="Arial" w:cs="Arial" w:eastAsia="Arial" w:hAnsi="Arial"/>
                  <w:sz w:val="17"/>
                  <w:szCs w:val="17"/>
                  <w:color w:val="0000EE"/>
                  <w:w w:val="84"/>
                </w:rPr>
                <w:t>86</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40" w:type="dxa"/>
            <w:vAlign w:val="bottom"/>
            <w:gridSpan w:val="10"/>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13.</w:t>
            </w:r>
          </w:p>
        </w:tc>
        <w:tc>
          <w:tcPr>
            <w:tcW w:w="6720" w:type="dxa"/>
            <w:vAlign w:val="bottom"/>
            <w:gridSpan w:val="18"/>
          </w:tcPr>
          <w:p>
            <w:pPr>
              <w:spacing w:after="0"/>
              <w:rPr>
                <w:rFonts w:ascii="Arial" w:cs="Arial" w:eastAsia="Arial" w:hAnsi="Arial"/>
                <w:sz w:val="17"/>
                <w:szCs w:val="17"/>
                <w:color w:val="0000EE"/>
              </w:rPr>
            </w:pPr>
            <w:hyperlink w:anchor="page93">
              <w:r>
                <w:rPr>
                  <w:rFonts w:ascii="Arial" w:cs="Arial" w:eastAsia="Arial" w:hAnsi="Arial"/>
                  <w:sz w:val="17"/>
                  <w:szCs w:val="17"/>
                  <w:color w:val="0000EE"/>
                </w:rPr>
                <w:t>Certain Relationships and Related Transactions, and Director Independence</w:t>
              </w:r>
            </w:hyperlink>
          </w:p>
        </w:tc>
        <w:tc>
          <w:tcPr>
            <w:tcW w:w="1820" w:type="dxa"/>
            <w:vAlign w:val="bottom"/>
            <w:gridSpan w:val="3"/>
          </w:tcPr>
          <w:p>
            <w:pPr>
              <w:spacing w:after="0"/>
              <w:rPr>
                <w:sz w:val="19"/>
                <w:szCs w:val="19"/>
                <w:color w:val="auto"/>
              </w:rPr>
            </w:pPr>
          </w:p>
        </w:tc>
        <w:tc>
          <w:tcPr>
            <w:tcW w:w="1020" w:type="dxa"/>
            <w:vAlign w:val="bottom"/>
            <w:gridSpan w:val="3"/>
          </w:tcPr>
          <w:p>
            <w:pPr>
              <w:jc w:val="center"/>
              <w:spacing w:after="0"/>
              <w:rPr>
                <w:rFonts w:ascii="Arial" w:cs="Arial" w:eastAsia="Arial" w:hAnsi="Arial"/>
                <w:sz w:val="17"/>
                <w:szCs w:val="17"/>
                <w:color w:val="0000EE"/>
                <w:w w:val="84"/>
              </w:rPr>
            </w:pPr>
            <w:hyperlink w:anchor="page93">
              <w:r>
                <w:rPr>
                  <w:rFonts w:ascii="Arial" w:cs="Arial" w:eastAsia="Arial" w:hAnsi="Arial"/>
                  <w:sz w:val="17"/>
                  <w:szCs w:val="17"/>
                  <w:color w:val="0000EE"/>
                  <w:w w:val="84"/>
                </w:rPr>
                <w:t>86</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40" w:type="dxa"/>
            <w:vAlign w:val="bottom"/>
            <w:gridSpan w:val="10"/>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14.</w:t>
            </w:r>
          </w:p>
        </w:tc>
        <w:tc>
          <w:tcPr>
            <w:tcW w:w="5020" w:type="dxa"/>
            <w:vAlign w:val="bottom"/>
            <w:gridSpan w:val="15"/>
          </w:tcPr>
          <w:p>
            <w:pPr>
              <w:spacing w:after="0"/>
              <w:rPr>
                <w:rFonts w:ascii="Arial" w:cs="Arial" w:eastAsia="Arial" w:hAnsi="Arial"/>
                <w:sz w:val="17"/>
                <w:szCs w:val="17"/>
                <w:color w:val="0000EE"/>
              </w:rPr>
            </w:pPr>
            <w:hyperlink w:anchor="page93">
              <w:r>
                <w:rPr>
                  <w:rFonts w:ascii="Arial" w:cs="Arial" w:eastAsia="Arial" w:hAnsi="Arial"/>
                  <w:sz w:val="17"/>
                  <w:szCs w:val="17"/>
                  <w:color w:val="0000EE"/>
                </w:rPr>
                <w:t>Principal Accounting Fees and Services</w:t>
              </w:r>
            </w:hyperlink>
          </w:p>
        </w:tc>
        <w:tc>
          <w:tcPr>
            <w:tcW w:w="3520" w:type="dxa"/>
            <w:vAlign w:val="bottom"/>
            <w:gridSpan w:val="6"/>
          </w:tcPr>
          <w:p>
            <w:pPr>
              <w:spacing w:after="0"/>
              <w:rPr>
                <w:sz w:val="19"/>
                <w:szCs w:val="19"/>
                <w:color w:val="auto"/>
              </w:rPr>
            </w:pPr>
          </w:p>
        </w:tc>
        <w:tc>
          <w:tcPr>
            <w:tcW w:w="1020" w:type="dxa"/>
            <w:vAlign w:val="bottom"/>
            <w:gridSpan w:val="3"/>
          </w:tcPr>
          <w:p>
            <w:pPr>
              <w:jc w:val="center"/>
              <w:spacing w:after="0"/>
              <w:rPr>
                <w:rFonts w:ascii="Arial" w:cs="Arial" w:eastAsia="Arial" w:hAnsi="Arial"/>
                <w:sz w:val="17"/>
                <w:szCs w:val="17"/>
                <w:color w:val="0000EE"/>
                <w:w w:val="84"/>
              </w:rPr>
            </w:pPr>
            <w:hyperlink w:anchor="page93">
              <w:r>
                <w:rPr>
                  <w:rFonts w:ascii="Arial" w:cs="Arial" w:eastAsia="Arial" w:hAnsi="Arial"/>
                  <w:sz w:val="17"/>
                  <w:szCs w:val="17"/>
                  <w:color w:val="0000EE"/>
                  <w:w w:val="84"/>
                </w:rPr>
                <w:t>86</w:t>
              </w:r>
            </w:hyperlink>
          </w:p>
        </w:tc>
      </w:tr>
      <w:tr>
        <w:trPr>
          <w:trHeight w:val="229"/>
        </w:trPr>
        <w:tc>
          <w:tcPr>
            <w:tcW w:w="20" w:type="dxa"/>
            <w:vAlign w:val="bottom"/>
          </w:tcPr>
          <w:p>
            <w:pPr>
              <w:spacing w:after="0"/>
              <w:rPr>
                <w:sz w:val="19"/>
                <w:szCs w:val="19"/>
                <w:color w:val="auto"/>
              </w:rPr>
            </w:pPr>
          </w:p>
        </w:tc>
        <w:tc>
          <w:tcPr>
            <w:tcW w:w="1840" w:type="dxa"/>
            <w:vAlign w:val="bottom"/>
            <w:gridSpan w:val="5"/>
          </w:tcPr>
          <w:p>
            <w:pPr>
              <w:spacing w:after="0"/>
              <w:rPr>
                <w:rFonts w:ascii="Arial" w:cs="Arial" w:eastAsia="Arial" w:hAnsi="Arial"/>
                <w:sz w:val="17"/>
                <w:szCs w:val="17"/>
                <w:color w:val="0000EE"/>
              </w:rPr>
            </w:pPr>
            <w:hyperlink w:anchor="page93">
              <w:r>
                <w:rPr>
                  <w:rFonts w:ascii="Arial" w:cs="Arial" w:eastAsia="Arial" w:hAnsi="Arial"/>
                  <w:sz w:val="17"/>
                  <w:szCs w:val="17"/>
                  <w:color w:val="0000EE"/>
                </w:rPr>
                <w:t>Part IV</w:t>
              </w:r>
            </w:hyperlink>
          </w:p>
        </w:tc>
        <w:tc>
          <w:tcPr>
            <w:tcW w:w="6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Item 15.</w:t>
            </w:r>
          </w:p>
        </w:tc>
        <w:tc>
          <w:tcPr>
            <w:tcW w:w="2920" w:type="dxa"/>
            <w:vAlign w:val="bottom"/>
            <w:gridSpan w:val="11"/>
          </w:tcPr>
          <w:p>
            <w:pPr>
              <w:spacing w:after="0"/>
              <w:rPr>
                <w:rFonts w:ascii="Arial" w:cs="Arial" w:eastAsia="Arial" w:hAnsi="Arial"/>
                <w:sz w:val="17"/>
                <w:szCs w:val="17"/>
                <w:color w:val="0000EE"/>
                <w:w w:val="87"/>
              </w:rPr>
            </w:pPr>
            <w:hyperlink w:anchor="page93">
              <w:r>
                <w:rPr>
                  <w:rFonts w:ascii="Arial" w:cs="Arial" w:eastAsia="Arial" w:hAnsi="Arial"/>
                  <w:sz w:val="17"/>
                  <w:szCs w:val="17"/>
                  <w:color w:val="0000EE"/>
                  <w:w w:val="87"/>
                </w:rPr>
                <w:t>Exhibits and Financial Statement Schedules</w:t>
              </w:r>
            </w:hyperlink>
          </w:p>
        </w:tc>
        <w:tc>
          <w:tcPr>
            <w:tcW w:w="5620" w:type="dxa"/>
            <w:vAlign w:val="bottom"/>
            <w:gridSpan w:val="10"/>
          </w:tcPr>
          <w:p>
            <w:pPr>
              <w:spacing w:after="0"/>
              <w:rPr>
                <w:sz w:val="19"/>
                <w:szCs w:val="19"/>
                <w:color w:val="auto"/>
              </w:rPr>
            </w:pPr>
          </w:p>
        </w:tc>
        <w:tc>
          <w:tcPr>
            <w:tcW w:w="1020" w:type="dxa"/>
            <w:vAlign w:val="bottom"/>
            <w:gridSpan w:val="3"/>
          </w:tcPr>
          <w:p>
            <w:pPr>
              <w:jc w:val="center"/>
              <w:spacing w:after="0"/>
              <w:rPr>
                <w:rFonts w:ascii="Arial" w:cs="Arial" w:eastAsia="Arial" w:hAnsi="Arial"/>
                <w:sz w:val="17"/>
                <w:szCs w:val="17"/>
                <w:color w:val="0000EE"/>
                <w:w w:val="84"/>
              </w:rPr>
            </w:pPr>
            <w:hyperlink w:anchor="page93">
              <w:r>
                <w:rPr>
                  <w:rFonts w:ascii="Arial" w:cs="Arial" w:eastAsia="Arial" w:hAnsi="Arial"/>
                  <w:sz w:val="17"/>
                  <w:szCs w:val="17"/>
                  <w:color w:val="0000EE"/>
                  <w:w w:val="84"/>
                </w:rPr>
                <w:t>86</w:t>
              </w:r>
            </w:hyperlink>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1840" w:type="dxa"/>
            <w:vAlign w:val="bottom"/>
            <w:gridSpan w:val="5"/>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Signatures</w:t>
              </w:r>
            </w:hyperlink>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center"/>
              <w:spacing w:after="0"/>
              <w:rPr>
                <w:rFonts w:ascii="Arial" w:cs="Arial" w:eastAsia="Arial" w:hAnsi="Arial"/>
                <w:sz w:val="17"/>
                <w:szCs w:val="17"/>
                <w:color w:val="0000EE"/>
                <w:w w:val="84"/>
              </w:rPr>
            </w:pPr>
            <w:hyperlink w:anchor="page96">
              <w:r>
                <w:rPr>
                  <w:rFonts w:ascii="Arial" w:cs="Arial" w:eastAsia="Arial" w:hAnsi="Arial"/>
                  <w:sz w:val="17"/>
                  <w:szCs w:val="17"/>
                  <w:color w:val="0000EE"/>
                  <w:w w:val="84"/>
                </w:rPr>
                <w:t>89</w:t>
              </w:r>
            </w:hyperlink>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420"/>
          </w:cols>
          <w:pgMar w:left="240" w:top="571" w:right="239" w:bottom="1440" w:gutter="0" w:footer="0" w:header="0"/>
        </w:sectPr>
      </w:pPr>
    </w:p>
    <w:bookmarkStart w:id="3" w:name="page4"/>
    <w:bookmarkEnd w:id="3"/>
    <w:p>
      <w:pPr>
        <w:jc w:val="center"/>
        <w:ind w:left="60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06" w:lineRule="exact"/>
        <w:rPr>
          <w:sz w:val="20"/>
          <w:szCs w:val="20"/>
          <w:color w:val="auto"/>
        </w:rPr>
      </w:pPr>
    </w:p>
    <w:p>
      <w:pPr>
        <w:jc w:val="both"/>
        <w:ind w:firstLine="597"/>
        <w:spacing w:after="0" w:line="281" w:lineRule="auto"/>
        <w:rPr>
          <w:sz w:val="20"/>
          <w:szCs w:val="20"/>
          <w:color w:val="auto"/>
        </w:rPr>
      </w:pPr>
      <w:r>
        <w:rPr>
          <w:rFonts w:ascii="Arial" w:cs="Arial" w:eastAsia="Arial" w:hAnsi="Arial"/>
          <w:sz w:val="15"/>
          <w:szCs w:val="15"/>
          <w:color w:val="auto"/>
        </w:rPr>
        <w:t>This Annual Report on Form 10-K (this "Annual Report") for the fiscal year ended December 31, 2019 (fiscal 2019), includes “forward-looking statements” within the meaning of Section 27A of the Securities Act of 1933, as amended (the "Securities Act"), and Section 21E of the Securities Exchange Act of 1934, as amended (the "Exchange Act"), which statements are subject to considerable risks and uncertainties. These forward-looking statements are intended to qualify for the safe harbor from liability established by the Private Securities Litigation Reform Act of 1995. Forward-looking statements include all statements included in or incorporated by reference in this Annual Report that are not statements of historical facts, which can generally be identified by words such as “anticipates,” “believes,” “seeks,” “estimates,” “expects,” “intends,” “may,” “plans,” “potential,” “predicts,” “projects,” “should,” “could,” “will,” “would” or similar expressions and the negatives of those expressions. Forward-looking statements also include the assumptions underlying or relating to such statements. In particular, forward looking statements contained in this Annual Report relate to, among other things, our future or assumed financial condition, results of operations and liquidity, business forecasts and plans, certain trends affecting our business and industry, capital needs and financing plans, capital resource allocation plans, potential repurchase of our shares, research and product development plans, future products and Value+ services, growth in the size of our business and number of customers, strategic plans and objectives, the impact of acquisitions and investments, changes in the competitive environment, the outcome of legal proceedings or regulatory matters, and the application of accounting guidance. We caution you that the foregoing list may not include all of the forward-looking statements made in this Annual Report.</w:t>
      </w:r>
    </w:p>
    <w:p>
      <w:pPr>
        <w:spacing w:after="0" w:line="163" w:lineRule="exact"/>
        <w:rPr>
          <w:sz w:val="20"/>
          <w:szCs w:val="20"/>
          <w:color w:val="auto"/>
        </w:rPr>
      </w:pPr>
    </w:p>
    <w:p>
      <w:pPr>
        <w:jc w:val="both"/>
        <w:ind w:firstLine="597"/>
        <w:spacing w:after="0" w:line="285" w:lineRule="auto"/>
        <w:rPr>
          <w:sz w:val="20"/>
          <w:szCs w:val="20"/>
          <w:color w:val="auto"/>
        </w:rPr>
      </w:pPr>
      <w:r>
        <w:rPr>
          <w:rFonts w:ascii="Arial" w:cs="Arial" w:eastAsia="Arial" w:hAnsi="Arial"/>
          <w:sz w:val="15"/>
          <w:szCs w:val="15"/>
          <w:color w:val="auto"/>
        </w:rPr>
        <w:t>Our forward-looking statements are based on our management’s current beliefs, assumptions and expectations about future events and trends, which affect or may affect our business, strategy, operations or financial performance. Although we believe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under the caption “Risk Factors” in Part I, Item 1A and “Management’s Discussion and Analysis of Financial Condition and Results of Operations” in Part II, Item 7, and elsewhere in this Annual Report, as well as in the other reports we file with the Securities and Exchange Commission (the "SEC"). You should read this Annual Report with the understanding that our actual future results may be materially different from the results expressed or implied by these forward-looking statements.</w:t>
      </w:r>
    </w:p>
    <w:p>
      <w:pPr>
        <w:spacing w:after="0" w:line="158"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75"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6"/>
          <w:szCs w:val="16"/>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qualify all of our forward-looking statements by these cautionary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7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PART 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Unless otherwise stated in this Annual Report, references to "AppFolio," "we," "us," and "our" refer to AppFolio, Inc. and its consolidated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69"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Our mission is to revolutionize vertical industry businesses by providing great software and services. To that end, today we offer industry-specific, cloud-based business software solutions, services and data analytics to the real estate market, which represents over 90% of our revenue, and, to a lesser extent, to the legal market. Although specific functionality varies by product, our core solutions address common business operations and interactions of businesses in our targeted verticals. In addition to our core solutions, we offer a range of optional, but often business-critical, Value+ services. Our Value+ services are built to enhance, automate and streamline processes and support workflows essential to our customers' businesses.</w:t>
      </w:r>
    </w:p>
    <w:p>
      <w:pPr>
        <w:spacing w:after="0" w:line="304" w:lineRule="exact"/>
        <w:rPr>
          <w:sz w:val="20"/>
          <w:szCs w:val="20"/>
          <w:color w:val="auto"/>
        </w:rPr>
      </w:pPr>
    </w:p>
    <w:p>
      <w:pPr>
        <w:jc w:val="both"/>
        <w:ind w:firstLine="597"/>
        <w:spacing w:after="0" w:line="335" w:lineRule="auto"/>
        <w:rPr>
          <w:sz w:val="20"/>
          <w:szCs w:val="20"/>
          <w:color w:val="auto"/>
        </w:rPr>
      </w:pPr>
      <w:r>
        <w:rPr>
          <w:rFonts w:ascii="Arial" w:cs="Arial" w:eastAsia="Arial" w:hAnsi="Arial"/>
          <w:sz w:val="13"/>
          <w:szCs w:val="13"/>
          <w:color w:val="auto"/>
        </w:rPr>
        <w:t>Our real estate software solutions provide our property management customers (including third-party property managers and owner-operators who manage single-and mutli- family residences, community associations, commercial properties, and student housing, as well as mixed real estate portfolios) with a system of record to automate essential business processes, a system of engagement to enhance business interactions between our customers and their clients and other stakeholders, and a system of intelligence designed to leverage data to predict and optimize business workflows in order to enable superior customer experiences and increase efficiency across our customers' businesses. Our mobile-optimized software solutions are designed for use across multiple devices and operating systems. Our software solutions are all offered as a service for our customers and hosted using a modern cloud-based architecture. This architecture leads to rich data sets that have a consistent schema across our customer base and enables us to deploy data-powered products and services for our customers. We also provide software solutions to the legal market that enable law firms to administer their practice and manage their caseloads more efficiently by centralizing case details in a single system of record and system of engagement.</w:t>
      </w:r>
    </w:p>
    <w:p>
      <w:pPr>
        <w:spacing w:after="0" w:line="200" w:lineRule="exact"/>
        <w:rPr>
          <w:sz w:val="20"/>
          <w:szCs w:val="20"/>
          <w:color w:val="auto"/>
        </w:rPr>
      </w:pPr>
    </w:p>
    <w:p>
      <w:pPr>
        <w:spacing w:after="0" w:line="255" w:lineRule="exact"/>
        <w:rPr>
          <w:sz w:val="20"/>
          <w:szCs w:val="20"/>
          <w:color w:val="auto"/>
        </w:rPr>
      </w:pPr>
    </w:p>
    <w:p>
      <w:pPr>
        <w:jc w:val="both"/>
        <w:ind w:firstLine="597"/>
        <w:spacing w:after="0" w:line="248" w:lineRule="auto"/>
        <w:rPr>
          <w:sz w:val="20"/>
          <w:szCs w:val="20"/>
          <w:color w:val="auto"/>
        </w:rPr>
      </w:pPr>
      <w:r>
        <w:rPr>
          <w:rFonts w:ascii="Arial" w:cs="Arial" w:eastAsia="Arial" w:hAnsi="Arial"/>
          <w:sz w:val="17"/>
          <w:szCs w:val="17"/>
          <w:color w:val="auto"/>
        </w:rPr>
        <w:t>Many companies face a common set of challenges that divert limited time and resources away from serving their clients and growing their businesses. In certain industries, day-to-day operations may be managed through inefficient manual processes and disparate software point solutions. This lack of automation and integrated technology results in a significant administrative burden on these businesses, particularly in industries that involve unique workflows, relationships among multiple industry participants, significant data inputs and management, and compliance or regulatory requirements. While larger enterprises and consumers have been experiencing a transformational shift into the digital age, the legacy systems and manual business processes currently used by many other businesses are lagging behind in terms of technological sophistication and ease of use.</w:t>
      </w:r>
    </w:p>
    <w:p>
      <w:pPr>
        <w:spacing w:after="0" w:line="305"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For the years ended December 31, 2019, 2018 and 2017, our revenue was $256.0 million, $190.1 million and $143.8 million, respectively. During each of these years we have derived more than 90% of our revenue from our solutions serving the real estate market, primarily property management companies. Our revenue has limited seasonality as discussed in Item 7, "Management's Discussion and Analysis of Financial Condition and Results of Operations" of this Annual Report, within the section entitled "Quarterly Revenue and Cost Trends."</w:t>
      </w:r>
    </w:p>
    <w:p>
      <w:pPr>
        <w:spacing w:after="0" w:line="305"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We sell our software solutions and services through our direct sales organization and from within our software applications. We offer our core solutions to customers on a subscription basis, with subscription fees that scale to the size and type of their businesses. Customers who adopt our Value+ services pay either subscription fees or usage-based fees, depending on the Value+ service. We do not separately charge customers for ongoing training and support, which we believe is critical to retaining customers and increasing adoption and utilization of our Value+ services. We also charge one-time fees in connection with certain services.</w:t>
      </w:r>
    </w:p>
    <w:p>
      <w:pPr>
        <w:spacing w:after="0" w:line="271"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color w:val="auto"/>
        </w:rPr>
        <w:t>We evaluate the success of our business during the periods presented based on factors such as the development and launch of new and innovative core functionality and Value+ services, enhancements to user experience, customer satisfaction, growth in our revenue and customer base, fluctuations in costs and operating expenses as a percentage of revenue, operating loss or income and cash flows from operating activities. We have managed, and plan to continue to manage, our business towards the achievement of long-term growth that we believe will positively impact long-term stockholder value, and not towards the realization of short-term financial or business metrics, or short-term stockholder value. We have invested, and intend to continue to invest, in our business to capitalize on our market opportunity.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620" w:right="239" w:bottom="1440" w:gutter="0" w:footer="0" w:header="0"/>
        </w:sectPr>
      </w:pPr>
    </w:p>
    <w:bookmarkStart w:id="5" w:name="page6"/>
    <w:bookmarkEnd w:id="5"/>
    <w:p>
      <w:pPr>
        <w:jc w:val="both"/>
        <w:ind w:firstLine="597"/>
        <w:spacing w:after="0" w:line="249" w:lineRule="auto"/>
        <w:rPr>
          <w:sz w:val="20"/>
          <w:szCs w:val="20"/>
          <w:color w:val="auto"/>
        </w:rPr>
      </w:pPr>
      <w:r>
        <w:rPr>
          <w:rFonts w:ascii="Arial" w:cs="Arial" w:eastAsia="Arial" w:hAnsi="Arial"/>
          <w:sz w:val="17"/>
          <w:szCs w:val="17"/>
          <w:color w:val="auto"/>
        </w:rPr>
        <w:t>Our business, including our core functionality and Value+ services, as well as our customers and other stakeholders in the vertical markets we serve, is subject to constantly evolving laws, rules and regulations, any or all of which may impede our growth or diminish our existing business. Despite our significant efforts to monitor and comply with this evolving legal and regulatory landscape, we may be unable to do so, and new or existing laws, rules and regulations may lead to increased litigation, investigation or other legal proceedings and related costs, diversion of management resources, and limitations on our ability to conduct our business, any of which may negatively impact our ability to meet our long term corporate objectives.</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Market</w:t>
      </w:r>
    </w:p>
    <w:p>
      <w:pPr>
        <w:spacing w:after="0" w:line="169" w:lineRule="exact"/>
        <w:rPr>
          <w:sz w:val="20"/>
          <w:szCs w:val="20"/>
          <w:color w:val="auto"/>
        </w:rPr>
      </w:pPr>
    </w:p>
    <w:p>
      <w:pPr>
        <w:jc w:val="both"/>
        <w:ind w:firstLine="597"/>
        <w:spacing w:after="0" w:line="279" w:lineRule="auto"/>
        <w:rPr>
          <w:sz w:val="20"/>
          <w:szCs w:val="20"/>
          <w:color w:val="auto"/>
        </w:rPr>
      </w:pPr>
      <w:r>
        <w:rPr>
          <w:rFonts w:ascii="Arial" w:cs="Arial" w:eastAsia="Arial" w:hAnsi="Arial"/>
          <w:sz w:val="15"/>
          <w:szCs w:val="15"/>
          <w:color w:val="auto"/>
        </w:rPr>
        <w:t>In 2008, we entered the real estate market with our first product, AppFolio Property Manager ("APM"), a property management solution designed to address the unique operational and business requirements of property management companies. Recognizing that our customers and their stakeholders would benefit from additional business critical services, we launched a series of Value+ services beginning in 2009. Our first Value+ service assisted our customers in the marketing of their rental properties by offering property level website design and hosting services. In 2010, we commenced the roll out of our electronic payment services, thereby facilitating the payment of rent via ACH by tenants. In 2011, we launched tenant screening services, further assisting our customers with the leasing process. In 2012, we introduced our legal liability to landlord insurance program, which protects property owners and managers from certain defined losses. In 2013, we expanded our electronic payment services by allowing residents to pay rent by electronic cash payment ("ECP") and credit or debit card. In 2014, we launched a tenant-facing contact center solution to assist our property managers with resolving incoming maintenance requests. In 2015, we expanded the marketing services offered to our property management customers with a premium leads service built on technology acquired with our acquisition of RentLinx LLC ("Rentlinx") and expanded our electronic payment services to facilitate payments made between our customers and property owners and vendors. In 2016, we introduced a tenant debt collection Value+ service to assist our property managers with running a more efficient business with the collection of past due rents. In 2017, we expanded our insurance services to enable tenants to purchase renters insurance from within APM, protecting both our property management customers and their tenants. In 2018, we acquired substantially all of the assets of WegoWise, Inc. ("WegoWise"), a provider of cloud-based utility analytics software solutions, and began offering AppFolio Utility Management as a Value+ service to our property management customers in mid-2019. In 2018, we also released AppFolio Property Manager PLUS, ("APM PLUS"), a new tier of APM designed for larger businesses with more complex needs. APM PLUS builds upon the functionality of APM and additionally offers data analytics, configurable workflows, and revenue management and optimization functionality for our customers. In January 2019, we acquired Dynasty Marketplace, Inc., ("Dynasty"), a provider of advanced artificial intelligence ("AI") solutions for the real estate market, and began offering an AI Leasing Assistant, Lisa, as a Value+ service to our property management customers in mid-2019. In April 2019, we launched AppFolio Investment Management, which enables real estate investment managers to better manage their investor relationships by increasing transparency and streamlining certain business processes.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Real Estate Solutions</w:t>
      </w:r>
    </w:p>
    <w:p>
      <w:pPr>
        <w:spacing w:after="0" w:line="331" w:lineRule="exact"/>
        <w:rPr>
          <w:sz w:val="20"/>
          <w:szCs w:val="20"/>
          <w:color w:val="auto"/>
        </w:rPr>
      </w:pPr>
    </w:p>
    <w:p>
      <w:pPr>
        <w:jc w:val="both"/>
        <w:ind w:firstLine="597"/>
        <w:spacing w:after="0" w:line="285" w:lineRule="auto"/>
        <w:rPr>
          <w:sz w:val="20"/>
          <w:szCs w:val="20"/>
          <w:color w:val="auto"/>
        </w:rPr>
      </w:pPr>
      <w:r>
        <w:rPr>
          <w:rFonts w:ascii="Arial" w:cs="Arial" w:eastAsia="Arial" w:hAnsi="Arial"/>
          <w:sz w:val="15"/>
          <w:szCs w:val="15"/>
          <w:color w:val="auto"/>
        </w:rPr>
        <w:t>Although specific functionality varies by product, our core real estate solutions address common business operations and interactions of property managers by providing key functionality, including accounting, document management, real-time interactive search, data analytics and communication options. Our optional, but often business-critical Value+ services, which make up a significant portion of our revenue, enable our customers to adapt our platform to their specific operational requirements. Many of the software solutions and Value+ services we offer in the real estate market are subject to certain legal, regulatory and other requirements and, despite our significant efforts to comply with all such requirements, there can be no guarantee that our efforts will be sufficient or that existing laws, rules or other requirements will not be interpreted, revised, augmented or rewritten in a way that adversely affects our real estate solutions and Value+ services, which comprise a significant majority of our business. Please refer to Item 1A., "Risk Factors", for a more complete discussion of these and other risk-related issues.</w:t>
      </w:r>
    </w:p>
    <w:p>
      <w:pPr>
        <w:spacing w:after="0" w:line="28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AppFolio Property Manager - Core Solution</w:t>
      </w:r>
    </w:p>
    <w:p>
      <w:pPr>
        <w:spacing w:after="0" w:line="165"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6"/>
          <w:szCs w:val="16"/>
          <w:color w:val="auto"/>
        </w:rPr>
        <w:t>APM is a cloud-based software solution that provides property management customers of various sizes innovative tools and services designed to streamline their property management businesses. Our software solution serves a variety of property types, including single- and multi-family residential, commercial, community association, and student housing, and is continuously evolving to help our customers more effectively market, manage, and grow their businesses. Core functionality addresses key operational issues, including accounting and business analytics and management, marketing and leasing functionality, and communications with key stakeholders. APM PLUS, builds upon the functionality of APM and additionally offers data analytics, configurable workflows, and revenue management and optimization functionality for our large and more complex property management customers.</w:t>
      </w:r>
    </w:p>
    <w:p>
      <w:pPr>
        <w:spacing w:after="0" w:line="13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AppFolio Property Manager - Value+ Services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36" w:right="239" w:bottom="1440" w:gutter="0" w:footer="0" w:header="0"/>
        </w:sectPr>
      </w:pPr>
    </w:p>
    <w:bookmarkStart w:id="6" w:name="page7"/>
    <w:bookmarkEnd w:id="6"/>
    <w:p>
      <w:pPr>
        <w:jc w:val="both"/>
        <w:ind w:firstLine="597"/>
        <w:spacing w:after="0" w:line="250" w:lineRule="auto"/>
        <w:rPr>
          <w:sz w:val="20"/>
          <w:szCs w:val="20"/>
          <w:color w:val="auto"/>
        </w:rPr>
      </w:pPr>
      <w:r>
        <w:rPr>
          <w:rFonts w:ascii="Arial" w:cs="Arial" w:eastAsia="Arial" w:hAnsi="Arial"/>
          <w:sz w:val="17"/>
          <w:szCs w:val="17"/>
          <w:color w:val="auto"/>
        </w:rPr>
        <w:t>In addition to our core solution, we offer a range of optional, but often business-critical, Value+ services built to enhance, automate and streamline property management processes and support workflows essential to our customers' businesses. Our Value+ services generally fall into the categories of marketing and leasing, electronic payment services, resident services, business optimization and risk mitigation. Value+ services are integrated with APM and APM PLUS so customers and their stakeholders may benefit from added efficiency and ease of use.</w:t>
      </w:r>
    </w:p>
    <w:p>
      <w:pPr>
        <w:spacing w:after="0" w:line="301"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 xml:space="preserve">We deliver and maintain professionally designed and architected </w:t>
      </w:r>
      <w:r>
        <w:rPr>
          <w:rFonts w:ascii="Arial" w:cs="Arial" w:eastAsia="Arial" w:hAnsi="Arial"/>
          <w:sz w:val="17"/>
          <w:szCs w:val="17"/>
          <w:b w:val="1"/>
          <w:bCs w:val="1"/>
          <w:color w:val="auto"/>
        </w:rPr>
        <w:t>Websites</w:t>
      </w:r>
      <w:r>
        <w:rPr>
          <w:rFonts w:ascii="Arial" w:cs="Arial" w:eastAsia="Arial" w:hAnsi="Arial"/>
          <w:sz w:val="17"/>
          <w:szCs w:val="17"/>
          <w:color w:val="auto"/>
        </w:rPr>
        <w:t xml:space="preserve"> that showcase our customers’ businesses. Our websites are fully-integrated with APM functionality, including vacancy postings, electronic payment services, owner portals, and maintenance requests. Property managers can track and analyze site traffic and lead generation and identify prospects by evaluating guest cards that are completed by prospective tenants who visit the websites in connection with posted vacancies. Features include search engine optimized content including floor plans, video walkthroughs, professional photography and video production, and branding and logo creation.</w:t>
      </w:r>
    </w:p>
    <w:p>
      <w:pPr>
        <w:spacing w:after="0" w:line="300" w:lineRule="exact"/>
        <w:rPr>
          <w:sz w:val="20"/>
          <w:szCs w:val="20"/>
          <w:color w:val="auto"/>
        </w:rPr>
      </w:pPr>
    </w:p>
    <w:p>
      <w:pPr>
        <w:jc w:val="both"/>
        <w:ind w:firstLine="597"/>
        <w:spacing w:after="0" w:line="256" w:lineRule="auto"/>
        <w:rPr>
          <w:sz w:val="20"/>
          <w:szCs w:val="20"/>
          <w:color w:val="auto"/>
        </w:rPr>
      </w:pPr>
      <w:r>
        <w:rPr>
          <w:rFonts w:ascii="Arial" w:cs="Arial" w:eastAsia="Arial" w:hAnsi="Arial"/>
          <w:sz w:val="17"/>
          <w:szCs w:val="17"/>
          <w:color w:val="auto"/>
        </w:rPr>
        <w:t xml:space="preserve">Our accounting features include </w:t>
      </w:r>
      <w:r>
        <w:rPr>
          <w:rFonts w:ascii="Arial" w:cs="Arial" w:eastAsia="Arial" w:hAnsi="Arial"/>
          <w:sz w:val="17"/>
          <w:szCs w:val="17"/>
          <w:b w:val="1"/>
          <w:bCs w:val="1"/>
          <w:color w:val="auto"/>
        </w:rPr>
        <w:t>Electronic Payment Services</w:t>
      </w:r>
      <w:r>
        <w:rPr>
          <w:rFonts w:ascii="Arial" w:cs="Arial" w:eastAsia="Arial" w:hAnsi="Arial"/>
          <w:sz w:val="17"/>
          <w:szCs w:val="17"/>
          <w:color w:val="auto"/>
        </w:rPr>
        <w:t xml:space="preserve"> that allow property managers to streamline their payables and receivables online. Our customers can collect rental application fees, rent payments and other tenant charges through a secure online portal, mobile app, and ECP, as well as receive owner contributions. They can quickly and conveniently pay owners, vendors and their own management company as well.</w:t>
      </w:r>
    </w:p>
    <w:p>
      <w:pPr>
        <w:spacing w:after="0" w:line="295" w:lineRule="exact"/>
        <w:rPr>
          <w:sz w:val="20"/>
          <w:szCs w:val="20"/>
          <w:color w:val="auto"/>
        </w:rPr>
      </w:pPr>
    </w:p>
    <w:p>
      <w:pPr>
        <w:jc w:val="both"/>
        <w:ind w:firstLine="597"/>
        <w:spacing w:after="0" w:line="256" w:lineRule="auto"/>
        <w:rPr>
          <w:sz w:val="20"/>
          <w:szCs w:val="20"/>
          <w:color w:val="auto"/>
        </w:rPr>
      </w:pPr>
      <w:r>
        <w:rPr>
          <w:rFonts w:ascii="Arial" w:cs="Arial" w:eastAsia="Arial" w:hAnsi="Arial"/>
          <w:sz w:val="17"/>
          <w:szCs w:val="17"/>
          <w:b w:val="1"/>
          <w:bCs w:val="1"/>
          <w:color w:val="auto"/>
        </w:rPr>
        <w:t xml:space="preserve">Tenant Screening Services </w:t>
      </w:r>
      <w:r>
        <w:rPr>
          <w:rFonts w:ascii="Arial" w:cs="Arial" w:eastAsia="Arial" w:hAnsi="Arial"/>
          <w:sz w:val="17"/>
          <w:szCs w:val="17"/>
          <w:color w:val="auto"/>
        </w:rPr>
        <w:t>include background screening and credit checks for use in connection with the rental application process. In addition to obtaining an</w:t>
      </w:r>
      <w:r>
        <w:rPr>
          <w:rFonts w:ascii="Arial" w:cs="Arial" w:eastAsia="Arial" w:hAnsi="Arial"/>
          <w:sz w:val="17"/>
          <w:szCs w:val="17"/>
          <w:b w:val="1"/>
          <w:bCs w:val="1"/>
          <w:color w:val="auto"/>
        </w:rPr>
        <w:t xml:space="preserve"> </w:t>
      </w:r>
      <w:r>
        <w:rPr>
          <w:rFonts w:ascii="Arial" w:cs="Arial" w:eastAsia="Arial" w:hAnsi="Arial"/>
          <w:sz w:val="17"/>
          <w:szCs w:val="17"/>
          <w:color w:val="auto"/>
        </w:rPr>
        <w:t>applicant's credit history, property managers have the option of leveraging an automated nationwide eviction and criminal records search, as well as accessing and/or contributing to rental payments history data, to better identify qualified tenants and reduce risk.</w:t>
      </w:r>
    </w:p>
    <w:p>
      <w:pPr>
        <w:spacing w:after="0" w:line="133"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17"/>
          <w:szCs w:val="17"/>
          <w:color w:val="auto"/>
        </w:rPr>
        <w:t xml:space="preserve">Through wholly-owned subsidiaries, we offer two insurance options, </w:t>
      </w:r>
      <w:r>
        <w:rPr>
          <w:rFonts w:ascii="Arial" w:cs="Arial" w:eastAsia="Arial" w:hAnsi="Arial"/>
          <w:sz w:val="17"/>
          <w:szCs w:val="17"/>
          <w:b w:val="1"/>
          <w:bCs w:val="1"/>
          <w:color w:val="auto"/>
        </w:rPr>
        <w:t>Liability to Landlord Insurance</w:t>
      </w:r>
      <w:r>
        <w:rPr>
          <w:rFonts w:ascii="Arial" w:cs="Arial" w:eastAsia="Arial" w:hAnsi="Arial"/>
          <w:sz w:val="17"/>
          <w:szCs w:val="17"/>
          <w:color w:val="auto"/>
        </w:rPr>
        <w:t xml:space="preserve"> and </w:t>
      </w:r>
      <w:r>
        <w:rPr>
          <w:rFonts w:ascii="Arial" w:cs="Arial" w:eastAsia="Arial" w:hAnsi="Arial"/>
          <w:sz w:val="17"/>
          <w:szCs w:val="17"/>
          <w:b w:val="1"/>
          <w:bCs w:val="1"/>
          <w:color w:val="auto"/>
        </w:rPr>
        <w:t>Renters Insurance</w:t>
      </w:r>
      <w:r>
        <w:rPr>
          <w:rFonts w:ascii="Arial" w:cs="Arial" w:eastAsia="Arial" w:hAnsi="Arial"/>
          <w:sz w:val="17"/>
          <w:szCs w:val="17"/>
          <w:color w:val="auto"/>
        </w:rPr>
        <w:t>, that can be tailored to help property managers protect their properties and meet renters’ needs. Property managers can instantly enroll residents in Liability to Landlord Insurance, which offers owners and investors increased protection against tenant-caused damage. Renters have the option of purchasing renters insurance through an online portal to protect their personal belongings, as well as the property itself, from certain unexpected damages.</w:t>
      </w:r>
    </w:p>
    <w:p>
      <w:pPr>
        <w:spacing w:after="0" w:line="174" w:lineRule="exact"/>
        <w:rPr>
          <w:sz w:val="20"/>
          <w:szCs w:val="20"/>
          <w:color w:val="auto"/>
        </w:rPr>
      </w:pPr>
    </w:p>
    <w:p>
      <w:pPr>
        <w:jc w:val="both"/>
        <w:ind w:firstLine="597"/>
        <w:spacing w:after="0" w:line="306" w:lineRule="auto"/>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b w:val="1"/>
          <w:bCs w:val="1"/>
          <w:color w:val="auto"/>
        </w:rPr>
        <w:t>Maintenance Contact Center</w:t>
      </w:r>
      <w:r>
        <w:rPr>
          <w:rFonts w:ascii="Arial" w:cs="Arial" w:eastAsia="Arial" w:hAnsi="Arial"/>
          <w:sz w:val="15"/>
          <w:szCs w:val="15"/>
          <w:color w:val="auto"/>
        </w:rPr>
        <w:t xml:space="preserve"> is built into our customers APM maintenance workflow and is staffed 24/7/365 by trained agents, each acting as an extension of our property management customers’ teams to resolve or route incoming maintenance requests. Contact center agents are able to enter non-emergency work orders directly into APM’s property maintenance software for a property manager’s approval, and to dispatch vendors immediately in case of an emergency.</w:t>
      </w:r>
    </w:p>
    <w:p>
      <w:pPr>
        <w:spacing w:after="0" w:line="136" w:lineRule="exact"/>
        <w:rPr>
          <w:sz w:val="20"/>
          <w:szCs w:val="20"/>
          <w:color w:val="auto"/>
        </w:rPr>
      </w:pPr>
    </w:p>
    <w:p>
      <w:pPr>
        <w:jc w:val="both"/>
        <w:ind w:firstLine="597"/>
        <w:spacing w:after="0" w:line="300" w:lineRule="auto"/>
        <w:rPr>
          <w:sz w:val="20"/>
          <w:szCs w:val="20"/>
          <w:color w:val="auto"/>
        </w:rPr>
      </w:pPr>
      <w:r>
        <w:rPr>
          <w:rFonts w:ascii="Arial" w:cs="Arial" w:eastAsia="Arial" w:hAnsi="Arial"/>
          <w:sz w:val="16"/>
          <w:szCs w:val="16"/>
          <w:b w:val="1"/>
          <w:bCs w:val="1"/>
          <w:color w:val="auto"/>
        </w:rPr>
        <w:t xml:space="preserve">Premium Leads </w:t>
      </w:r>
      <w:r>
        <w:rPr>
          <w:rFonts w:ascii="Arial" w:cs="Arial" w:eastAsia="Arial" w:hAnsi="Arial"/>
          <w:sz w:val="16"/>
          <w:szCs w:val="16"/>
          <w:color w:val="auto"/>
        </w:rPr>
        <w:t>allow customers to upgrade property listings to premium status and syndicate them to dozens of pay-to-list websites, including featured</w:t>
      </w:r>
      <w:r>
        <w:rPr>
          <w:rFonts w:ascii="Arial" w:cs="Arial" w:eastAsia="Arial" w:hAnsi="Arial"/>
          <w:sz w:val="16"/>
          <w:szCs w:val="16"/>
          <w:b w:val="1"/>
          <w:bCs w:val="1"/>
          <w:color w:val="auto"/>
        </w:rPr>
        <w:t xml:space="preserve"> </w:t>
      </w:r>
      <w:r>
        <w:rPr>
          <w:rFonts w:ascii="Arial" w:cs="Arial" w:eastAsia="Arial" w:hAnsi="Arial"/>
          <w:sz w:val="16"/>
          <w:szCs w:val="16"/>
          <w:color w:val="auto"/>
        </w:rPr>
        <w:t>placement on many sites. Customers also receive advance call tracking and pay only for the verified leads they receive through the Value+ service.</w:t>
      </w:r>
    </w:p>
    <w:p>
      <w:pPr>
        <w:spacing w:after="0" w:line="137" w:lineRule="exact"/>
        <w:rPr>
          <w:sz w:val="20"/>
          <w:szCs w:val="20"/>
          <w:color w:val="auto"/>
        </w:rPr>
      </w:pPr>
    </w:p>
    <w:p>
      <w:pPr>
        <w:jc w:val="both"/>
        <w:ind w:firstLine="597"/>
        <w:spacing w:after="0" w:line="337" w:lineRule="auto"/>
        <w:rPr>
          <w:sz w:val="20"/>
          <w:szCs w:val="20"/>
          <w:color w:val="auto"/>
        </w:rPr>
      </w:pPr>
      <w:r>
        <w:rPr>
          <w:rFonts w:ascii="Arial" w:cs="Arial" w:eastAsia="Arial" w:hAnsi="Arial"/>
          <w:sz w:val="15"/>
          <w:szCs w:val="15"/>
          <w:color w:val="auto"/>
        </w:rPr>
        <w:t xml:space="preserve">With </w:t>
      </w:r>
      <w:r>
        <w:rPr>
          <w:rFonts w:ascii="Arial" w:cs="Arial" w:eastAsia="Arial" w:hAnsi="Arial"/>
          <w:sz w:val="15"/>
          <w:szCs w:val="15"/>
          <w:b w:val="1"/>
          <w:bCs w:val="1"/>
          <w:color w:val="auto"/>
        </w:rPr>
        <w:t>Tenant Debt Collections</w:t>
      </w:r>
      <w:r>
        <w:rPr>
          <w:rFonts w:ascii="Arial" w:cs="Arial" w:eastAsia="Arial" w:hAnsi="Arial"/>
          <w:sz w:val="15"/>
          <w:szCs w:val="15"/>
          <w:color w:val="auto"/>
        </w:rPr>
        <w:t>, our customers can electronically send past due tenant debt from their APM database to a national fully-licensed third party debt collection agency to attempt to recover uncollected revenue. This Value+ service also includes reporting unpaid balances to three major credit bureaus.</w:t>
      </w:r>
    </w:p>
    <w:p>
      <w:pPr>
        <w:spacing w:after="0" w:line="113" w:lineRule="exact"/>
        <w:rPr>
          <w:sz w:val="20"/>
          <w:szCs w:val="20"/>
          <w:color w:val="auto"/>
        </w:rPr>
      </w:pPr>
    </w:p>
    <w:p>
      <w:pPr>
        <w:jc w:val="both"/>
        <w:ind w:firstLine="597"/>
        <w:spacing w:after="0" w:line="269" w:lineRule="auto"/>
        <w:rPr>
          <w:sz w:val="20"/>
          <w:szCs w:val="20"/>
          <w:color w:val="auto"/>
        </w:rPr>
      </w:pPr>
      <w:r>
        <w:rPr>
          <w:rFonts w:ascii="Arial" w:cs="Arial" w:eastAsia="Arial" w:hAnsi="Arial"/>
          <w:sz w:val="17"/>
          <w:szCs w:val="17"/>
          <w:color w:val="auto"/>
        </w:rPr>
        <w:t xml:space="preserve">With </w:t>
      </w:r>
      <w:r>
        <w:rPr>
          <w:rFonts w:ascii="Arial" w:cs="Arial" w:eastAsia="Arial" w:hAnsi="Arial"/>
          <w:sz w:val="17"/>
          <w:szCs w:val="17"/>
          <w:b w:val="1"/>
          <w:bCs w:val="1"/>
          <w:color w:val="auto"/>
        </w:rPr>
        <w:t>Utility Management</w:t>
      </w:r>
      <w:r>
        <w:rPr>
          <w:rFonts w:ascii="Arial" w:cs="Arial" w:eastAsia="Arial" w:hAnsi="Arial"/>
          <w:sz w:val="17"/>
          <w:szCs w:val="17"/>
          <w:color w:val="auto"/>
        </w:rPr>
        <w:t>, our customers are able to automate utility bill processing and resident billing, and manage utility-related operating and capital expenditures.</w:t>
      </w:r>
    </w:p>
    <w:p>
      <w:pPr>
        <w:spacing w:after="0" w:line="159" w:lineRule="exact"/>
        <w:rPr>
          <w:sz w:val="20"/>
          <w:szCs w:val="20"/>
          <w:color w:val="auto"/>
        </w:rPr>
      </w:pPr>
    </w:p>
    <w:p>
      <w:pPr>
        <w:jc w:val="both"/>
        <w:ind w:firstLine="597"/>
        <w:spacing w:after="0" w:line="300"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AI Leasing Assistant</w:t>
      </w:r>
      <w:r>
        <w:rPr>
          <w:rFonts w:ascii="Arial" w:cs="Arial" w:eastAsia="Arial" w:hAnsi="Arial"/>
          <w:sz w:val="16"/>
          <w:szCs w:val="16"/>
          <w:color w:val="auto"/>
        </w:rPr>
        <w:t>, Lisa, works 24/7 as part of the leasing team to provide tailored text message or email responses to prospective renters in real-time, and leverages integrated reporting to track leasing performance with accurate data to drive increased occupancy rates and operational efficiency.</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AppFolio Investment Management - Core Solution</w:t>
      </w:r>
    </w:p>
    <w:p>
      <w:pPr>
        <w:spacing w:after="0" w:line="327"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AppFolio Investment Management is a cloud-based software solution for real estate investment managers of various sizes providing innovative tools and services designed to streamline their real estate investment management businesses. Core functionality addresses key operational issues, including management of investor relationships by increasing transparency and streamlining communications with key stakeholders.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 in Real Estate</w:t>
      </w:r>
    </w:p>
    <w:p>
      <w:pPr>
        <w:spacing w:after="0" w:line="169"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We experience limited seasonality in our Value+ services revenue, primarily with respect to certain leasing-related services we provide to our property management customers, including our tenant screening services and new tenant applications which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36"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6"/>
          <w:szCs w:val="16"/>
          <w:color w:val="auto"/>
        </w:rPr>
        <w:t>impact electronic payment services revenue. Our property management customers historically have processed fewer applications for new tenants during the fourth quarter. As a result of this seasonal decline in activity, we have typically experienced overall slower sequential revenue growth or a sequential decline in revenue in the fourth quarter of each of our most recent fiscal years. We expect this seasonality to continue in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Market</w:t>
      </w:r>
    </w:p>
    <w:p>
      <w:pPr>
        <w:spacing w:after="0" w:line="206" w:lineRule="exact"/>
        <w:rPr>
          <w:sz w:val="20"/>
          <w:szCs w:val="20"/>
          <w:color w:val="auto"/>
        </w:rPr>
      </w:pPr>
    </w:p>
    <w:p>
      <w:pPr>
        <w:jc w:val="both"/>
        <w:ind w:firstLine="597"/>
        <w:spacing w:after="0" w:line="268" w:lineRule="auto"/>
        <w:rPr>
          <w:sz w:val="20"/>
          <w:szCs w:val="20"/>
          <w:color w:val="auto"/>
        </w:rPr>
      </w:pPr>
      <w:r>
        <w:rPr>
          <w:rFonts w:ascii="Arial" w:cs="Arial" w:eastAsia="Arial" w:hAnsi="Arial"/>
          <w:sz w:val="16"/>
          <w:szCs w:val="16"/>
          <w:color w:val="auto"/>
        </w:rPr>
        <w:t>We entered the legal market with the acquisition of MyCase in 2012. In 2013, we introduced website design and hosting services, our first Value+ service for our legal market customers, designed to assist small law firms with the marketing of their practices, electronic storage of case information and communications. In 2016, we launched electronic payments services for the legal market, which streamlined the billing and receivables process through MyCase. Similar to our offerings in the real estate market, our software solutions and Value+ services in the legal market are subject to strict legal, regulatory and other requirements. Please refer to Item 1A., "Risk Factors", for a more complete discussion of these and other risk-related issues.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Legal Solutions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MyCase - Core Solution</w:t>
      </w:r>
    </w:p>
    <w:p>
      <w:pPr>
        <w:spacing w:after="0" w:line="202"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MyCase is a cloud-based software solution for the legal market that provides small law firms innovative tools and services designed to streamline their legal practice and manage their caseload. MyCase core functionality addresses key operational issues, including managing calendars, contacts and documents, time tracking, billing and collections, communicating with clients and securely sharing sensitive and privileged materials. MyCase is continuously evolving to help our customers more effectively market, manage and grow their firms.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MyCase - Value+ Services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addition to our core solution for MyCase, we offer the following optional Value+ services to our legal customers.</w:t>
      </w:r>
    </w:p>
    <w:p>
      <w:pPr>
        <w:spacing w:after="0" w:line="198" w:lineRule="exact"/>
        <w:rPr>
          <w:sz w:val="20"/>
          <w:szCs w:val="20"/>
          <w:color w:val="auto"/>
        </w:rPr>
      </w:pPr>
    </w:p>
    <w:p>
      <w:pPr>
        <w:jc w:val="both"/>
        <w:ind w:firstLine="597"/>
        <w:spacing w:after="0" w:line="256" w:lineRule="auto"/>
        <w:rPr>
          <w:sz w:val="20"/>
          <w:szCs w:val="20"/>
          <w:color w:val="auto"/>
        </w:rPr>
      </w:pPr>
      <w:r>
        <w:rPr>
          <w:rFonts w:ascii="Arial" w:cs="Arial" w:eastAsia="Arial" w:hAnsi="Arial"/>
          <w:sz w:val="17"/>
          <w:szCs w:val="17"/>
          <w:color w:val="auto"/>
        </w:rPr>
        <w:t xml:space="preserve">We deliver and maintain professionally designed and architected </w:t>
      </w:r>
      <w:r>
        <w:rPr>
          <w:rFonts w:ascii="Arial" w:cs="Arial" w:eastAsia="Arial" w:hAnsi="Arial"/>
          <w:sz w:val="17"/>
          <w:szCs w:val="17"/>
          <w:b w:val="1"/>
          <w:bCs w:val="1"/>
          <w:color w:val="auto"/>
        </w:rPr>
        <w:t>Websites</w:t>
      </w:r>
      <w:r>
        <w:rPr>
          <w:rFonts w:ascii="Arial" w:cs="Arial" w:eastAsia="Arial" w:hAnsi="Arial"/>
          <w:sz w:val="17"/>
          <w:szCs w:val="17"/>
          <w:color w:val="auto"/>
        </w:rPr>
        <w:t xml:space="preserve"> that practitioners and their clients can utilize to access case and matter information, communicate internally and externally, and manage bills. Our websites are fully-integrated with the MyCase platform and designed to improve the effectiveness of law firm marketing, streamline daily business tasks, and increase mobile presence.</w:t>
      </w:r>
    </w:p>
    <w:p>
      <w:pPr>
        <w:spacing w:after="0" w:line="170" w:lineRule="exact"/>
        <w:rPr>
          <w:sz w:val="20"/>
          <w:szCs w:val="20"/>
          <w:color w:val="auto"/>
        </w:rPr>
      </w:pPr>
    </w:p>
    <w:p>
      <w:pPr>
        <w:jc w:val="both"/>
        <w:ind w:firstLine="597"/>
        <w:spacing w:after="0" w:line="269"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Electronic Payment Services</w:t>
      </w:r>
      <w:r>
        <w:rPr>
          <w:rFonts w:ascii="Arial" w:cs="Arial" w:eastAsia="Arial" w:hAnsi="Arial"/>
          <w:sz w:val="17"/>
          <w:szCs w:val="17"/>
          <w:color w:val="auto"/>
        </w:rPr>
        <w:t xml:space="preserve"> allow practitioners to streamline billing and receivables online. Our customers can quickly and conveniently bill their clients and receive payments electronically through MyCase's secure online portal.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269" w:lineRule="exact"/>
        <w:rPr>
          <w:sz w:val="20"/>
          <w:szCs w:val="20"/>
          <w:color w:val="auto"/>
        </w:rPr>
      </w:pPr>
    </w:p>
    <w:p>
      <w:pPr>
        <w:jc w:val="both"/>
        <w:ind w:firstLine="398"/>
        <w:spacing w:after="0" w:line="264" w:lineRule="auto"/>
        <w:rPr>
          <w:sz w:val="20"/>
          <w:szCs w:val="20"/>
          <w:color w:val="auto"/>
        </w:rPr>
      </w:pPr>
      <w:r>
        <w:rPr>
          <w:rFonts w:ascii="Arial" w:cs="Arial" w:eastAsia="Arial" w:hAnsi="Arial"/>
          <w:sz w:val="17"/>
          <w:szCs w:val="17"/>
          <w:color w:val="auto"/>
        </w:rPr>
        <w:t>We define our customer base as the number of customers paying for subscriptions to our core solutions. No individual customer represented 10% or more of our total revenue for fiscal 2019.</w:t>
      </w:r>
    </w:p>
    <w:p>
      <w:pPr>
        <w:spacing w:after="0" w:line="130" w:lineRule="exact"/>
        <w:rPr>
          <w:sz w:val="20"/>
          <w:szCs w:val="20"/>
          <w:color w:val="auto"/>
        </w:rPr>
      </w:pPr>
    </w:p>
    <w:p>
      <w:pPr>
        <w:jc w:val="both"/>
        <w:ind w:firstLine="597"/>
        <w:spacing w:after="0" w:line="331" w:lineRule="auto"/>
        <w:rPr>
          <w:sz w:val="20"/>
          <w:szCs w:val="20"/>
          <w:color w:val="auto"/>
        </w:rPr>
      </w:pPr>
      <w:r>
        <w:rPr>
          <w:rFonts w:ascii="Arial" w:cs="Arial" w:eastAsia="Arial" w:hAnsi="Arial"/>
          <w:sz w:val="15"/>
          <w:szCs w:val="15"/>
          <w:color w:val="auto"/>
        </w:rPr>
        <w:t>Over 90% of our annual revenue is derived from the software solutions, services and data analytics we offer to the real estate market. The significant majority of our customers in the real estate market use our property management solutions. As of December 31, 2019, we had 14,385 property management customers.</w:t>
      </w:r>
    </w:p>
    <w:p>
      <w:pPr>
        <w:spacing w:after="0" w:line="24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2019, we also had 10,971 small law firm customers that directly and indirectly account for less than 10% of our annual revenue.</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06"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6"/>
          <w:szCs w:val="16"/>
          <w:color w:val="auto"/>
        </w:rPr>
        <w:t>We leverage a modern and scalable marketing approach along with marketing automation technology to attract and engage prospects, build brand recognition and our reputation as an industry leader. We participate in and drive industry thought leadership and education with both online and offline activities, and we use a variety of inbound and outbound marketing techniques to promote our business software solutions, services and data analytics.</w:t>
      </w:r>
    </w:p>
    <w:p>
      <w:pPr>
        <w:spacing w:after="0" w:line="159"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Our real estate business development team acts in partnership with our marketing and sales teams to reach potential customers and generate sales opportunities and speed the time from evaluation to close. Our real estate sales representatives assist prospective customers as they evaluate our software solutions. Our interactive sales methodology allows our sales team to quickly build relationships, assess our customers’ business challenges, and demonstrate the benefits of our core functionality and Value+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75" w:right="2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17"/>
          <w:szCs w:val="17"/>
          <w:color w:val="auto"/>
        </w:rPr>
        <w:t>services. Throughout the customer relationship, we continue to promote adoption and usage of our Value+ services through a variety of channels, including email, webinars, training, sales outreach and from within our software solution via in-app messaging. As we serve larger and more complex real estate customers, we have invested in additional headcount to manage and grow these customer relationships over time.</w:t>
      </w:r>
    </w:p>
    <w:p>
      <w:pPr>
        <w:spacing w:after="0" w:line="175"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Prospective law firm customers either sign up for a free trial on a self-service basis or speak to our business development representatives or legal sales representatives as they evaluate our software solutions.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Service</w:t>
      </w:r>
    </w:p>
    <w:p>
      <w:pPr>
        <w:spacing w:after="0" w:line="206" w:lineRule="exact"/>
        <w:rPr>
          <w:sz w:val="20"/>
          <w:szCs w:val="20"/>
          <w:color w:val="auto"/>
        </w:rPr>
      </w:pPr>
    </w:p>
    <w:p>
      <w:pPr>
        <w:jc w:val="both"/>
        <w:ind w:firstLine="597"/>
        <w:spacing w:after="0" w:line="304" w:lineRule="auto"/>
        <w:rPr>
          <w:sz w:val="20"/>
          <w:szCs w:val="20"/>
          <w:color w:val="auto"/>
        </w:rPr>
      </w:pPr>
      <w:r>
        <w:rPr>
          <w:rFonts w:ascii="Arial" w:cs="Arial" w:eastAsia="Arial" w:hAnsi="Arial"/>
          <w:sz w:val="15"/>
          <w:szCs w:val="15"/>
          <w:color w:val="auto"/>
        </w:rPr>
        <w:t>Our success is based on long-term customer retention, not a one-time sale, and we partner with our customers throughout the life of our relationship. We design our software solutions to be simple and easy to implement, use and manage, and offer unlimited training and support at no extra charge. We pride ourselves on being customer-centric and strive to educate our customers on the core functionality and Value+ services they can use to improve business efficiency and productivity.</w:t>
      </w:r>
    </w:p>
    <w:p>
      <w:pPr>
        <w:spacing w:after="0" w:line="140" w:lineRule="exact"/>
        <w:rPr>
          <w:sz w:val="20"/>
          <w:szCs w:val="20"/>
          <w:color w:val="auto"/>
        </w:rPr>
      </w:pPr>
    </w:p>
    <w:p>
      <w:pPr>
        <w:jc w:val="both"/>
        <w:ind w:firstLine="597"/>
        <w:spacing w:after="0" w:line="268" w:lineRule="auto"/>
        <w:rPr>
          <w:sz w:val="20"/>
          <w:szCs w:val="20"/>
          <w:color w:val="auto"/>
        </w:rPr>
      </w:pPr>
      <w:r>
        <w:rPr>
          <w:rFonts w:ascii="Arial" w:cs="Arial" w:eastAsia="Arial" w:hAnsi="Arial"/>
          <w:sz w:val="16"/>
          <w:szCs w:val="16"/>
          <w:color w:val="auto"/>
        </w:rPr>
        <w:t>Our onboarding team strives to ensure that customers are prepared to run their businesses on our platform and provide a seamless onboarding experience. As a result of our assistance with data migration matters, we are able to provide valuable insights into data integrity and work with our customers to help resolve any issues in their underlying business processes. We also assist our customers with the configuration of our platform for particular property types or cases, as appropriate. We provide a dedicated team throughout the onboarding process and beyond, and we share insights on best practices in both of our targeted verticals. In addition, certain team members are focused on guiding our customers through the adoption and utilization of our Value+ services.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and Operations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Data Security and Availability</w:t>
      </w:r>
    </w:p>
    <w:p>
      <w:pPr>
        <w:spacing w:after="0" w:line="202"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We use Ruby-on-Rails as our primary web application framework . We take great care to keep these application frameworks and the rest of our software stack current in order to mitigate known security vulnerabilities. Our software solutions run on a combination of both public and private cloud infrastructure across five distinct geographic U.S. regions, consisting of both our own servers and Amazon’s Elastic Compute Cloud platform. Our servers are located in state-of-the-art data centers operated by third-party service providers, including Amazon Web Services. Physical security at these facilities includes a variety of access controls, including electronic keycards, pin codes, biometric hand scans and mantraps, and policing by high resolution, motion sensitive video surveillance. These facilities provide redundant power and a system of heating, ventilating and air conditioning, as well as fire-threat detection and suppression. In order to ensure that no data is ever lost and that customer requests can be satisfied, production assets are securely backed up to external environments.</w:t>
      </w:r>
    </w:p>
    <w:p>
      <w:pPr>
        <w:spacing w:after="0" w:line="170"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Our operators monitor our systems to ensure high performance and availability and our architecture allows our operators significant flexibility in achieving these goals. In particular, our operators have fine-grained control over the specific server and region on which each customer's data resides, and can easily move customer data between five geographic regions in order to avoid service disruption or to increase service performance.</w:t>
      </w:r>
    </w:p>
    <w:p>
      <w:pPr>
        <w:spacing w:after="0" w:line="175" w:lineRule="exact"/>
        <w:rPr>
          <w:sz w:val="20"/>
          <w:szCs w:val="20"/>
          <w:color w:val="auto"/>
        </w:rPr>
      </w:pPr>
    </w:p>
    <w:p>
      <w:pPr>
        <w:jc w:val="both"/>
        <w:ind w:firstLine="597"/>
        <w:spacing w:after="0" w:line="287" w:lineRule="auto"/>
        <w:rPr>
          <w:sz w:val="20"/>
          <w:szCs w:val="20"/>
          <w:color w:val="auto"/>
        </w:rPr>
      </w:pPr>
      <w:r>
        <w:rPr>
          <w:rFonts w:ascii="Arial" w:cs="Arial" w:eastAsia="Arial" w:hAnsi="Arial"/>
          <w:sz w:val="15"/>
          <w:szCs w:val="15"/>
          <w:color w:val="auto"/>
        </w:rPr>
        <w:t>Sensitive customer data is encrypted during transmission and before being written to disk, including passwords, Social Security, and tax identification numbers. We regularly evaluate our Internet security, including through third-party penetration testing. In addition, our software solutions allow our customers to define roles that provide different levels of access to users, allowing them to view and modify specific items depending on their role. Supervisors can distribute work to on-site staff in a secure and controlled environment, while leadership retains visibility across the entire system. Our customers may also elect to further secure their account through two-factor authentication. Notwithstanding the foregoing, there can be no assurance that the significant data security measures we employ will prevent malicious or unauthorized access to our systems and information. Please refer to Item 1A., "Risk Factors", for a more complete discussion of these and other risk-related issues.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Product Development</w:t>
      </w:r>
    </w:p>
    <w:p>
      <w:pPr>
        <w:spacing w:after="0" w:line="206"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We entrust product design, development and testing to our team of engineers, who coordinate closely with our product management team to launch core functionality, products and Value+ services. Our engineers are organized in small teams to foster agility and continued innovation in responding to the evolving needs of our customers. We leverage a collaborative, team-based and test-driven approach to engineering in order to release new functionality frequently. We believe that it is easier for our customers to adjust to continuous updates to our software solutions, which incrementally change and improve their user experience, than it is to adapt to infrequent, but more drastic upgrades.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5" w:right="239" w:bottom="1440" w:gutter="0" w:footer="0" w:header="0"/>
        </w:sectPr>
      </w:pPr>
    </w:p>
    <w:bookmarkStart w:id="9" w:name="page10"/>
    <w:bookmarkEnd w:id="9"/>
    <w:p>
      <w:pPr>
        <w:jc w:val="both"/>
        <w:ind w:firstLine="597"/>
        <w:spacing w:after="0" w:line="264" w:lineRule="auto"/>
        <w:rPr>
          <w:sz w:val="20"/>
          <w:szCs w:val="20"/>
          <w:color w:val="auto"/>
        </w:rPr>
      </w:pPr>
      <w:r>
        <w:rPr>
          <w:rFonts w:ascii="Arial" w:cs="Arial" w:eastAsia="Arial" w:hAnsi="Arial"/>
          <w:sz w:val="16"/>
          <w:szCs w:val="16"/>
          <w:color w:val="auto"/>
        </w:rPr>
        <w:t>We rely heavily on input from our customers and prospective customers in developing products that meet their needs and in anticipating developments in their respective industries. Our product management team leads our research and market validation efforts and provides guidance to management and our engineering team based on our collective domain expertise and in-depth knowledge and understanding of our customers. As a result, our product management team engages regularly with customers, partners, and other industry participants, as well as our customer service and sales and marketing organizations. Our product management team manages our development projects generally and serves to align separate functions within the company with a single strategic vision. Nevertheless, the software industry in general, and our targeted markets in particular, are characterized by rapid technological advances, changing industry standards, evolving customer requirements and intense competition, and we cannot be certain that our research and product development strategies will be successful in each and every market we serve. Please refer to Item 1A., "Risk Factors", for a more complete discussion of these and other risk-related issues.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Culture and Employees</w:t>
      </w:r>
    </w:p>
    <w:p>
      <w:pPr>
        <w:spacing w:after="0" w:line="269"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We believe our people are at the heart of our success and our customers’ success, and we have worked hard not only to attract and hire quality individuals but also to nurture and develop our valuable human resources. We believe in the strong team we have cultivated, particularly in our deep bench of leaders who continue to execute our strategic plans and encourage innovation across the organization. We further believe that our company culture, driven by a dedication to the following six core values, provides us with a significant competitive advantage:</w:t>
      </w:r>
    </w:p>
    <w:p>
      <w:pPr>
        <w:spacing w:after="0" w:line="81" w:lineRule="exact"/>
        <w:rPr>
          <w:sz w:val="20"/>
          <w:szCs w:val="20"/>
          <w:color w:val="auto"/>
        </w:rPr>
      </w:pPr>
    </w:p>
    <w:p>
      <w:pPr>
        <w:ind w:left="820" w:hanging="447"/>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Simpler Is Better</w:t>
      </w:r>
    </w:p>
    <w:p>
      <w:pPr>
        <w:spacing w:after="0" w:line="102" w:lineRule="exact"/>
        <w:rPr>
          <w:rFonts w:ascii="Arial" w:cs="Arial" w:eastAsia="Arial" w:hAnsi="Arial"/>
          <w:sz w:val="17"/>
          <w:szCs w:val="17"/>
          <w:color w:val="auto"/>
        </w:rPr>
      </w:pPr>
    </w:p>
    <w:p>
      <w:pPr>
        <w:ind w:left="800" w:hanging="427"/>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Great, Innovative Products Are Key To A Great Business</w:t>
      </w:r>
    </w:p>
    <w:p>
      <w:pPr>
        <w:spacing w:after="0" w:line="102" w:lineRule="exact"/>
        <w:rPr>
          <w:rFonts w:ascii="Arial" w:cs="Arial" w:eastAsia="Arial" w:hAnsi="Arial"/>
          <w:sz w:val="17"/>
          <w:szCs w:val="17"/>
          <w:color w:val="auto"/>
        </w:rPr>
      </w:pPr>
    </w:p>
    <w:p>
      <w:pPr>
        <w:ind w:left="800" w:hanging="427"/>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Great People Make A Great Company</w:t>
      </w:r>
    </w:p>
    <w:p>
      <w:pPr>
        <w:spacing w:after="0" w:line="102" w:lineRule="exact"/>
        <w:rPr>
          <w:rFonts w:ascii="Arial" w:cs="Arial" w:eastAsia="Arial" w:hAnsi="Arial"/>
          <w:sz w:val="17"/>
          <w:szCs w:val="17"/>
          <w:color w:val="auto"/>
        </w:rPr>
      </w:pPr>
    </w:p>
    <w:p>
      <w:pPr>
        <w:ind w:left="800" w:hanging="427"/>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Listening To Customers Is In Our DNA</w:t>
      </w:r>
    </w:p>
    <w:p>
      <w:pPr>
        <w:spacing w:after="0" w:line="102" w:lineRule="exact"/>
        <w:rPr>
          <w:rFonts w:ascii="Arial" w:cs="Arial" w:eastAsia="Arial" w:hAnsi="Arial"/>
          <w:sz w:val="17"/>
          <w:szCs w:val="17"/>
          <w:color w:val="auto"/>
        </w:rPr>
      </w:pPr>
    </w:p>
    <w:p>
      <w:pPr>
        <w:ind w:left="800" w:hanging="427"/>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Small, Focused Teams Keep Us Agile</w:t>
      </w:r>
    </w:p>
    <w:p>
      <w:pPr>
        <w:spacing w:after="0" w:line="102" w:lineRule="exact"/>
        <w:rPr>
          <w:rFonts w:ascii="Arial" w:cs="Arial" w:eastAsia="Arial" w:hAnsi="Arial"/>
          <w:sz w:val="17"/>
          <w:szCs w:val="17"/>
          <w:color w:val="auto"/>
        </w:rPr>
      </w:pPr>
    </w:p>
    <w:p>
      <w:pPr>
        <w:ind w:left="800" w:hanging="427"/>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Do The Right Thing Because It’s Good For Business</w:t>
      </w:r>
    </w:p>
    <w:p>
      <w:pPr>
        <w:spacing w:after="0" w:line="202"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By recruiting people who are inspired by these values, focusing on building an outstanding culture and offering opportunities for professional and personal growth, AppFolio has been recognized as a Best Place to Work by Glassdoor 2020 and honored by Great Place to Work as Best Workplace for Women and Parents, Best Place to Work in Texas, and Best Small &amp; Medium Workplace for 2019.</w:t>
      </w:r>
    </w:p>
    <w:p>
      <w:pPr>
        <w:spacing w:after="0" w:line="175"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At December 31, 2019, we had 1,240 employees, and we consider our relationship with them to be very good. We also hire temporary employees and consultants, and we feel similarly about our relationships with them. None of our employees is represented by a labor union or covered by a collective bargaining agreement. We must continue to attract and retain highly qualified and motivated personnel across our organization to execute our growth plan and achieve our strategic objectives. If we fail to do so, our business and operating results may suffer. Please refer to Item 1A., "Risk Factors", for a more complete discussion of these and other risk-related issues.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231" w:lineRule="exact"/>
        <w:rPr>
          <w:sz w:val="20"/>
          <w:szCs w:val="20"/>
          <w:color w:val="auto"/>
        </w:rPr>
      </w:pPr>
    </w:p>
    <w:p>
      <w:pPr>
        <w:jc w:val="both"/>
        <w:ind w:firstLine="597"/>
        <w:spacing w:after="0" w:line="248" w:lineRule="auto"/>
        <w:rPr>
          <w:sz w:val="20"/>
          <w:szCs w:val="20"/>
          <w:color w:val="auto"/>
        </w:rPr>
      </w:pPr>
      <w:r>
        <w:rPr>
          <w:rFonts w:ascii="Arial" w:cs="Arial" w:eastAsia="Arial" w:hAnsi="Arial"/>
          <w:sz w:val="17"/>
          <w:szCs w:val="17"/>
          <w:color w:val="auto"/>
        </w:rPr>
        <w:t>We have managed, and plan to continue to manage, our business towards the achievement of long-term growth that we believe will positively impact long-term stockholder value, rather than the realization of short-term financial or business metrics, or short-term stockholder value. Our growth strategy is to provide increasingly valuable business management software solutions, services and analytics to our customers and their key stakeholders. The technology surrounding business management software solutions, services and analytics are constantly evolving, and our growth strategy is thus subject to a variety of risks and uncertainties. Please refer to Item 1A., "Risk Factors", for a more complete discussion of these and other risk-related issues. Notwithstanding those risks and uncertainties, key components of our growth strategy include:</w:t>
      </w:r>
    </w:p>
    <w:p>
      <w:pPr>
        <w:spacing w:after="0" w:line="305" w:lineRule="exact"/>
        <w:rPr>
          <w:sz w:val="20"/>
          <w:szCs w:val="20"/>
          <w:color w:val="auto"/>
        </w:rPr>
      </w:pPr>
    </w:p>
    <w:p>
      <w:pPr>
        <w:jc w:val="both"/>
        <w:ind w:left="600" w:firstLine="597"/>
        <w:spacing w:after="0" w:line="249" w:lineRule="auto"/>
        <w:rPr>
          <w:sz w:val="20"/>
          <w:szCs w:val="20"/>
          <w:color w:val="auto"/>
        </w:rPr>
      </w:pPr>
      <w:r>
        <w:rPr>
          <w:rFonts w:ascii="Arial" w:cs="Arial" w:eastAsia="Arial" w:hAnsi="Arial"/>
          <w:sz w:val="17"/>
          <w:szCs w:val="17"/>
          <w:b w:val="1"/>
          <w:bCs w:val="1"/>
          <w:i w:val="1"/>
          <w:iCs w:val="1"/>
          <w:color w:val="auto"/>
        </w:rPr>
        <w:t xml:space="preserve">Maintain Product and Technology Leadership. </w:t>
      </w:r>
      <w:r>
        <w:rPr>
          <w:rFonts w:ascii="Arial" w:cs="Arial" w:eastAsia="Arial" w:hAnsi="Arial"/>
          <w:sz w:val="17"/>
          <w:szCs w:val="17"/>
          <w:color w:val="auto"/>
        </w:rPr>
        <w:t>We have made, and will continue to make, significant investments in research and new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to expand our software solutions, services and data analytics capabilities as we deem appropriate in our target markets. We intend to continue using our market validation techniques and close relationships with our customers as a key source of feedback to inform and direct our product roadmap. We may also choose to acquire rather than build certain technology solutions, or to partner with third parties to deliver key functionality to serve our existing or prospective customers.</w:t>
      </w:r>
    </w:p>
    <w:p>
      <w:pPr>
        <w:spacing w:after="0" w:line="300" w:lineRule="exact"/>
        <w:rPr>
          <w:sz w:val="20"/>
          <w:szCs w:val="20"/>
          <w:color w:val="auto"/>
        </w:rPr>
      </w:pPr>
    </w:p>
    <w:p>
      <w:pPr>
        <w:jc w:val="both"/>
        <w:ind w:left="600" w:firstLine="597"/>
        <w:spacing w:after="0" w:line="269" w:lineRule="auto"/>
        <w:rPr>
          <w:sz w:val="20"/>
          <w:szCs w:val="20"/>
          <w:color w:val="auto"/>
        </w:rPr>
      </w:pPr>
      <w:r>
        <w:rPr>
          <w:rFonts w:ascii="Arial" w:cs="Arial" w:eastAsia="Arial" w:hAnsi="Arial"/>
          <w:sz w:val="17"/>
          <w:szCs w:val="17"/>
          <w:b w:val="1"/>
          <w:bCs w:val="1"/>
          <w:i w:val="1"/>
          <w:iCs w:val="1"/>
          <w:color w:val="auto"/>
        </w:rPr>
        <w:t>Keep Our Existing Customers Happy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customer success is essential to our long-term success. We place significant emphasis on close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with our customers and on customer service to differentiate our software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75" w:right="239" w:bottom="1440" w:gutter="0" w:footer="0" w:header="0"/>
        </w:sectPr>
      </w:pPr>
    </w:p>
    <w:bookmarkStart w:id="10" w:name="page11"/>
    <w:bookmarkEnd w:id="10"/>
    <w:p>
      <w:pPr>
        <w:jc w:val="both"/>
        <w:ind w:left="600"/>
        <w:spacing w:after="0" w:line="295" w:lineRule="auto"/>
        <w:rPr>
          <w:sz w:val="20"/>
          <w:szCs w:val="20"/>
          <w:color w:val="auto"/>
        </w:rPr>
      </w:pPr>
      <w:r>
        <w:rPr>
          <w:rFonts w:ascii="Arial" w:cs="Arial" w:eastAsia="Arial" w:hAnsi="Arial"/>
          <w:sz w:val="16"/>
          <w:szCs w:val="16"/>
          <w:color w:val="auto"/>
        </w:rPr>
        <w:t>solutions from competing products. This emphasis will continue to be a critical component of our business strategy in the future. We believe that maintaining our focus on our customers will drive product innovation, leading to greater adoption and utilization of our software solutions over time.</w:t>
      </w:r>
    </w:p>
    <w:p>
      <w:pPr>
        <w:spacing w:after="0" w:line="265" w:lineRule="exact"/>
        <w:rPr>
          <w:sz w:val="20"/>
          <w:szCs w:val="20"/>
          <w:color w:val="auto"/>
        </w:rPr>
      </w:pPr>
    </w:p>
    <w:p>
      <w:pPr>
        <w:jc w:val="both"/>
        <w:ind w:left="600" w:firstLine="597"/>
        <w:spacing w:after="0" w:line="280" w:lineRule="auto"/>
        <w:rPr>
          <w:sz w:val="20"/>
          <w:szCs w:val="20"/>
          <w:color w:val="auto"/>
        </w:rPr>
      </w:pPr>
      <w:r>
        <w:rPr>
          <w:rFonts w:ascii="Arial" w:cs="Arial" w:eastAsia="Arial" w:hAnsi="Arial"/>
          <w:sz w:val="16"/>
          <w:szCs w:val="16"/>
          <w:b w:val="1"/>
          <w:bCs w:val="1"/>
          <w:i w:val="1"/>
          <w:iCs w:val="1"/>
          <w:color w:val="auto"/>
        </w:rPr>
        <w:t>Expand Adoption and Use By Existing Customers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made, and will continue to make, significant investments that expand our core functionality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and/or add new Value+ services to meet the current and evolving needs and requirements of our customers and their key stakeholders. We expect our customers will continue to use our technology to manage their businesses and increasingly adopt and use additional Value+ services.</w:t>
      </w:r>
    </w:p>
    <w:p>
      <w:pPr>
        <w:spacing w:after="0" w:line="276" w:lineRule="exact"/>
        <w:rPr>
          <w:sz w:val="20"/>
          <w:szCs w:val="20"/>
          <w:color w:val="auto"/>
        </w:rPr>
      </w:pPr>
    </w:p>
    <w:p>
      <w:pPr>
        <w:jc w:val="both"/>
        <w:ind w:left="600" w:firstLine="597"/>
        <w:spacing w:after="0" w:line="269" w:lineRule="auto"/>
        <w:rPr>
          <w:sz w:val="20"/>
          <w:szCs w:val="20"/>
          <w:color w:val="auto"/>
        </w:rPr>
      </w:pPr>
      <w:r>
        <w:rPr>
          <w:rFonts w:ascii="Arial" w:cs="Arial" w:eastAsia="Arial" w:hAnsi="Arial"/>
          <w:sz w:val="17"/>
          <w:szCs w:val="17"/>
          <w:b w:val="1"/>
          <w:bCs w:val="1"/>
          <w:i w:val="1"/>
          <w:iCs w:val="1"/>
          <w:color w:val="auto"/>
        </w:rPr>
        <w:t>Acquire New Customers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expect to grow our customer base with our sales and marketing programs, including evolving industry thought leadership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education, and the referral power of satisfied customers.</w:t>
      </w:r>
    </w:p>
    <w:p>
      <w:pPr>
        <w:spacing w:after="0" w:line="283" w:lineRule="exact"/>
        <w:rPr>
          <w:sz w:val="20"/>
          <w:szCs w:val="20"/>
          <w:color w:val="auto"/>
        </w:rPr>
      </w:pPr>
    </w:p>
    <w:p>
      <w:pPr>
        <w:jc w:val="both"/>
        <w:ind w:left="600" w:firstLine="597"/>
        <w:spacing w:after="0" w:line="306" w:lineRule="auto"/>
        <w:rPr>
          <w:sz w:val="20"/>
          <w:szCs w:val="20"/>
          <w:color w:val="auto"/>
        </w:rPr>
      </w:pPr>
      <w:r>
        <w:rPr>
          <w:rFonts w:ascii="Arial" w:cs="Arial" w:eastAsia="Arial" w:hAnsi="Arial"/>
          <w:sz w:val="15"/>
          <w:szCs w:val="15"/>
          <w:b w:val="1"/>
          <w:bCs w:val="1"/>
          <w:i w:val="1"/>
          <w:iCs w:val="1"/>
          <w:color w:val="auto"/>
        </w:rPr>
        <w:t>Enter New Adjacent Markets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expect to continue to evaluate and expand into adjacent markets based on our market validation strategy and target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feedback in a manner consistent with our strategic plan. We believe that, while we are continuously developing our software solutions within one market, we can apply certain relevant product enhancements and learnings from that market as we extend our platform into each successive adjacent market.</w:t>
      </w:r>
    </w:p>
    <w:p>
      <w:pPr>
        <w:spacing w:after="0" w:line="265" w:lineRule="exact"/>
        <w:rPr>
          <w:sz w:val="20"/>
          <w:szCs w:val="20"/>
          <w:color w:val="auto"/>
        </w:rPr>
      </w:pPr>
    </w:p>
    <w:p>
      <w:pPr>
        <w:jc w:val="both"/>
        <w:ind w:left="600" w:firstLine="597"/>
        <w:spacing w:after="0" w:line="277" w:lineRule="auto"/>
        <w:rPr>
          <w:sz w:val="20"/>
          <w:szCs w:val="20"/>
          <w:color w:val="auto"/>
        </w:rPr>
      </w:pPr>
      <w:r>
        <w:rPr>
          <w:rFonts w:ascii="Arial" w:cs="Arial" w:eastAsia="Arial" w:hAnsi="Arial"/>
          <w:sz w:val="16"/>
          <w:szCs w:val="16"/>
          <w:b w:val="1"/>
          <w:bCs w:val="1"/>
          <w:i w:val="1"/>
          <w:iCs w:val="1"/>
          <w:color w:val="auto"/>
        </w:rPr>
        <w:t xml:space="preserve">Expand into New Verticals. </w:t>
      </w:r>
      <w:r>
        <w:rPr>
          <w:rFonts w:ascii="Arial" w:cs="Arial" w:eastAsia="Arial" w:hAnsi="Arial"/>
          <w:sz w:val="16"/>
          <w:szCs w:val="16"/>
          <w:color w:val="auto"/>
        </w:rPr>
        <w:t>We expect to continue to review potential opportunities to expand into additional vertical markets in a manner consistent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our strategic plan. Any new vertical must also fit within our overall business strategy, including our management team's assessment of available alternatives, such as the number and size of potential adjacent market opportunities, and the relative risk and return of these opportunities.</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7" w:lineRule="exact"/>
        <w:rPr>
          <w:sz w:val="20"/>
          <w:szCs w:val="20"/>
          <w:color w:val="auto"/>
        </w:rPr>
      </w:pPr>
    </w:p>
    <w:p>
      <w:pPr>
        <w:ind w:firstLine="597"/>
        <w:spacing w:after="0" w:line="264" w:lineRule="auto"/>
        <w:rPr>
          <w:sz w:val="20"/>
          <w:szCs w:val="20"/>
          <w:color w:val="auto"/>
        </w:rPr>
      </w:pPr>
      <w:r>
        <w:rPr>
          <w:rFonts w:ascii="Arial" w:cs="Arial" w:eastAsia="Arial" w:hAnsi="Arial"/>
          <w:sz w:val="17"/>
          <w:szCs w:val="17"/>
          <w:color w:val="auto"/>
        </w:rPr>
        <w:t>The overall market for business management software is global, highly competitive and continually evolving to respond to changes in technology, operational requirements, and ever-changing laws and regulations. We believe our competitors primarily fall into the following categories:</w:t>
      </w:r>
    </w:p>
    <w:p>
      <w:pPr>
        <w:spacing w:after="0" w:line="67" w:lineRule="exact"/>
        <w:rPr>
          <w:sz w:val="20"/>
          <w:szCs w:val="20"/>
          <w:color w:val="auto"/>
        </w:rPr>
      </w:pPr>
    </w:p>
    <w:p>
      <w:pPr>
        <w:ind w:left="1200" w:hanging="156"/>
        <w:spacing w:after="0"/>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On-premise or cloud-based vertical market business management software providers that serve companies of all sizes in our markets; and</w:t>
      </w:r>
    </w:p>
    <w:p>
      <w:pPr>
        <w:spacing w:after="0" w:line="114" w:lineRule="exact"/>
        <w:rPr>
          <w:rFonts w:ascii="Arial" w:cs="Arial" w:eastAsia="Arial" w:hAnsi="Arial"/>
          <w:sz w:val="16"/>
          <w:szCs w:val="16"/>
          <w:color w:val="auto"/>
        </w:rPr>
      </w:pPr>
    </w:p>
    <w:p>
      <w:pPr>
        <w:ind w:left="1200" w:hanging="156"/>
        <w:spacing w:after="0"/>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On-premise or cloud-based horizontal business management software providers that offer broad solutions across multiple verticals.</w:t>
      </w:r>
    </w:p>
    <w:p>
      <w:pPr>
        <w:spacing w:after="0" w:line="165" w:lineRule="exact"/>
        <w:rPr>
          <w:sz w:val="20"/>
          <w:szCs w:val="20"/>
          <w:color w:val="auto"/>
        </w:rPr>
      </w:pPr>
    </w:p>
    <w:p>
      <w:pPr>
        <w:jc w:val="both"/>
        <w:ind w:firstLine="597"/>
        <w:spacing w:after="0" w:line="304" w:lineRule="auto"/>
        <w:rPr>
          <w:sz w:val="20"/>
          <w:szCs w:val="20"/>
          <w:color w:val="auto"/>
        </w:rPr>
      </w:pPr>
      <w:r>
        <w:rPr>
          <w:rFonts w:ascii="Arial" w:cs="Arial" w:eastAsia="Arial" w:hAnsi="Arial"/>
          <w:sz w:val="15"/>
          <w:szCs w:val="15"/>
          <w:color w:val="auto"/>
        </w:rPr>
        <w:t>We also see competition from numerous cloud-based solutions providers that focus almost exclusively on one or more point solutions. For example, in the real estate vertical, we compete with payment solutions providers, listing services, tenant screening applications and specialists in lease forms. In the legal vertical, we compete with time tracking, legal billing and payment services. Continued consolidation among cloud-based solution providers could lead to significantly increased competition.</w:t>
      </w:r>
    </w:p>
    <w:p>
      <w:pPr>
        <w:spacing w:after="0" w:line="2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believe the principal competitive factors in each of our vertical markets include the following:</w:t>
      </w:r>
    </w:p>
    <w:p>
      <w:pPr>
        <w:spacing w:after="0" w:line="265" w:lineRule="exact"/>
        <w:rPr>
          <w:sz w:val="20"/>
          <w:szCs w:val="20"/>
          <w:color w:val="auto"/>
        </w:rPr>
      </w:pPr>
    </w:p>
    <w:p>
      <w:pPr>
        <w:ind w:left="1840" w:hanging="448"/>
        <w:spacing w:after="0"/>
        <w:tabs>
          <w:tab w:leader="none" w:pos="1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breadth and depth of functionality in software solutions and applications;</w:t>
      </w:r>
    </w:p>
    <w:p>
      <w:pPr>
        <w:spacing w:after="0" w:line="202" w:lineRule="exact"/>
        <w:rPr>
          <w:rFonts w:ascii="Arial" w:cs="Arial" w:eastAsia="Arial" w:hAnsi="Arial"/>
          <w:sz w:val="17"/>
          <w:szCs w:val="17"/>
          <w:color w:val="auto"/>
        </w:rPr>
      </w:pPr>
    </w:p>
    <w:p>
      <w:pPr>
        <w:ind w:left="1840" w:hanging="448"/>
        <w:spacing w:after="0"/>
        <w:tabs>
          <w:tab w:leader="none" w:pos="1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brand awareness and reputation;</w:t>
      </w:r>
    </w:p>
    <w:p>
      <w:pPr>
        <w:spacing w:after="0" w:line="202" w:lineRule="exact"/>
        <w:rPr>
          <w:rFonts w:ascii="Arial" w:cs="Arial" w:eastAsia="Arial" w:hAnsi="Arial"/>
          <w:sz w:val="17"/>
          <w:szCs w:val="17"/>
          <w:color w:val="auto"/>
        </w:rPr>
      </w:pPr>
    </w:p>
    <w:p>
      <w:pPr>
        <w:ind w:left="1840" w:hanging="448"/>
        <w:spacing w:after="0"/>
        <w:tabs>
          <w:tab w:leader="none" w:pos="1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ease of deployment and use of software solutions and applications;</w:t>
      </w:r>
    </w:p>
    <w:p>
      <w:pPr>
        <w:spacing w:after="0" w:line="202" w:lineRule="exact"/>
        <w:rPr>
          <w:rFonts w:ascii="Arial" w:cs="Arial" w:eastAsia="Arial" w:hAnsi="Arial"/>
          <w:sz w:val="17"/>
          <w:szCs w:val="17"/>
          <w:color w:val="auto"/>
        </w:rPr>
      </w:pPr>
    </w:p>
    <w:p>
      <w:pPr>
        <w:ind w:left="1840" w:hanging="448"/>
        <w:spacing w:after="0"/>
        <w:tabs>
          <w:tab w:leader="none" w:pos="1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of customer satisfaction;</w:t>
      </w:r>
    </w:p>
    <w:p>
      <w:pPr>
        <w:spacing w:after="0" w:line="202" w:lineRule="exact"/>
        <w:rPr>
          <w:rFonts w:ascii="Arial" w:cs="Arial" w:eastAsia="Arial" w:hAnsi="Arial"/>
          <w:sz w:val="17"/>
          <w:szCs w:val="17"/>
          <w:color w:val="auto"/>
        </w:rPr>
      </w:pPr>
    </w:p>
    <w:p>
      <w:pPr>
        <w:ind w:left="1840" w:hanging="448"/>
        <w:spacing w:after="0"/>
        <w:tabs>
          <w:tab w:leader="none" w:pos="1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data security and availability;</w:t>
      </w:r>
    </w:p>
    <w:p>
      <w:pPr>
        <w:spacing w:after="0" w:line="202" w:lineRule="exact"/>
        <w:rPr>
          <w:rFonts w:ascii="Arial" w:cs="Arial" w:eastAsia="Arial" w:hAnsi="Arial"/>
          <w:sz w:val="17"/>
          <w:szCs w:val="17"/>
          <w:color w:val="auto"/>
        </w:rPr>
      </w:pPr>
    </w:p>
    <w:p>
      <w:pPr>
        <w:ind w:left="1840" w:hanging="448"/>
        <w:spacing w:after="0"/>
        <w:tabs>
          <w:tab w:leader="none" w:pos="1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nature and extent of mobile interface;</w:t>
      </w:r>
    </w:p>
    <w:p>
      <w:pPr>
        <w:spacing w:after="0" w:line="202" w:lineRule="exact"/>
        <w:rPr>
          <w:rFonts w:ascii="Arial" w:cs="Arial" w:eastAsia="Arial" w:hAnsi="Arial"/>
          <w:sz w:val="17"/>
          <w:szCs w:val="17"/>
          <w:color w:val="auto"/>
        </w:rPr>
      </w:pPr>
    </w:p>
    <w:p>
      <w:pPr>
        <w:ind w:left="1840" w:hanging="448"/>
        <w:spacing w:after="0"/>
        <w:tabs>
          <w:tab w:leader="none" w:pos="1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size of customer base and level of user adoption and usage;</w:t>
      </w:r>
    </w:p>
    <w:p>
      <w:pPr>
        <w:spacing w:after="0" w:line="202" w:lineRule="exact"/>
        <w:rPr>
          <w:rFonts w:ascii="Arial" w:cs="Arial" w:eastAsia="Arial" w:hAnsi="Arial"/>
          <w:sz w:val="17"/>
          <w:szCs w:val="17"/>
          <w:color w:val="auto"/>
        </w:rPr>
      </w:pPr>
    </w:p>
    <w:p>
      <w:pPr>
        <w:ind w:left="1840" w:hanging="448"/>
        <w:spacing w:after="0"/>
        <w:tabs>
          <w:tab w:leader="none" w:pos="1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cost of ownership;</w:t>
      </w:r>
    </w:p>
    <w:p>
      <w:pPr>
        <w:spacing w:after="0" w:line="202" w:lineRule="exact"/>
        <w:rPr>
          <w:rFonts w:ascii="Arial" w:cs="Arial" w:eastAsia="Arial" w:hAnsi="Arial"/>
          <w:sz w:val="17"/>
          <w:szCs w:val="17"/>
          <w:color w:val="auto"/>
        </w:rPr>
      </w:pPr>
    </w:p>
    <w:p>
      <w:pPr>
        <w:ind w:left="1840" w:hanging="448"/>
        <w:spacing w:after="0"/>
        <w:tabs>
          <w:tab w:leader="none" w:pos="1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ability to innovate and respond to customer needs rapidly;</w:t>
      </w:r>
    </w:p>
    <w:p>
      <w:pPr>
        <w:spacing w:after="0" w:line="202" w:lineRule="exact"/>
        <w:rPr>
          <w:rFonts w:ascii="Arial" w:cs="Arial" w:eastAsia="Arial" w:hAnsi="Arial"/>
          <w:sz w:val="17"/>
          <w:szCs w:val="17"/>
          <w:color w:val="auto"/>
        </w:rPr>
      </w:pPr>
    </w:p>
    <w:p>
      <w:pPr>
        <w:ind w:left="1860" w:hanging="468"/>
        <w:spacing w:after="0"/>
        <w:tabs>
          <w:tab w:leader="none" w:pos="1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domain expertise with respect to our targeted verticals; and</w:t>
      </w:r>
    </w:p>
    <w:p>
      <w:pPr>
        <w:spacing w:after="0" w:line="252" w:lineRule="exact"/>
        <w:rPr>
          <w:rFonts w:ascii="Arial" w:cs="Arial" w:eastAsia="Arial" w:hAnsi="Arial"/>
          <w:sz w:val="17"/>
          <w:szCs w:val="17"/>
          <w:color w:val="auto"/>
        </w:rPr>
      </w:pPr>
    </w:p>
    <w:p>
      <w:pPr>
        <w:ind w:left="1840" w:hanging="448"/>
        <w:spacing w:after="0"/>
        <w:tabs>
          <w:tab w:leader="none" w:pos="1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ability to leverage a common technology platform and business strategy.</w:t>
      </w:r>
    </w:p>
    <w:p>
      <w:pPr>
        <w:spacing w:after="0" w:line="265"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We believe that we compete favorably on the factors described above. However, some of our competitors may have greater financial, technical and other resources, greater name recognition and larger sales and marketing budgets; therefore, we may not always compare favorably with respect to some or all of the foregoing factors.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36"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Intellectual Property</w:t>
      </w:r>
    </w:p>
    <w:p>
      <w:pPr>
        <w:spacing w:after="0" w:line="269"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6"/>
          <w:szCs w:val="16"/>
          <w:color w:val="auto"/>
        </w:rPr>
        <w:t>We rely on a combination of patents, copyrights, trademarks, trade secrets, confidentiality procedures and contractual restrictions to establish and protect our proprietary rights in our core solutions and Value+ services. At January 31, 2020, we had twelve issued United States patents that directly relate to our technology and expire between 2026 and 2033. We may pursue additional patent protection to the extent we believe it would be beneficial and cost effective.</w:t>
      </w:r>
    </w:p>
    <w:p>
      <w:pPr>
        <w:spacing w:after="0" w:line="122"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We have registered “AppFolio” and "MyCase" and certain other marks as trademarks in the United States and several other jurisdictions. We have also acquired certain marks and filed trademark applications and renewals in the United States and certain other jurisdictions, and will pursue additional trademark registrations to the extent we believe it would be beneficial and cost effective. We are the registered holder of a variety of domestic and international domain names that include “appfolioinc.com,” “appfolio.com,” “mycase.com” and similar variations. We also license software from third parties for use in our solutions, including open source software and other software available on standard commercial terms.</w:t>
      </w:r>
    </w:p>
    <w:p>
      <w:pPr>
        <w:spacing w:after="0" w:line="304"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We control access to our proprietary technology by entering into confidentiality and invention assignment agreements with our employees and contractors, and confidentiality agreements with third parties. Despite our precautions, it may be possible for unauthorized third parties to copy our software solutions and use information that we regard as proprietary to create products and services that compete with ours.</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269"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We were formed in 2006 as a Delaware limited liability company and converted to a Delaware corporation in 2007. Our principal executive offices are located at 50 Castilian Drive, Santa Barbara, California 93117, and our telephone number is (805) 364-6093. Our corporate website is www.appfolioinc.com. The information contained on or accessed through our website does not constitute part of, and is not incorporated by reference into this Annual Report. References to our website address in this Annual Report are inactive textual references only.</w:t>
      </w:r>
    </w:p>
    <w:p>
      <w:pPr>
        <w:spacing w:after="0" w:line="81"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“AppFolio,” “MyCase,” the AppFolio logo, the MyCase logo, and other trademarks and trade names of AppFolio and MyCase appearing in this Annual Report are our property. All other trademarks or trade names appearing in this report are the property of their respective owners. Solely for convenience, the trademarks and trade names in this report are referred to without the ® and ™ symbols. We do not intend our use or display of the trademarks, trade names or service marks of other parties to imply a relationship with, or endorsement or sponsorship of us, by such other parties.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69" w:lineRule="exact"/>
        <w:rPr>
          <w:sz w:val="20"/>
          <w:szCs w:val="20"/>
          <w:color w:val="auto"/>
        </w:rPr>
      </w:pPr>
    </w:p>
    <w:p>
      <w:pPr>
        <w:jc w:val="both"/>
        <w:ind w:firstLine="597"/>
        <w:spacing w:after="0" w:line="268" w:lineRule="auto"/>
        <w:rPr>
          <w:sz w:val="20"/>
          <w:szCs w:val="20"/>
          <w:color w:val="auto"/>
        </w:rPr>
      </w:pPr>
      <w:r>
        <w:rPr>
          <w:rFonts w:ascii="Arial" w:cs="Arial" w:eastAsia="Arial" w:hAnsi="Arial"/>
          <w:sz w:val="16"/>
          <w:szCs w:val="16"/>
          <w:color w:val="auto"/>
        </w:rPr>
        <w:t>We file annual reports on Form 10-K, quarterly reports on Form 10-Q, current reports on Form 8-K, as well as amendments to those reports pursuant to Sections 13(a) and 15(d) of the Exchange Act. We also file proxy statements and information statements pursuant to Section 14 of the Exchange Act. The SEC maintains a website at www.sec.gov that contains the reports, proxy and information statements, and other information that we file with or furnish to the SEC electronically. Copies of the reports, proxy statements and other information may also be obtained, free of charge, electronically through our corporate website, at www.appfolioinc.com, as soon as reasonably practical after we file such material with, or furnish it to, the SEC.</w:t>
      </w:r>
    </w:p>
    <w:p>
      <w:pPr>
        <w:spacing w:after="0" w:line="12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6"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color w:val="auto"/>
        </w:rPr>
        <w:t>An investment in our Class A common stock involves risks. You should consider carefully the risks and uncertainties described below, together with all of the other information included in this Annual Report, as well as in our other filings with the SEC, in evaluating our business. If any of the following risks actually occur, our business, financial condition, operating results and future prospects could be materially and adversely affected. In that case, the trading price of our Class A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w:t>
      </w:r>
    </w:p>
    <w:p>
      <w:pPr>
        <w:spacing w:after="0" w:line="152"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Please be advised that certain of the risks and uncertainties described below contain “forward-looking statements.” See the section of this Annual Report entitled “Cautionary Note Regarding Forward-Looking Statements” for additional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towards the achievement of long-term growth, which may not be consistent with the short-term expectations of some investors.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95" w:right="239" w:bottom="1440" w:gutter="0" w:footer="0" w:header="0"/>
        </w:sectPr>
      </w:pPr>
    </w:p>
    <w:bookmarkStart w:id="12" w:name="page13"/>
    <w:bookmarkEnd w:id="12"/>
    <w:p>
      <w:pPr>
        <w:jc w:val="both"/>
        <w:ind w:firstLine="597"/>
        <w:spacing w:after="0" w:line="304" w:lineRule="auto"/>
        <w:rPr>
          <w:sz w:val="20"/>
          <w:szCs w:val="20"/>
          <w:color w:val="auto"/>
        </w:rPr>
      </w:pPr>
      <w:r>
        <w:rPr>
          <w:rFonts w:ascii="Arial" w:cs="Arial" w:eastAsia="Arial" w:hAnsi="Arial"/>
          <w:sz w:val="15"/>
          <w:szCs w:val="15"/>
          <w:color w:val="auto"/>
        </w:rPr>
        <w:t>We plan to continue to manage our business towards the achievement of long-term growth that we believe will positively impact long-term stockholder value, and not towards the realization of short-term financial or business metrics, or short-term stockholder value. If opportunities arise that might cause us to sacrifice our performance with respect to short-term financial or business metrics, but that we believe are in the best interests of our stockholders, we will take those opportunities.</w:t>
      </w:r>
    </w:p>
    <w:p>
      <w:pPr>
        <w:spacing w:after="0" w:line="140" w:lineRule="exact"/>
        <w:rPr>
          <w:sz w:val="20"/>
          <w:szCs w:val="20"/>
          <w:color w:val="auto"/>
        </w:rPr>
      </w:pPr>
    </w:p>
    <w:p>
      <w:pPr>
        <w:jc w:val="both"/>
        <w:ind w:firstLine="597"/>
        <w:spacing w:after="0" w:line="247" w:lineRule="auto"/>
        <w:rPr>
          <w:sz w:val="20"/>
          <w:szCs w:val="20"/>
          <w:color w:val="auto"/>
        </w:rPr>
      </w:pPr>
      <w:r>
        <w:rPr>
          <w:rFonts w:ascii="Arial" w:cs="Arial" w:eastAsia="Arial" w:hAnsi="Arial"/>
          <w:sz w:val="17"/>
          <w:szCs w:val="17"/>
          <w:color w:val="auto"/>
        </w:rPr>
        <w:t>We focus on growing our customer base by launching new and innovative core functionality and/or Value+ services to address our customers’ evolving business needs, developing and/or acquiring new products for adjacent markets and additional verticals consistent with our strategic plan, and improving the experience of our users across our targeted verticals. We prioritize product innovation and user experience over short-term financial or business metrics. We will make product decisions that may reduce our short-term operating results if we believe that these decisions are consistent with our strategic objective to achieve long-term growth. These decisions may not be consistent with the short-term expectations of some investors, and may cause significant fluctuations in our operating results from period to period. In addition, notwithstanding our intention to make strategic decisions that positively impact long-term stockholder value, the decisions we make may not produce the long-term benefits we expect.</w:t>
      </w:r>
    </w:p>
    <w:p>
      <w:pPr>
        <w:spacing w:after="0" w:line="184" w:lineRule="exact"/>
        <w:rPr>
          <w:sz w:val="20"/>
          <w:szCs w:val="20"/>
          <w:color w:val="auto"/>
        </w:rPr>
      </w:pPr>
    </w:p>
    <w:p>
      <w:pPr>
        <w:jc w:val="both"/>
        <w:ind w:firstLine="597"/>
        <w:spacing w:after="0" w:line="304" w:lineRule="auto"/>
        <w:rPr>
          <w:sz w:val="20"/>
          <w:szCs w:val="20"/>
          <w:color w:val="auto"/>
        </w:rPr>
      </w:pPr>
      <w:r>
        <w:rPr>
          <w:rFonts w:ascii="Arial" w:cs="Arial" w:eastAsia="Arial" w:hAnsi="Arial"/>
          <w:sz w:val="15"/>
          <w:szCs w:val="15"/>
          <w:color w:val="auto"/>
        </w:rPr>
        <w:t>Our executive officers, directors and principal stockholders control a majority of the combined voting power of our outstanding capital stock. As a result, they are able to exercise significant influence and control over the establishment and implementation of our future business plans and strategic objectives, as well as control all matters submitted to our stockholders for approval. These persons may manage our business in ways with which you disagree and which may be adverse to your interests.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manage our growth effectively, it could adversely affect our operating results and preclude us from achieving our strategic objectives.</w:t>
      </w:r>
    </w:p>
    <w:p>
      <w:pPr>
        <w:spacing w:after="0" w:line="214" w:lineRule="exact"/>
        <w:rPr>
          <w:sz w:val="20"/>
          <w:szCs w:val="20"/>
          <w:color w:val="auto"/>
        </w:rPr>
      </w:pPr>
    </w:p>
    <w:p>
      <w:pPr>
        <w:jc w:val="both"/>
        <w:ind w:firstLine="597"/>
        <w:spacing w:after="0" w:line="282" w:lineRule="auto"/>
        <w:rPr>
          <w:sz w:val="20"/>
          <w:szCs w:val="20"/>
          <w:color w:val="auto"/>
        </w:rPr>
      </w:pPr>
      <w:r>
        <w:rPr>
          <w:rFonts w:ascii="Arial" w:cs="Arial" w:eastAsia="Arial" w:hAnsi="Arial"/>
          <w:sz w:val="15"/>
          <w:szCs w:val="15"/>
          <w:color w:val="auto"/>
        </w:rPr>
        <w:t>We have experienced significant growth since our formation in 2006, and we anticipate that we will continue to experience growth and expansion of our operations. This growth in the size, complexity and diversity of our business has placed, and we expect it will continue to place, a significant strain on our management, administrative, operational and financial resources, as well as our company culture. Our future success will depend, in part, on our ability to manage this growth effectively. To manage the expected growth of our operations, we will need to continue to develop and improve our operational and financial controls and our reporting systems and procedures, continue to attract and retain highly qualified and motivated personnel across our organization, and continue to nurture and build on our company culture. Failure to effectively manage growth could adversely impact our business, including by resulting in errors or delays in deploying new core functionality to our customers, delays or difficulties in introducing new Value+ services or other products consistent with our strategic plan, declines in the quality or responsiveness of our customer service organization, exposure to legal, regulatory and operational risks inherent in our existing business and in any new products or services we provide to our customers or to our customers’ customers, increases in costs and operating expenses, and other operational difficulties. We expect these risks will only be increased as a result of any future products or services we develop and bring to market, as well as acquisitions or adjacent markets we may pursue. If any of these risks actually occur, it could adversely affect our operating results, and preclude us from achieving our strategic objectives.</w:t>
      </w:r>
    </w:p>
    <w:p>
      <w:pPr>
        <w:spacing w:after="0" w:line="158" w:lineRule="exact"/>
        <w:rPr>
          <w:sz w:val="20"/>
          <w:szCs w:val="20"/>
          <w:color w:val="auto"/>
        </w:rPr>
      </w:pPr>
    </w:p>
    <w:p>
      <w:pPr>
        <w:jc w:val="both"/>
        <w:spacing w:after="0" w:line="331" w:lineRule="auto"/>
        <w:rPr>
          <w:sz w:val="20"/>
          <w:szCs w:val="20"/>
          <w:color w:val="auto"/>
        </w:rPr>
      </w:pPr>
      <w:r>
        <w:rPr>
          <w:rFonts w:ascii="Arial" w:cs="Arial" w:eastAsia="Arial" w:hAnsi="Arial"/>
          <w:sz w:val="15"/>
          <w:szCs w:val="15"/>
          <w:b w:val="1"/>
          <w:bCs w:val="1"/>
          <w:i w:val="1"/>
          <w:iCs w:val="1"/>
          <w:color w:val="auto"/>
        </w:rPr>
        <w:t>We have a limited operating history and limited experience selling our solutions. We expect to make substantial investments across our organization to grow our business and, as a result, we expect our financial results may fluctuate significantly from period to period and we may not sustain profitability.</w:t>
      </w:r>
    </w:p>
    <w:p>
      <w:pPr>
        <w:spacing w:after="0" w:line="121"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We were formed in 2006 and in 2008 entered the real estate vertical with our first product, APM, to serve property managers. We expanded our real estate offerings with the launch of APM PLUS in late 2018 and AppFolio Investment Management in April 2019. In 2012, we entered the legal vertical through the acquisition of MyCase, which represents less than 10% of our total revenue for fiscal 2019. As a result, we have a limited operating history and limited experience selling our software solutions, which are constantly changing and evolving, in two dynamic vertical markets. These and other factors combine to make it more difficult for us to accurately forecast our future operating results, which in turn makes it more difficult for us to prepare accurate budgets and implement strategic plans. We expect that this uncertainty will continue to exist in our business for the foreseeable future, and will be exacerbated to the extent we introduce new functionality, or enter adjacent markets or new verticals consistent with our strategic plan, or complete additional acquisitions.</w:t>
      </w:r>
    </w:p>
    <w:p>
      <w:pPr>
        <w:spacing w:after="0" w:line="170"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We have made substantial investments across our organization to develop our software solutions and capitalize on our market opportunity. In order to implement our business strategy, we intend to continue to make substantial investments in, among other things:</w:t>
      </w:r>
    </w:p>
    <w:p>
      <w:pPr>
        <w:spacing w:after="0" w:line="105" w:lineRule="exact"/>
        <w:rPr>
          <w:sz w:val="20"/>
          <w:szCs w:val="20"/>
          <w:color w:val="auto"/>
        </w:rPr>
      </w:pPr>
    </w:p>
    <w:p>
      <w:pPr>
        <w:ind w:left="1040" w:hanging="444"/>
        <w:spacing w:after="0" w:line="264"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research and product development organization to enhance the ease of use and functionality of our software solutions by adding new core functionality, Value+ services and/or other improvements to address the evolving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575" w:right="239" w:bottom="1440" w:gutter="0" w:footer="0" w:header="0"/>
        </w:sectPr>
      </w:pPr>
    </w:p>
    <w:bookmarkStart w:id="13" w:name="page14"/>
    <w:bookmarkEnd w:id="13"/>
    <w:p>
      <w:pPr>
        <w:ind w:left="1040"/>
        <w:spacing w:after="0"/>
        <w:rPr>
          <w:sz w:val="20"/>
          <w:szCs w:val="20"/>
          <w:color w:val="auto"/>
        </w:rPr>
      </w:pPr>
      <w:r>
        <w:rPr>
          <w:rFonts w:ascii="Arial" w:cs="Arial" w:eastAsia="Arial" w:hAnsi="Arial"/>
          <w:sz w:val="17"/>
          <w:szCs w:val="17"/>
          <w:color w:val="auto"/>
        </w:rPr>
        <w:t>needs of our customers, as well as to develop new products for adjacent markets and new verticals consistent with our strategic plan;</w:t>
      </w:r>
    </w:p>
    <w:p>
      <w:pPr>
        <w:spacing w:after="0" w:line="140" w:lineRule="exact"/>
        <w:rPr>
          <w:sz w:val="20"/>
          <w:szCs w:val="20"/>
          <w:color w:val="auto"/>
        </w:rPr>
      </w:pPr>
    </w:p>
    <w:p>
      <w:pPr>
        <w:ind w:left="1040" w:hanging="444"/>
        <w:spacing w:after="0" w:line="264"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continued efforts to identify acquisition targets that enhance the depth or functionality of our software solutions or Value+ services, or that enable our expansion into adjacent markets or new vertical markets consistent with our strategic plan;</w:t>
      </w:r>
    </w:p>
    <w:p>
      <w:pPr>
        <w:spacing w:after="0" w:line="104" w:lineRule="exact"/>
        <w:rPr>
          <w:rFonts w:ascii="Arial" w:cs="Arial" w:eastAsia="Arial" w:hAnsi="Arial"/>
          <w:sz w:val="17"/>
          <w:szCs w:val="17"/>
          <w:color w:val="auto"/>
        </w:rPr>
      </w:pPr>
    </w:p>
    <w:p>
      <w:pPr>
        <w:ind w:left="1040" w:hanging="444"/>
        <w:spacing w:after="0" w:line="264"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customer service organization to deepen our relationships with our customers, assist our customers in achieving success through the use of our software solutions, and promote customer retention;</w:t>
      </w:r>
    </w:p>
    <w:p>
      <w:pPr>
        <w:spacing w:after="0" w:line="104" w:lineRule="exact"/>
        <w:rPr>
          <w:rFonts w:ascii="Arial" w:cs="Arial" w:eastAsia="Arial" w:hAnsi="Arial"/>
          <w:sz w:val="17"/>
          <w:szCs w:val="17"/>
          <w:color w:val="auto"/>
        </w:rPr>
      </w:pPr>
    </w:p>
    <w:p>
      <w:pPr>
        <w:jc w:val="both"/>
        <w:ind w:left="1040" w:hanging="444"/>
        <w:spacing w:after="0" w:line="254"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sales and marketing organization, including expansion of our direct sales organization and marketing programs, to increase the size of our customer base, increase adoption and utilization of new and existing Value+ services by our new and existing customers, and enter adjacent markets and new vertical consistent with our strategic plan;</w:t>
      </w:r>
    </w:p>
    <w:p>
      <w:pPr>
        <w:spacing w:after="0" w:line="113" w:lineRule="exact"/>
        <w:rPr>
          <w:rFonts w:ascii="Arial" w:cs="Arial" w:eastAsia="Arial" w:hAnsi="Arial"/>
          <w:sz w:val="17"/>
          <w:szCs w:val="17"/>
          <w:color w:val="auto"/>
        </w:rPr>
      </w:pPr>
    </w:p>
    <w:p>
      <w:pPr>
        <w:ind w:left="1040" w:hanging="444"/>
        <w:spacing w:after="0" w:line="264"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maintaining and expanding our technology infrastructure and operational support to promote the security and availability of our software solutions, and support our growth;</w:t>
      </w:r>
    </w:p>
    <w:p>
      <w:pPr>
        <w:spacing w:after="0" w:line="104" w:lineRule="exact"/>
        <w:rPr>
          <w:rFonts w:ascii="Arial" w:cs="Arial" w:eastAsia="Arial" w:hAnsi="Arial"/>
          <w:sz w:val="17"/>
          <w:szCs w:val="17"/>
          <w:color w:val="auto"/>
        </w:rPr>
      </w:pPr>
    </w:p>
    <w:p>
      <w:pPr>
        <w:jc w:val="both"/>
        <w:ind w:left="1040" w:hanging="444"/>
        <w:spacing w:after="0" w:line="254"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general and administrative functions, including hiring additional finance, IT, human resources, legal, compliance and administrative personnel, to support our growth and assist us in achieving and maintaining compliance with public company reporting and legal, regulatory and other compliance-related obligations; and</w:t>
      </w:r>
    </w:p>
    <w:p>
      <w:pPr>
        <w:spacing w:after="0" w:line="113" w:lineRule="exact"/>
        <w:rPr>
          <w:rFonts w:ascii="Arial" w:cs="Arial" w:eastAsia="Arial" w:hAnsi="Arial"/>
          <w:sz w:val="17"/>
          <w:szCs w:val="17"/>
          <w:color w:val="auto"/>
        </w:rPr>
      </w:pPr>
    </w:p>
    <w:p>
      <w:pPr>
        <w:ind w:left="1040" w:hanging="444"/>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expansion of our existing facilities, including leasing and building out additional office space, to support our growth and strategic development.</w:t>
      </w:r>
    </w:p>
    <w:p>
      <w:pPr>
        <w:spacing w:after="0" w:line="351"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6"/>
          <w:szCs w:val="16"/>
          <w:color w:val="auto"/>
        </w:rPr>
        <w:t>As a result of our continuing investments to grow our business in these and other areas, we expect our expenses to increase significantly, and we may not be consistently profitable. Even if we are successful in growing our customer base and increasing revenue from new and existing customers, we may not be able to generate additional revenue in an amount that is sufficient to cover our expenses. We may incur significant losses in a particular period for a number of reasons, and may experience significant fluctuations in our operating results from period to period, including as a result of the other risks and uncertainties described elsewhere in this Annual Report. We cannot assure you that we will continue to achieve profitability in the near term or that we will sustain profitability on a sequential quarterly basis or over any particular period of time. Any additional operating losses will have a negative impact on our stockholders’ equity.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may fluctuate significantly and period-to-period comparisons of our results may not be meaningful.</w:t>
      </w:r>
    </w:p>
    <w:p>
      <w:pPr>
        <w:spacing w:after="0" w:line="202"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Our quarterly results, including the levels of our revenue, costs, operating expenses, and operating margins, may fluctuate significantly in the future, and period-to-period comparisons of our results may not be meaningful. Accordingly, the results of any one quarter should not be relied upon as an indication of our future performance. In addition, our quarterly results may not fully reflect the underlying performance of our business. Factors that may cause fluctuations in our quarterly results include, but are not limited to:</w:t>
      </w:r>
    </w:p>
    <w:p>
      <w:pPr>
        <w:spacing w:after="0" w:line="118" w:lineRule="exact"/>
        <w:rPr>
          <w:sz w:val="20"/>
          <w:szCs w:val="20"/>
          <w:color w:val="auto"/>
        </w:rPr>
      </w:pPr>
    </w:p>
    <w:p>
      <w:pPr>
        <w:ind w:left="960" w:hanging="438"/>
        <w:spacing w:after="0"/>
        <w:tabs>
          <w:tab w:leader="none" w:pos="96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ability to retain our existing customers, and to expand adoption and utilization of our core solutions and Value+ services by our existing customers;</w:t>
      </w:r>
    </w:p>
    <w:p>
      <w:pPr>
        <w:spacing w:after="0" w:line="163" w:lineRule="exact"/>
        <w:rPr>
          <w:rFonts w:ascii="Arial" w:cs="Arial" w:eastAsia="Arial" w:hAnsi="Arial"/>
          <w:sz w:val="15"/>
          <w:szCs w:val="15"/>
          <w:color w:val="auto"/>
        </w:rPr>
      </w:pPr>
    </w:p>
    <w:p>
      <w:pPr>
        <w:ind w:left="960" w:hanging="438"/>
        <w:spacing w:after="0" w:line="264"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attract new customers, the type of customers we are able to attract, the size and needs of their businesses, and the cost of acquiring these customers;</w:t>
      </w:r>
    </w:p>
    <w:p>
      <w:pPr>
        <w:spacing w:after="0" w:line="104" w:lineRule="exact"/>
        <w:rPr>
          <w:rFonts w:ascii="Arial" w:cs="Arial" w:eastAsia="Arial" w:hAnsi="Arial"/>
          <w:sz w:val="17"/>
          <w:szCs w:val="17"/>
          <w:color w:val="auto"/>
        </w:rPr>
      </w:pPr>
    </w:p>
    <w:p>
      <w:pPr>
        <w:ind w:left="960" w:hanging="43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mix of our core solutions and Value+ services sold during the period;</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timing and impact of security breaches, service outages or other performance problems with our technology infrastructure and software solutions;</w:t>
      </w:r>
    </w:p>
    <w:p>
      <w:pPr>
        <w:spacing w:after="0" w:line="163" w:lineRule="exact"/>
        <w:rPr>
          <w:rFonts w:ascii="Arial" w:cs="Arial" w:eastAsia="Arial" w:hAnsi="Arial"/>
          <w:sz w:val="15"/>
          <w:szCs w:val="15"/>
          <w:color w:val="auto"/>
        </w:rPr>
      </w:pPr>
    </w:p>
    <w:p>
      <w:pPr>
        <w:ind w:left="960" w:hanging="438"/>
        <w:spacing w:after="0"/>
        <w:tabs>
          <w:tab w:leader="none" w:pos="960" w:val="left"/>
        </w:tabs>
        <w:numPr>
          <w:ilvl w:val="0"/>
          <w:numId w:val="8"/>
        </w:numPr>
        <w:rPr>
          <w:rFonts w:ascii="Arial" w:cs="Arial" w:eastAsia="Arial" w:hAnsi="Arial"/>
          <w:sz w:val="15"/>
          <w:szCs w:val="15"/>
          <w:color w:val="auto"/>
        </w:rPr>
      </w:pPr>
      <w:r>
        <w:rPr>
          <w:rFonts w:ascii="Arial" w:cs="Arial" w:eastAsia="Arial" w:hAnsi="Arial"/>
          <w:sz w:val="15"/>
          <w:szCs w:val="15"/>
          <w:color w:val="auto"/>
        </w:rPr>
        <w:t>variations in the timing of sales of our core solutions and Value+ services as a result of trends impacting the verticals in which we sell our software solutions;</w:t>
      </w:r>
    </w:p>
    <w:p>
      <w:pPr>
        <w:spacing w:after="0" w:line="163" w:lineRule="exact"/>
        <w:rPr>
          <w:rFonts w:ascii="Arial" w:cs="Arial" w:eastAsia="Arial" w:hAnsi="Arial"/>
          <w:sz w:val="15"/>
          <w:szCs w:val="15"/>
          <w:color w:val="auto"/>
        </w:rPr>
      </w:pPr>
    </w:p>
    <w:p>
      <w:pPr>
        <w:ind w:left="960" w:hanging="43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and market acceptance of new core functionality, Value+ services and other products introduced by us and our competitors;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our recognition of revenue;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712" w:right="239" w:bottom="1440" w:gutter="0" w:footer="0" w:header="0"/>
        </w:sectPr>
      </w:pPr>
    </w:p>
    <w:bookmarkStart w:id="14" w:name="page15"/>
    <w:bookmarkEnd w:id="14"/>
    <w:p>
      <w:pPr>
        <w:ind w:left="960" w:hanging="438"/>
        <w:spacing w:after="0"/>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 and timing of costs and operating expenses related to the maintenance and expansion of our business, infrastructure and operations;</w:t>
      </w:r>
    </w:p>
    <w:p>
      <w:pPr>
        <w:spacing w:after="0" w:line="151" w:lineRule="exact"/>
        <w:rPr>
          <w:rFonts w:ascii="Arial" w:cs="Arial" w:eastAsia="Arial" w:hAnsi="Arial"/>
          <w:sz w:val="16"/>
          <w:szCs w:val="16"/>
          <w:color w:val="auto"/>
        </w:rPr>
      </w:pPr>
    </w:p>
    <w:p>
      <w:pPr>
        <w:ind w:left="960" w:hanging="43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amount and timing of costs and operating expenses associated with assessing or entering adjacent markets or new verticals;</w:t>
      </w:r>
    </w:p>
    <w:p>
      <w:pPr>
        <w:spacing w:after="0" w:line="140" w:lineRule="exact"/>
        <w:rPr>
          <w:rFonts w:ascii="Arial" w:cs="Arial" w:eastAsia="Arial" w:hAnsi="Arial"/>
          <w:sz w:val="17"/>
          <w:szCs w:val="17"/>
          <w:color w:val="auto"/>
        </w:rPr>
      </w:pPr>
    </w:p>
    <w:p>
      <w:pPr>
        <w:ind w:left="960" w:hanging="438"/>
        <w:spacing w:after="0" w:line="264"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amount and timing of costs and operating expenses related to the development or acquisition of businesses, services, technologies or intellectual property rights, and potential future charges for impairment of goodwill from these acquisitions;</w:t>
      </w:r>
    </w:p>
    <w:p>
      <w:pPr>
        <w:spacing w:after="0" w:line="104" w:lineRule="exact"/>
        <w:rPr>
          <w:rFonts w:ascii="Arial" w:cs="Arial" w:eastAsia="Arial" w:hAnsi="Arial"/>
          <w:sz w:val="17"/>
          <w:szCs w:val="17"/>
          <w:color w:val="auto"/>
        </w:rPr>
      </w:pPr>
    </w:p>
    <w:p>
      <w:pPr>
        <w:ind w:left="960" w:hanging="43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and costs associated with legal proceedings, enforcement actions, regulatory inquiries or similar matters;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 strategic partners or customers;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loss of our executive officers or other key employees;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industry conditions and trends that are specific to the verticals in which we sell or intend to sell our software solutions; and</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02" w:lineRule="exact"/>
        <w:rPr>
          <w:sz w:val="20"/>
          <w:szCs w:val="20"/>
          <w:color w:val="auto"/>
        </w:rPr>
      </w:pPr>
    </w:p>
    <w:p>
      <w:pPr>
        <w:jc w:val="both"/>
        <w:ind w:firstLine="597"/>
        <w:spacing w:after="0" w:line="268" w:lineRule="auto"/>
        <w:rPr>
          <w:sz w:val="20"/>
          <w:szCs w:val="20"/>
          <w:color w:val="auto"/>
        </w:rPr>
      </w:pPr>
      <w:r>
        <w:rPr>
          <w:rFonts w:ascii="Arial" w:cs="Arial" w:eastAsia="Arial" w:hAnsi="Arial"/>
          <w:sz w:val="16"/>
          <w:szCs w:val="16"/>
          <w:color w:val="auto"/>
        </w:rPr>
        <w:t>Our focus on managing our business towards the achievement of long-term growth, rather than the realization of short-term financial or business metrics, may serve to exacerbate the fluctuations in our quarterly results, which could result in downward pressure on the market price of our Class A common stock. In addition, fluctuations in quarterly results may negatively impact the value of our Class A common stock, regardless of whether they impact or reflect the overall performance of our business. Furthermore, if our quarterly results fall below the expectations of investors or any securities analysts who follow our stock, or below any financial guidance we may provide, the price of our Class A common stock could decline substantially.</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We may require additional capital to support our operations or the growth of our business, and we cannot be certain that this capital will be available on favorable terms, or at all, when required, which may adversely affect our financial condition and, therefore, our business.</w:t>
      </w:r>
    </w:p>
    <w:p>
      <w:pPr>
        <w:spacing w:after="0" w:line="167"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6"/>
          <w:szCs w:val="16"/>
          <w:color w:val="auto"/>
        </w:rPr>
        <w:t>We may need additional capital to grow our business and meet our strategic objectives. Our ability to obtain additional capital, if and when required, will depend on numerous factors, including investor and lender demand, our historical and forecasted financial and operating performance, our market position, and the overall condition of the capital markets. We cannot guarantee that additional financing will be available to us on favorable terms when required, or at all. In addition, if we raise additional funds through the issuance of equity securities, those securities may have powers, preferences or rights senior to the rights of our Class A common stock, and our existing stockholders may experience immediate dilution. If we raise additional funds through the issuance of debt securities, we may incur interest expense or other costs to service the indebtedness, we may be required to encumber certain assets, and we may become subject to restrictions on our ability to conduct business, any of which could negatively impact our operating results. Furthermore, if we are unable to obtain adequate financing or financing on terms satisfactory to us when we require it, our ability to continue to support the growth of our business and the achievement of our strategic objectives could be significantly impaired and our operating results may be harmed.</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Our estimates of market opportunity are subject to significant uncertainty and, even if the markets in which we compete meet or exceed our size estimates, we could fail to increase our revenue or market share.</w:t>
      </w:r>
    </w:p>
    <w:p>
      <w:pPr>
        <w:spacing w:after="0" w:line="167"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color w:val="auto"/>
        </w:rPr>
        <w:t>Market opportunity estimates are subject to significant uncertainty and are based on assumptions and estimates, including our internal analysis and industry experience. Assessing the market for industry-specific, cloud-based business management software is particularly difficult due to a number of factors, including limited available information and rapid evolution of the market. Further, market opportunity estimates sometimes change based on relevant macro-trends and market conditions, or evolving assessment methodologies. We determine the level of our investment in various aspects of the business, in part, based on our market opportunity estimates. If we had made different assumptions, our estimates of market opportunity, and/or our related investment determinations, could be materially different.</w:t>
      </w:r>
    </w:p>
    <w:p>
      <w:pPr>
        <w:spacing w:after="0" w:line="152"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6"/>
          <w:szCs w:val="16"/>
          <w:color w:val="auto"/>
        </w:rPr>
        <w:t>In addition, even if the markets in which we compete meet or exceed our size estimates, our software solutions could fail to gain market acceptance and our business may not grow in line with our forecasts, or at all, which would have a material adverse impact on our financial condition and operating results.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712"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7"/>
          <w:szCs w:val="17"/>
          <w:b w:val="1"/>
          <w:bCs w:val="1"/>
          <w:i w:val="1"/>
          <w:iCs w:val="1"/>
          <w:color w:val="auto"/>
        </w:rPr>
        <w:t>We have acquired, and may in the future acquire, other companies or technologies, which could divert our management’s attention, result in additional dilution to our stockholders and otherwise disrupt our operations.</w:t>
      </w:r>
    </w:p>
    <w:p>
      <w:pPr>
        <w:spacing w:after="0" w:line="167"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We have acquired, and may in the future acquire, other companies or technologies to complement or expand our software solutions, optimize our technical capabilities, enhance our ability to compete in our targeted verticals, provide an opportunity to expand into an adjacent market or new vertical, or otherwise offer growth or strategic opportunities. For example, in our real estate vertical, we acquired substantially all of the assets of WegoWise in 2018 and completed the acquisition of Dynasty in 2019. The pursuit of acquisitions may divert the attention of management and cause us to incur various expenses in identifying, investigating and pursuing suitable acquisitions, whether or not they are consummated.</w:t>
      </w:r>
    </w:p>
    <w:p>
      <w:pPr>
        <w:spacing w:after="0" w:line="180"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6"/>
          <w:szCs w:val="16"/>
          <w:color w:val="auto"/>
        </w:rPr>
        <w:t>We have limited experience acquiring other businesses. We may not be able to integrate acquired assets, technologies, personnel and operations successfully or achieve the anticipated synergies or other benefits from the acquired business due to a number of risks associated with acquisitions, including:</w:t>
      </w:r>
    </w:p>
    <w:p>
      <w:pPr>
        <w:spacing w:after="0" w:line="82" w:lineRule="exact"/>
        <w:rPr>
          <w:sz w:val="20"/>
          <w:szCs w:val="20"/>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aggregate cost, whether in cash or equity securities, to acquire the business;</w:t>
      </w:r>
    </w:p>
    <w:p>
      <w:pPr>
        <w:spacing w:after="0" w:line="140"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difficulties integrating the assets, technologies, personnel or operations of the acquired business in a cost-effective manner;</w:t>
      </w:r>
    </w:p>
    <w:p>
      <w:pPr>
        <w:spacing w:after="0" w:line="140"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products and services of the acquired business;</w:t>
      </w:r>
    </w:p>
    <w:p>
      <w:pPr>
        <w:spacing w:after="0" w:line="140"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difficulties converting the customers of the acquired business to our software solutions and contract terms;</w:t>
      </w:r>
    </w:p>
    <w:p>
      <w:pPr>
        <w:spacing w:after="0" w:line="140"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diversion of management’s attention from our business to address acquisition and integration challenges, as well as post-acquisition disputes;</w:t>
      </w:r>
    </w:p>
    <w:p>
      <w:pPr>
        <w:spacing w:after="0" w:line="151" w:lineRule="exact"/>
        <w:rPr>
          <w:rFonts w:ascii="Arial" w:cs="Arial" w:eastAsia="Arial" w:hAnsi="Arial"/>
          <w:sz w:val="16"/>
          <w:szCs w:val="16"/>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adverse effects on our existing business relationships with customers and strategic partners as a result of the acquisition;</w:t>
      </w:r>
    </w:p>
    <w:p>
      <w:pPr>
        <w:spacing w:after="0" w:line="140"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cultural challenges associated with integrating employees from the acquired organization into our company;</w:t>
      </w:r>
    </w:p>
    <w:p>
      <w:pPr>
        <w:spacing w:after="0" w:line="140"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loss of key employees;</w:t>
      </w:r>
    </w:p>
    <w:p>
      <w:pPr>
        <w:spacing w:after="0" w:line="140"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use of resources that are needed in other parts of our business;</w:t>
      </w:r>
    </w:p>
    <w:p>
      <w:pPr>
        <w:spacing w:after="0" w:line="140" w:lineRule="exact"/>
        <w:rPr>
          <w:rFonts w:ascii="Arial" w:cs="Arial" w:eastAsia="Arial" w:hAnsi="Arial"/>
          <w:sz w:val="17"/>
          <w:szCs w:val="17"/>
          <w:color w:val="auto"/>
        </w:rPr>
      </w:pPr>
    </w:p>
    <w:p>
      <w:pPr>
        <w:ind w:left="1040" w:hanging="444"/>
        <w:spacing w:after="0" w:line="264"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costs associated with and exposure to new or enhanced legal, regulatory or other compliance-based and/or operational risks implicit in the acquired business;</w:t>
      </w:r>
    </w:p>
    <w:p>
      <w:pPr>
        <w:spacing w:after="0" w:line="104"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use of substantial portions of our available cash resources to consummate the acquisition or pay acquisition-related expenses; and</w:t>
      </w:r>
    </w:p>
    <w:p>
      <w:pPr>
        <w:spacing w:after="0" w:line="140"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unanticipated costs or liabilities associated with the acquisition.</w:t>
      </w:r>
    </w:p>
    <w:p>
      <w:pPr>
        <w:spacing w:after="0" w:line="202"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6"/>
          <w:szCs w:val="16"/>
          <w:color w:val="auto"/>
        </w:rPr>
        <w:t>If an acquisition fails to meet our expectations in terms of its contribution to our overall business strategy or operating results, or if the costs of acquiring or integrating the acquired business exceed our estimates, our business, operating results and financial condition may suffer. In addition, acquisitions could result in the issuance of equity securities, which would result in immediate dilution to our stockholders or, the incurrence of debt, which could impose debt service obligations and restrictions on our ability to operate our business. Furthermore, a significant portion of the purchase price of companies we may acquire could be allocated to goodwill and other intangible assets, which must be assessed for impairment. In the future, if our acquisitions do not yield expected returns, we may be required to take charges to our operating results based on this impairment assessment process, which could adversely affect our operating results.</w:t>
      </w:r>
    </w:p>
    <w:p>
      <w:pPr>
        <w:spacing w:after="0" w:line="169" w:lineRule="exact"/>
        <w:rPr>
          <w:sz w:val="20"/>
          <w:szCs w:val="20"/>
          <w:color w:val="auto"/>
        </w:rPr>
      </w:pPr>
    </w:p>
    <w:p>
      <w:pPr>
        <w:jc w:val="both"/>
        <w:spacing w:after="0" w:line="304" w:lineRule="auto"/>
        <w:rPr>
          <w:sz w:val="20"/>
          <w:szCs w:val="20"/>
          <w:color w:val="auto"/>
        </w:rPr>
      </w:pPr>
      <w:r>
        <w:rPr>
          <w:rFonts w:ascii="Arial" w:cs="Arial" w:eastAsia="Arial" w:hAnsi="Arial"/>
          <w:sz w:val="15"/>
          <w:szCs w:val="15"/>
          <w:b w:val="1"/>
          <w:bCs w:val="1"/>
          <w:i w:val="1"/>
          <w:iCs w:val="1"/>
          <w:color w:val="auto"/>
        </w:rPr>
        <w:t>Security vulnerabilities in our software solutions or a breach of our security controls could result in the loss, theft, misuse, unauthorized disclosure, or unauthorized access to customer or employee data, or other confidential and sensitive information, which could harm our relationships with customers or employees, expose us to litigation or regulatory proceedings, or harm our reputation, any of which could materially harm our business and operating results.</w:t>
      </w:r>
    </w:p>
    <w:p>
      <w:pPr>
        <w:spacing w:after="0" w:line="140"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Our business involves the storage and transmission of a significant amount of confidential and sensitive information, including the personal information of our employees and other individuals, customer data, and our proprietary financial, operational and strategic information. In providing our software solutions, we store and transmit large amounts of our customers’ data, including sensitive and proprietary data and personal information collected by or on behalf of our customers. Our software solutions 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575" w:right="239" w:bottom="1440" w:gutter="0" w:footer="0" w:header="0"/>
        </w:sectPr>
      </w:pPr>
    </w:p>
    <w:bookmarkStart w:id="16" w:name="page17"/>
    <w:bookmarkEnd w:id="16"/>
    <w:p>
      <w:pPr>
        <w:jc w:val="both"/>
        <w:spacing w:after="0" w:line="281" w:lineRule="auto"/>
        <w:rPr>
          <w:sz w:val="20"/>
          <w:szCs w:val="20"/>
          <w:color w:val="auto"/>
        </w:rPr>
      </w:pPr>
      <w:r>
        <w:rPr>
          <w:rFonts w:ascii="Arial" w:cs="Arial" w:eastAsia="Arial" w:hAnsi="Arial"/>
          <w:sz w:val="15"/>
          <w:szCs w:val="15"/>
          <w:color w:val="auto"/>
        </w:rPr>
        <w:t>typically the system of record, system of engagement and, increasingly, the system of intelligence for all or a portion of our customers’ businesses, and the data processed through our software solutions is critical to their businesses. Cyber attacks and other malicious Internet-based activities continue on a regular basis, as evidenced by the recent targeting of a number of high profile companies and organizations. Like many other businesses, we have experienced, and are continually at risk of being subject to, attacks and data security incidents. As our business grows, the number of users of our software solutions, as well as the amount of information we collect and store, is increasing, and our brands are becoming more widely recognized. We believe these factors combine to make us an even greater target for this type of malicious activity. Although we take data security seriously, there can be no assurance that the security measures we employ will prevent malicious or unauthorized access to our systems and information. Techniques used to sabotage, or to obtain unauthorized access to, systems or networks change frequently and may not be recognized until launched against a target. Furthermore, no security program can eliminate entirely the risk of non-malicious human error, such as an employee or contractor’s failure to follow one or more security protocols. Therefore, despite our significant efforts to keep our systems and networks protected and up to date, we may be unable to anticipate cyber attacks, detect security incidents or react to them in a timely manner, or implement adequate preventive measures, any of which may expose us to a risk of loss, litigation and potential liability. In addition, some of our third-party service providers also collect and/or store our sensitive information and our customers’ data on our behalf, and these service providers are subject to similar threats of cyber attacks and other malicious Internet-based activities.</w:t>
      </w:r>
    </w:p>
    <w:p>
      <w:pPr>
        <w:spacing w:after="0" w:line="163" w:lineRule="exact"/>
        <w:rPr>
          <w:sz w:val="20"/>
          <w:szCs w:val="20"/>
          <w:color w:val="auto"/>
        </w:rPr>
      </w:pPr>
    </w:p>
    <w:p>
      <w:pPr>
        <w:jc w:val="both"/>
        <w:ind w:firstLine="597"/>
        <w:spacing w:after="0" w:line="262" w:lineRule="auto"/>
        <w:rPr>
          <w:sz w:val="20"/>
          <w:szCs w:val="20"/>
          <w:color w:val="auto"/>
        </w:rPr>
      </w:pPr>
      <w:r>
        <w:rPr>
          <w:rFonts w:ascii="Arial" w:cs="Arial" w:eastAsia="Arial" w:hAnsi="Arial"/>
          <w:sz w:val="16"/>
          <w:szCs w:val="16"/>
          <w:color w:val="auto"/>
        </w:rPr>
        <w:t>If our security measures, or the security measures of our third-party service providers, are breached as a result of wrongdoing or malicious activity on the part of our employees, our partners’ employees, our customers’ employees, or any third party, or as a result of any human error or neglect, product defect or otherwise, and this results in the loss, theft, misuse, unauthorized disclosure, or unauthorized access to customer data or other sensitive information, we could incur liability to our customers and to individuals or organizations whose information was being stored by us or our customers, as well as, for example, fines from payment processing networks and/or regulatory action by governmental bodies. If we experience a widespread security breach, we cannot be certain that our insurance coverage will be sufficient to compensate us for liabilities actually incurred or that insurance will continue to be available to us on reasonable terms, or at all. In addition, any security breaches could result in reputational damage, adversely affect our ability to attract new customers and cause existing customers to reduce or discontinue the use of our software solutions, any of which could harm our business and operating results. Furthermore, the perception by our current or potential customers that our software solutions could be vulnerable to exploitation or that our security measures are inadequate, even in the absence of a particular problem or threat, could reduce market acceptance of our software solutions and cause us to lose customers. The legal and regulatory environment around data security and governance is significantly evolving and tightening, and both regulators and consumers are increasingly taking action on data-related matters, which may contribute to increased reputational, economic and other harm in the event of a data security incident.</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Service outages due to malicious activities or performance problems associated with our technology infrastructure could harm our reputation, adversely affect our ability to attract new customers and cause us to lose existing customers.</w:t>
      </w:r>
    </w:p>
    <w:p>
      <w:pPr>
        <w:spacing w:after="0" w:line="167" w:lineRule="exact"/>
        <w:rPr>
          <w:sz w:val="20"/>
          <w:szCs w:val="20"/>
          <w:color w:val="auto"/>
        </w:rPr>
      </w:pPr>
    </w:p>
    <w:p>
      <w:pPr>
        <w:jc w:val="both"/>
        <w:ind w:firstLine="597"/>
        <w:spacing w:after="0" w:line="271" w:lineRule="auto"/>
        <w:rPr>
          <w:sz w:val="20"/>
          <w:szCs w:val="20"/>
          <w:color w:val="auto"/>
        </w:rPr>
      </w:pPr>
      <w:r>
        <w:rPr>
          <w:rFonts w:ascii="Arial" w:cs="Arial" w:eastAsia="Arial" w:hAnsi="Arial"/>
          <w:sz w:val="16"/>
          <w:szCs w:val="16"/>
          <w:color w:val="auto"/>
        </w:rPr>
        <w:t>We have experienced significant growth in the number of users and the amount of data that our technology infrastructure supports, and we expect this growth to continue. We seek to maintain sufficient excess capacity in our technology infrastructure to meet the needs of all of our customers, including to facilitate the expansion of existing customer deployments and the provisioning of new customer deployments. In addition, we need to properly manage our technology infrastructure in order to support version control, changes in hardware and software parameters, and the evolution of our software solutions.</w:t>
      </w:r>
    </w:p>
    <w:p>
      <w:pPr>
        <w:spacing w:after="0" w:line="164"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We have experienced, and may in the future experience, website disruptions, service outages and other performance problems with our technology infrastructure. These problems may be caused by a variety of factors, including infrastructure changes, power or network outages, fire, flood or other natural disasters affecting our data centers, human or software errors, viruses, security breaches, fraud or other malicious activity, spikes in customer usage and distributed denial of service attacks. In some instances, we may not be able to identify the cause or causes of these service outages and performance problems within an acceptable period of time. If our technology infrastructure fails to keep pace with the increased number of users and amount of data, or if we are unable to avoid service outages and performance problems, or to resolve them quickly, this could adversely affect our ability to attract new customers, result in the loss of existing customers and harm our reputation, any or all of which could adversely affect our business and operating results.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Errors, defects or other disruptions in our software solutions could harm our reputation, cause us to lose customers, and result in significant expenditures to correct the problem.</w:t>
      </w:r>
    </w:p>
    <w:p>
      <w:pPr>
        <w:spacing w:after="0" w:line="167"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Our customers use our software solutions to manage critical aspects of their businesses, and any errors, defects or other disruptions in the performance of our software solutions, including with respect to third party partners upon which certain of our software solutions are dependent, may result in loss of or damage to our customers’ data and disruption to our customers’ businesses, which could harm our reputation. We provide continuous updates to our software solutions and, while our software updates undergo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575" w:right="239" w:bottom="1440" w:gutter="0" w:footer="0" w:header="0"/>
        </w:sectPr>
      </w:pPr>
    </w:p>
    <w:bookmarkStart w:id="17" w:name="page18"/>
    <w:bookmarkEnd w:id="17"/>
    <w:p>
      <w:pPr>
        <w:jc w:val="both"/>
        <w:spacing w:after="0" w:line="284" w:lineRule="auto"/>
        <w:rPr>
          <w:sz w:val="20"/>
          <w:szCs w:val="20"/>
          <w:color w:val="auto"/>
        </w:rPr>
      </w:pPr>
      <w:r>
        <w:rPr>
          <w:rFonts w:ascii="Arial" w:cs="Arial" w:eastAsia="Arial" w:hAnsi="Arial"/>
          <w:sz w:val="15"/>
          <w:szCs w:val="15"/>
          <w:color w:val="auto"/>
        </w:rPr>
        <w:t>extensive testing prior to their release, these updates may contain undetected errors when first introduced. In the past, we have discovered errors, failures, vulnerabilities and bugs in our software updates after they have been released, and similar problems may arise in the future. Real or perceived errors, failures, vulnerabilities or bugs in our software solutions could result in negative publicity, reputational harm, loss of customers, delay in market acceptance of our software solutions, loss of competitive position, withholding or delay of payment to us, claims by customers for losses sustained by them and potential litigation or regulatory action. In any such event, we may be required to expend additional resources in order to help correct the problem or, in order to address customer service or reputational concerns, we may choose to expend additional resources to take corrective action even where not required. The costs incurred in correcting any material errors, defects or other disruptions could be substantial and there may not be any corresponding increase in revenue to offset these costs. In addition, we may not carry insurance sufficient to compensate us for any losses that may result from claims arising from errors, defects or other disruptions in our software solutions.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Government regulation is evolving and unfavorable changes could adversely affect our operating results, subject us to litigation or governmental investigation, or otherwise harm our business.</w:t>
      </w:r>
    </w:p>
    <w:p>
      <w:pPr>
        <w:spacing w:after="0" w:line="167" w:lineRule="exact"/>
        <w:rPr>
          <w:sz w:val="20"/>
          <w:szCs w:val="20"/>
          <w:color w:val="auto"/>
        </w:rPr>
      </w:pPr>
    </w:p>
    <w:p>
      <w:pPr>
        <w:jc w:val="both"/>
        <w:ind w:firstLine="597"/>
        <w:spacing w:after="0" w:line="263" w:lineRule="auto"/>
        <w:rPr>
          <w:sz w:val="20"/>
          <w:szCs w:val="20"/>
          <w:color w:val="auto"/>
        </w:rPr>
      </w:pPr>
      <w:r>
        <w:rPr>
          <w:rFonts w:ascii="Arial" w:cs="Arial" w:eastAsia="Arial" w:hAnsi="Arial"/>
          <w:sz w:val="16"/>
          <w:szCs w:val="16"/>
          <w:color w:val="auto"/>
        </w:rPr>
        <w:t>We are subject to general business regulations and laws, as well as regulations and laws specifically governing the highly regulated real estate and legal markets, electronic payment, background screening and insurance services markets, the Internet itself, the use of mobile devices to conduct business and communicate, and many other products and services we provide. Existing and future laws and regulations may impede our growth. These regulations and laws may cover privacy, data protection, artificial intelligence and related technologies, pricing, content, intellectual property, mobile communications, electronic contracts and other communications, competition, consumer protection, employment, trade and protectionist measures, web services, the provision of online payment and tenant screening services, information reporting requirements, unencumbered Internet access to our products or services, and the design and operation of websites. It is not clear how existing laws governing issues such as property ownership, management, rental and investment, data protection, and personal privacy apply to the Internet, digital content, web services, and artificial intelligence technologies and services. Unfavorable regulations, laws, and administrative or judicial decisions interpreting or applying those laws and regulations could diminish the demand for, or availability of, our products and services, subject us to litigation or governmental investigation and increase our cost of doing business, any of which may adversely affect our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Privacy and data security laws and regulations could impose additional costs on us and reduce the demand for our software solutions.</w:t>
      </w:r>
    </w:p>
    <w:p>
      <w:pPr>
        <w:spacing w:after="0" w:line="202" w:lineRule="exact"/>
        <w:rPr>
          <w:sz w:val="20"/>
          <w:szCs w:val="20"/>
          <w:color w:val="auto"/>
        </w:rPr>
      </w:pPr>
    </w:p>
    <w:p>
      <w:pPr>
        <w:jc w:val="both"/>
        <w:ind w:firstLine="597"/>
        <w:spacing w:after="0" w:line="283" w:lineRule="auto"/>
        <w:rPr>
          <w:sz w:val="20"/>
          <w:szCs w:val="20"/>
          <w:color w:val="auto"/>
        </w:rPr>
      </w:pPr>
      <w:r>
        <w:rPr>
          <w:rFonts w:ascii="Arial" w:cs="Arial" w:eastAsia="Arial" w:hAnsi="Arial"/>
          <w:sz w:val="15"/>
          <w:szCs w:val="15"/>
          <w:color w:val="auto"/>
        </w:rPr>
        <w:t>We store and transmit personal information relating to our employees and other individuals, and our customers use our technology platform to store and transmit a significant amount of personal information relating to their clients, vendors, employees and other industry participants. Privacy and data security have become significant issues in the United States and in other jurisdictions where we may operate or offer our software solutions. The regulatory framework relating to privacy and data security worldwide is rapidly evolving and tightening, and is likely to remain uncertain for the foreseeable future. Federal, state and foreign government bodies and agencies have in the past adopted, and may in the future adopt, laws and regulations regarding the collection, use, processing, storage and disclosure of personal or identifying information obtained from customers and other individuals. For instance, the California Consumer Privacy Act, which went into effect on January 1, 2020, creates new data privacy and security rights for California residents. Similarly, there are a number of existing and proposed laws and regulations in the European Union and the United States at both the federal and state level, as well as other jurisdictions that could impose new obligations in areas affecting our business. These new obligations could increase the cost and complexity of delivering our services, and divert our managements’ attention from pursuing strategic objectives.</w:t>
      </w:r>
    </w:p>
    <w:p>
      <w:pPr>
        <w:spacing w:after="0" w:line="159"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color w:val="auto"/>
        </w:rPr>
        <w:t>In addition to government regulation, privacy advocates and industry groups may propose various self-regulatory standards that may legally or contractually apply to our business. Because the interpretation and application of many privacy and data security laws, regulations and applicable industry standards are uncertain, it is possible that these laws, regulations and standards may be interpreted and applied in a manner inconsistent with our existing privacy and data management practices. As new laws, regulations and industry standards take effect, and as we expand into new jurisdictions, adjacent markets or verticals consistent with our strategic plan, we will need to understand and comply with various new requirements, which may result in significant additional costs.</w:t>
      </w:r>
    </w:p>
    <w:p>
      <w:pPr>
        <w:spacing w:after="0" w:line="152"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6"/>
          <w:szCs w:val="16"/>
          <w:color w:val="auto"/>
        </w:rPr>
        <w:t>To the extent applicable to our business or the businesses of our customers, these laws, regulations and industry standards could have negative effects on our business, including by increasing our costs and operating expenses, and/or delaying or impeding our deployment of new or existing core functionality or Value+ services. Compliance with these laws, regulations and industry standards requires significant management time and attention, and failure to comply could result in negative publicity, subject us to fines or penalties, expose us to litigation, or result in demands that we modify or cease existing business practices. In addition, the costs of compliance with, and other burdens imposed by, such laws, regulations and industry standards may adversely affect our customers’ ability or desire to collect, use, process and store personal information using our software solutions, which could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575" w:right="239" w:bottom="1440" w:gutter="0" w:footer="0" w:header="0"/>
        </w:sectPr>
      </w:pPr>
    </w:p>
    <w:bookmarkStart w:id="18" w:name="page19"/>
    <w:bookmarkEnd w:id="18"/>
    <w:p>
      <w:pPr>
        <w:jc w:val="both"/>
        <w:spacing w:after="0" w:line="304" w:lineRule="auto"/>
        <w:rPr>
          <w:sz w:val="20"/>
          <w:szCs w:val="20"/>
          <w:color w:val="auto"/>
        </w:rPr>
      </w:pPr>
      <w:r>
        <w:rPr>
          <w:rFonts w:ascii="Arial" w:cs="Arial" w:eastAsia="Arial" w:hAnsi="Arial"/>
          <w:sz w:val="15"/>
          <w:szCs w:val="15"/>
          <w:color w:val="auto"/>
        </w:rPr>
        <w:t>reduce overall demand for them. Even the perception of privacy and data security concerns, whether or not valid, may inhibit market acceptance of our software solutions. Furthermore, privacy and data security concerns may cause our customers’ clients, vendors, employees and other industry participants to resist providing the personal information necessary to allow our customers to use our applications effectively. Any of these outcomes could adversely affect our business and operating results.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a number of risks in our electronic payment services business that could adversely affect our business or operating results.</w:t>
      </w:r>
    </w:p>
    <w:p>
      <w:pPr>
        <w:spacing w:after="0" w:line="202"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In our electronic payments services business, we facilitate the processing of both inbound and outbound payments for our customers. These payments are settled through our sponsoring clearing bank, card payment processors, and other third-party electronic payment services providers that we may contract with from time to time. Our electronic payment services subject us to a number of risks, including, but not limited to:</w:t>
      </w:r>
    </w:p>
    <w:p>
      <w:pPr>
        <w:spacing w:after="0" w:line="113" w:lineRule="exact"/>
        <w:rPr>
          <w:sz w:val="20"/>
          <w:szCs w:val="20"/>
          <w:color w:val="auto"/>
        </w:rPr>
      </w:pPr>
    </w:p>
    <w:p>
      <w:pPr>
        <w:ind w:left="1040" w:hanging="444"/>
        <w:spacing w:after="0" w:line="264"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liability for customer costs related to disputed or fraudulent transactions if those costs exceed the amount of the customer reserves we have, if any, during the clearing period or after payments have been settled to our customers;</w:t>
      </w:r>
    </w:p>
    <w:p>
      <w:pPr>
        <w:spacing w:after="0" w:line="104" w:lineRule="exact"/>
        <w:rPr>
          <w:rFonts w:ascii="Arial" w:cs="Arial" w:eastAsia="Arial" w:hAnsi="Arial"/>
          <w:sz w:val="17"/>
          <w:szCs w:val="17"/>
          <w:color w:val="auto"/>
        </w:rPr>
      </w:pPr>
    </w:p>
    <w:p>
      <w:pPr>
        <w:ind w:left="1040" w:hanging="444"/>
        <w:spacing w:after="0" w:line="264"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electronic processing limits on the amounts that any single electronic payment services provider, or collectively all of our electronic payment services providers, will underwrite;</w:t>
      </w:r>
    </w:p>
    <w:p>
      <w:pPr>
        <w:spacing w:after="0" w:line="104" w:lineRule="exact"/>
        <w:rPr>
          <w:rFonts w:ascii="Arial" w:cs="Arial" w:eastAsia="Arial" w:hAnsi="Arial"/>
          <w:sz w:val="17"/>
          <w:szCs w:val="17"/>
          <w:color w:val="auto"/>
        </w:rPr>
      </w:pPr>
    </w:p>
    <w:p>
      <w:pPr>
        <w:ind w:left="1040" w:hanging="444"/>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reliance on sponsoring clearing banks, card payment processors and other electronic payment providers to process electronic transactions;</w:t>
      </w:r>
    </w:p>
    <w:p>
      <w:pPr>
        <w:spacing w:after="0" w:line="151" w:lineRule="exact"/>
        <w:rPr>
          <w:rFonts w:ascii="Arial" w:cs="Arial" w:eastAsia="Arial" w:hAnsi="Arial"/>
          <w:sz w:val="16"/>
          <w:szCs w:val="16"/>
          <w:color w:val="auto"/>
        </w:rPr>
      </w:pPr>
    </w:p>
    <w:p>
      <w:pPr>
        <w:ind w:left="1040" w:hanging="444"/>
        <w:spacing w:after="0" w:line="264"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failure by us, our electronic payment services providers or our customers to adhere to applicable laws, regulations and standards that apply to the provision of electronic payment services;</w:t>
      </w:r>
    </w:p>
    <w:p>
      <w:pPr>
        <w:spacing w:after="0" w:line="104" w:lineRule="exact"/>
        <w:rPr>
          <w:rFonts w:ascii="Arial" w:cs="Arial" w:eastAsia="Arial" w:hAnsi="Arial"/>
          <w:sz w:val="17"/>
          <w:szCs w:val="17"/>
          <w:color w:val="auto"/>
        </w:rPr>
      </w:pPr>
    </w:p>
    <w:p>
      <w:pPr>
        <w:ind w:left="1040" w:hanging="444"/>
        <w:spacing w:after="0" w:line="264"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continually evolving laws and regulations governing money transmission and anti-money laundering, the application or interpretation of which is not clear in some jurisdictions;</w:t>
      </w:r>
    </w:p>
    <w:p>
      <w:pPr>
        <w:spacing w:after="0" w:line="104" w:lineRule="exact"/>
        <w:rPr>
          <w:rFonts w:ascii="Arial" w:cs="Arial" w:eastAsia="Arial" w:hAnsi="Arial"/>
          <w:sz w:val="17"/>
          <w:szCs w:val="17"/>
          <w:color w:val="auto"/>
        </w:rPr>
      </w:pPr>
    </w:p>
    <w:p>
      <w:pPr>
        <w:ind w:left="1040" w:hanging="444"/>
        <w:spacing w:after="0" w:line="264"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incidences of fraud in our electronic payment services ecosystem, security breaches, errors, defects, failures, vulnerabilities or bugs in our electronic payment services business, or our failure to comply with required external audit standards; and</w:t>
      </w:r>
    </w:p>
    <w:p>
      <w:pPr>
        <w:spacing w:after="0" w:line="104" w:lineRule="exact"/>
        <w:rPr>
          <w:rFonts w:ascii="Arial" w:cs="Arial" w:eastAsia="Arial" w:hAnsi="Arial"/>
          <w:sz w:val="17"/>
          <w:szCs w:val="17"/>
          <w:color w:val="auto"/>
        </w:rPr>
      </w:pPr>
    </w:p>
    <w:p>
      <w:pPr>
        <w:ind w:left="1040" w:hanging="444"/>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inability to increase our fees as the business evolves in a sufficient amount to maintain our existing margins.</w:t>
      </w:r>
    </w:p>
    <w:p>
      <w:pPr>
        <w:spacing w:after="0" w:line="339"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If any of these risks related to our electronic payment services were to materialize, our business or operating results could be negatively affected. Although we attempt to structure and adapt our electronic payment services to comply with complex and evolving laws, regulations and standards, our underwriting efforts do not guarantee compliance. In the event that we are found to be in violation of our legal, regulatory or contractual requirements, we may be subject to monetary fines or penalties, cease and desist orders, mandatory product changes, or other liabilities that could have an adverse effect on our operating results.</w:t>
      </w:r>
    </w:p>
    <w:p>
      <w:pPr>
        <w:spacing w:after="0" w:line="147"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color w:val="auto"/>
        </w:rPr>
        <w:t>Additionally, with respect to the processing of electronic payment transactions by our third-party electronic payment services providers, we are exposed to financial risk. Electronic payment transactions between our customer and another user may be returned for various reasons such as insufficient funds, fraud or stop payment orders. If we or our electronic payment services provider is unable to collect such amounts from the customer’s account (such as if the customer is illegitimate, or if the customer refuses or is unable to reimburse us for the amounts charged back), we bear the ultimate risk of loss for the transaction amount. While we have not experienced material losses resulting from amounts charged back in the past, there can be no assurance that we will not experience these types of significant losses in the future.</w:t>
      </w:r>
    </w:p>
    <w:p>
      <w:pPr>
        <w:spacing w:after="0" w:line="152"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6"/>
          <w:szCs w:val="16"/>
          <w:color w:val="auto"/>
        </w:rPr>
        <w:t>In addition to the aforementioned risks associated with our electronic payment services, there is an overarching risk stemming from the potential widespread adoption of quickly evolving financial technology products, including, for example, blockchain or other distributed ledger technologies, that could materially impact the manner in which payments are processed, the mix of payment methodologies conventionally utilized by payors and payees, and the regulatory framework applicable to such payments. The adoption of disruptive financial technologies could significantly reduce the volume of our electronic payment services business or change the transaction costs associated with or potential revenue derived from those payments, thereby reducing our revenue and increasing our associated expenses, which could materially impact our business, financial condition, operating results and, ultimately, our stock price.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Evolution and expansion of our electronic payment services may subject us to additional risks and regulatory requirements.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575" w:right="239" w:bottom="1440" w:gutter="0" w:footer="0" w:header="0"/>
        </w:sectPr>
      </w:pPr>
    </w:p>
    <w:bookmarkStart w:id="19" w:name="page20"/>
    <w:bookmarkEnd w:id="19"/>
    <w:p>
      <w:pPr>
        <w:jc w:val="both"/>
        <w:ind w:firstLine="597"/>
        <w:spacing w:after="0" w:line="265" w:lineRule="auto"/>
        <w:rPr>
          <w:sz w:val="20"/>
          <w:szCs w:val="20"/>
          <w:color w:val="auto"/>
        </w:rPr>
      </w:pPr>
      <w:r>
        <w:rPr>
          <w:rFonts w:ascii="Arial" w:cs="Arial" w:eastAsia="Arial" w:hAnsi="Arial"/>
          <w:sz w:val="16"/>
          <w:szCs w:val="16"/>
          <w:color w:val="auto"/>
        </w:rPr>
        <w:t>The evolution and expansion of our electronic payment services may subject us to additional risks and regulatory requirements, including without limitation laws and regulations governing money transmission and anti-money laundering. These requirements vary throughout the markets in which we operate, and several jurisdictions lack clarity with respect to the application and interpretation of these rules. Our efforts to comply with these rules could require significant management time and effort, as well as significant expenditures, and will not guarantee our compliance with all regulatory requirements, especially given that the applicable regulatory frameworks are constantly changing and subject to evolving interpretation. While we maintain a compliance program focused on applicable laws and regulations throughout our applicable industries, there is no guarantee that we will not be subject to fines, penalties or other regulatory actions in one or more jurisdictions, or be required to adjust our business practices to accommodate future regulatory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a number of risks in our tenant screening services business that could adversely affect our business or operating results.</w:t>
      </w:r>
    </w:p>
    <w:p>
      <w:pPr>
        <w:spacing w:after="0" w:line="202" w:lineRule="exact"/>
        <w:rPr>
          <w:sz w:val="20"/>
          <w:szCs w:val="20"/>
          <w:color w:val="auto"/>
        </w:rPr>
      </w:pPr>
    </w:p>
    <w:p>
      <w:pPr>
        <w:jc w:val="both"/>
        <w:ind w:firstLine="597"/>
        <w:spacing w:after="0" w:line="247" w:lineRule="auto"/>
        <w:rPr>
          <w:sz w:val="20"/>
          <w:szCs w:val="20"/>
          <w:color w:val="auto"/>
        </w:rPr>
      </w:pPr>
      <w:r>
        <w:rPr>
          <w:rFonts w:ascii="Arial" w:cs="Arial" w:eastAsia="Arial" w:hAnsi="Arial"/>
          <w:sz w:val="17"/>
          <w:szCs w:val="17"/>
          <w:color w:val="auto"/>
        </w:rPr>
        <w:t>Our tenant screening services business is subject to a number of complex laws that are subject to varying interpretations, including without limitation the Fair Credit Reporting Act (the "FCRA") and related regulations. The FCRA has recently been the subject of multiple class-based litigation proceedings, as well as numerous regulatory inquiries and enforcement actions. In addition, entities such as the Federal Trade Commission (the "FTC") and the Consumer Financial Protection Bureau ("CFPB") have the authority to promulgate rules and regulations that may impact our customers and our business. Although we attempt to structure and adapt our tenant screening services to comply with these and other relevant laws and regulations, we may from time to time be found to be in violation of them. Further, regardless of our compliance with applicable laws and regulations, we may from time to time be subject to regulatory inquiries, enforcement actions, class-based litigation or indemnity demands.</w:t>
      </w:r>
    </w:p>
    <w:p>
      <w:pPr>
        <w:spacing w:after="0" w:line="184" w:lineRule="exact"/>
        <w:rPr>
          <w:sz w:val="20"/>
          <w:szCs w:val="20"/>
          <w:color w:val="auto"/>
        </w:rPr>
      </w:pPr>
    </w:p>
    <w:p>
      <w:pPr>
        <w:jc w:val="both"/>
        <w:ind w:firstLine="597"/>
        <w:spacing w:after="0" w:line="248" w:lineRule="auto"/>
        <w:rPr>
          <w:sz w:val="20"/>
          <w:szCs w:val="20"/>
          <w:color w:val="auto"/>
        </w:rPr>
      </w:pPr>
      <w:r>
        <w:rPr>
          <w:rFonts w:ascii="Arial" w:cs="Arial" w:eastAsia="Arial" w:hAnsi="Arial"/>
          <w:sz w:val="17"/>
          <w:szCs w:val="17"/>
          <w:color w:val="auto"/>
        </w:rPr>
        <w:t xml:space="preserve">As we have discussed, we completed the settlement of a class action lawsuit related to alleged violations of the FCRA in 2019. In addition, and as previously announced, we received a Civil Investigative Demand from the FTC in December 2018 requesting certain information relating to our compliance with the FCRA in connection with our tenant screening services business. Further, we received a Request for Information from the Civil Rights Division (Housing and Civil Enforcement Section) of the U.S. Department of Justice in July 2019 requesting certain information relating to our compliance with the Servicemembers Civil Relief Act in connection with our tenant screening services business. For additional information regarding legal proceedings, refer to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of our Consolidated Financial Statements.</w:t>
      </w:r>
    </w:p>
    <w:p>
      <w:pPr>
        <w:spacing w:after="0" w:line="181"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Due to the large number of tenant screening transactions in which we participate, our potential liability in an enforcement action or a class action lawsuit could be significant, especially given that certain applicable laws and regulations provide for fines or penalties on a per occurrence basis. The existence of any such enforcement action or class action lawsuit, whether meritorious or not, may adversely affect our ability to attract customers, result in the loss of existing customers, harm our reputation and cause us to incur defense costs or other expenses. Any of the foregoing events may negatively affect our business, financial condition, operating results and, ultimately, our stock price.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We use third-party service providers for important electronic payment and tenant screening services, and their failure to fulfill their contractual obligations could harm our reputation, disrupt our business and adversely affect our operating results.</w:t>
      </w:r>
    </w:p>
    <w:p>
      <w:pPr>
        <w:spacing w:after="0" w:line="167" w:lineRule="exact"/>
        <w:rPr>
          <w:sz w:val="20"/>
          <w:szCs w:val="20"/>
          <w:color w:val="auto"/>
        </w:rPr>
      </w:pPr>
    </w:p>
    <w:p>
      <w:pPr>
        <w:jc w:val="both"/>
        <w:ind w:firstLine="597"/>
        <w:spacing w:after="0" w:line="336" w:lineRule="auto"/>
        <w:rPr>
          <w:sz w:val="20"/>
          <w:szCs w:val="20"/>
          <w:color w:val="auto"/>
        </w:rPr>
      </w:pPr>
      <w:r>
        <w:rPr>
          <w:rFonts w:ascii="Arial" w:cs="Arial" w:eastAsia="Arial" w:hAnsi="Arial"/>
          <w:sz w:val="13"/>
          <w:szCs w:val="13"/>
          <w:color w:val="auto"/>
        </w:rPr>
        <w:t>We use third-party electronic payment services providers to enable us to provide electronic payment services to our customers, and third-party tenant screening services providers to enable us to provide tenant screening services, such as background and credit checks, to our customers. We rely on these service providers to provide us with accurate and timely information, and therefore have significantly less control over our electronic payment and tenant screening services than if we were to maintain and operate them ourselves. In some cases, functions necessary to our business are performed on proprietary third-party systems and software to which we have no access. We also generally do not have long-term contracts with these service providers. In addition, some of these service providers compete with us directly or indirectly in the markets we serve. The failure of these service providers to provide us with accurate and timely information, to fulfill their contractual obligations to us, or to renew their contracts with us, could result in direct liability to us, harm our reputation, result in significant disruptions to our business, and adversely affect our operating results.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Our corporate culture has contributed to our success and, if we cannot continue to foster this culture as we grow, we could lose the passion, creativity, teamwork, focus and innovation fostered by our culture.</w:t>
      </w:r>
    </w:p>
    <w:p>
      <w:pPr>
        <w:spacing w:after="0" w:line="167"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We believe that our culture has been and will continue to be a key contributor to our success. If we do not continue to develop our corporate culture or maintain our core values as we grow and evolve, we may be unable to foster the passion, creativity, teamwork, focus and innovation we believe we need to support our growth. Any failure to preserve our culture could negatively affect our ability to recruit and retain personnel and to effectively focus on and pursue our strategic objectives. Moreover, liquidity available to our employee security holders could lead to disparities of wealth among our employees, which could adversely impact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575"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7"/>
          <w:szCs w:val="17"/>
          <w:color w:val="auto"/>
        </w:rPr>
        <w:t>relations among employees and our culture in general. As we grow and mature as a public company, we may find it difficult to maintain our corporate culture. This difficulty is only exacerbated by our rapidly growing number of employees and our geographic expansion.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lose key members of our management team, our business may be harmed.</w:t>
      </w:r>
    </w:p>
    <w:p>
      <w:pPr>
        <w:spacing w:after="0" w:line="202"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6"/>
          <w:szCs w:val="16"/>
          <w:color w:val="auto"/>
        </w:rPr>
        <w:t>Our success and future growth depend, in part, upon the continued services of our executive officers and other key employees. From time to time, there may be changes in our executive officers or other key employees resulting from the hiring or departure of these personnel, which may disrupt our business. Our executive officers and other key employees are generally employed on an at-will basis, which means that these personnel could terminate their employment with us at any time. Additionally, the equity awards held by many of our executive officers and other key employees are close to fully vested, and these employees may not have sufficient financial incentive to stay with us. The loss of one or more of our executive officers or other key employees, or the failure by our executive team to work effectively with our employees and lead our company, could have an adverse effect on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depend on highly skilled personnel and, if we are unable to retain or hire additional qualified personnel, we may not be able to achieve our strategic objectives.</w:t>
      </w:r>
    </w:p>
    <w:p>
      <w:pPr>
        <w:spacing w:after="0" w:line="248"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6"/>
          <w:szCs w:val="16"/>
          <w:color w:val="auto"/>
        </w:rPr>
        <w:t>To execute our growth plan and achieve our strategic objectives, we must continue to attract and retain highly qualified and motivated personnel across our organization. In particular, in order to continue to enhance our software solutions, add new and innovative core functionality and/or Value+ services, as well as develop new products, it will be critical for us to increase the size of our research and product development organization, including hiring highly skilled software engineers. Competition for software engineers is intense within our industry and there continues to be upward pressure on the compensation paid to these professionals. In addition, in order for us to achieve broader market acceptance of our software solutions, grow our customer base, and pursue adjacent markets and new verticals, we will need to continue to increase the size of our sales and marketing and customer service and support organizations. Identifying and recruiting qualified personnel training them in the use of our software solutions and ensuring they are well-equipped to provide great service to our customers requires a significant investment of time and resources, and it can be particularly difficult to retain these individuals.</w:t>
      </w:r>
    </w:p>
    <w:p>
      <w:pPr>
        <w:spacing w:after="0" w:line="172"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Many of the companies with which we compete for experienced personnel have greater name recognition and financial resources than we have. In addition, our headquarters are located in Santa Barbara, California, which is not generally recognized as a prominent commercial center, and it is challenging to attract qualified professionals due to our geographic location. As a result, we may have even greater difficulty hiring and retaining skilled personnel than our competitors. If we hire employees from other companies, their former employers may attempt to assert that we or these employees have breached their legal obligations, resulting in a diversion of our time and resources.</w:t>
      </w:r>
    </w:p>
    <w:p>
      <w:pPr>
        <w:spacing w:after="0" w:line="180"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In addition, prospective and existing employees often consider the value of the equity awards they receive in connection with their employment. If the perceived value of our equity awards declines, or if the price of our Class A common stock experiences significant volatility, this may adversely affect our ability to recruit and retain highly skilled employees. If we are unable to attract and retain the personnel necessary to execute our growth plan, we may be unable to achieve our strategic objectives and our operating results may suffer.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markets in which we participate are intensely competitive and, if we do not compete effectively, our business could be harmed.</w:t>
      </w:r>
    </w:p>
    <w:p>
      <w:pPr>
        <w:spacing w:after="0" w:line="202"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The overall market for business management software is global, highly competitive and continually evolving in response to a number of factors, including changes in technology, operational requirements, and laws and regulations. The market for cloud-based business management software is also highly competitive and subject to similar market factors.</w:t>
      </w:r>
    </w:p>
    <w:p>
      <w:pPr>
        <w:spacing w:after="0" w:line="175"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While we focus on providing industry-specific, cloud-based business management software solutions in our targeted verticals, we compete with other vertical cloud-based solution providers, as well as with horizontal cloud-based solution providers that provide broad cloud-based solutions across multiple verticals. Our competitors include established vertical software vendors, as well as newer entrants in the market. We also face competition from numerous cloud-based solution providers that focus almost exclusively on one or more point solutions. Continued consolidation among cloud-based providers could lead to significantly increased competition.</w:t>
      </w:r>
    </w:p>
    <w:p>
      <w:pPr>
        <w:spacing w:after="0" w:line="147"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Although the domain expertise required to successfully develop, market and sell cloud-based business management software solutions in the real estate and legal verticals may hinder new entrants that are unable to invest the necessary resources to develop and deploy cloud-based solutions with the same level of functionality as ours, many of our competitors and potential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575" w:right="239" w:bottom="1440" w:gutter="0" w:footer="0" w:header="0"/>
        </w:sectPr>
      </w:pPr>
    </w:p>
    <w:bookmarkStart w:id="21" w:name="page22"/>
    <w:bookmarkEnd w:id="21"/>
    <w:p>
      <w:pPr>
        <w:jc w:val="both"/>
        <w:spacing w:after="0" w:line="285" w:lineRule="auto"/>
        <w:rPr>
          <w:sz w:val="20"/>
          <w:szCs w:val="20"/>
          <w:color w:val="auto"/>
        </w:rPr>
      </w:pPr>
      <w:r>
        <w:rPr>
          <w:rFonts w:ascii="Arial" w:cs="Arial" w:eastAsia="Arial" w:hAnsi="Arial"/>
          <w:sz w:val="15"/>
          <w:szCs w:val="15"/>
          <w:color w:val="auto"/>
        </w:rPr>
        <w:t>competitors are larger and have greater name recognition, longer operating histories, and significantly greater resources than we do. As a result, our competitors may be able to respond more quickly and effectively to new or changing opportunities, technologies, operational requirements and industry standards. Some of these competitors may have more established customer relationships or strategic partnerships with third parties that enhance their products and services. Other competitors may offer products or services that address one or a number of business functions on a standalone basis at lower prices or bundled as part of a broader product sale, or with greater depth than our software solutions. In addition, our current and potential competitors may develop, market and sell new technologies with comparable functionality to our software solutions, which could cause us to lose customers, slow the rate of growth of new customers and cause us to decrease our prices in order to remain competitive. For all of these reasons, we may not be able to compete effectively against our current and future competitors, which could harm our business.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Business management software for small and medium-sized businesses ("SMBs") is a relatively new and developing market and, if the market is smaller than we estimate or develops more slowly than we expect, our operating results could be adversely affected.</w:t>
      </w:r>
    </w:p>
    <w:p>
      <w:pPr>
        <w:spacing w:after="0" w:line="167"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We provide cloud-based business management software for SMBs in the real estate and, to a lesser extent, legal markets and will assess entry into new or adjacent markets consistent with our strategic plan. Our success will depend, in part, on the continued widespread adoption by SMBs of cloud computing in general and of cloud-based business management software in particular.</w:t>
      </w:r>
    </w:p>
    <w:p>
      <w:pPr>
        <w:spacing w:after="0" w:line="175"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The market for industry-specific, cloud-based business management software for SMBs, both generally, and specifically within the real estate and legal markets, is evolving and, in comparison to the overall market for cloud-based solutions, is relatively small. The continued expansion of this market depends on numerous factors, including:</w:t>
      </w:r>
    </w:p>
    <w:p>
      <w:pPr>
        <w:spacing w:after="0" w:line="113" w:lineRule="exact"/>
        <w:rPr>
          <w:sz w:val="20"/>
          <w:szCs w:val="20"/>
          <w:color w:val="auto"/>
        </w:rPr>
      </w:pPr>
    </w:p>
    <w:p>
      <w:pPr>
        <w:ind w:left="960" w:hanging="438"/>
        <w:spacing w:after="0" w:line="264"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 and perceived value associated with cloud-based business management software relative to on-premise software applications and disparate point solutions;</w:t>
      </w:r>
    </w:p>
    <w:p>
      <w:pPr>
        <w:spacing w:after="0" w:line="104" w:lineRule="exact"/>
        <w:rPr>
          <w:rFonts w:ascii="Arial" w:cs="Arial" w:eastAsia="Arial" w:hAnsi="Arial"/>
          <w:sz w:val="17"/>
          <w:szCs w:val="17"/>
          <w:color w:val="auto"/>
        </w:rPr>
      </w:pPr>
    </w:p>
    <w:p>
      <w:pPr>
        <w:ind w:left="960" w:hanging="438"/>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ability of cloud-based solution providers to offer SMBs the functionality they need to operate and grow their businesses;</w:t>
      </w:r>
    </w:p>
    <w:p>
      <w:pPr>
        <w:spacing w:after="0" w:line="140" w:lineRule="exact"/>
        <w:rPr>
          <w:rFonts w:ascii="Arial" w:cs="Arial" w:eastAsia="Arial" w:hAnsi="Arial"/>
          <w:sz w:val="17"/>
          <w:szCs w:val="17"/>
          <w:color w:val="auto"/>
        </w:rPr>
      </w:pPr>
    </w:p>
    <w:p>
      <w:pPr>
        <w:ind w:left="960" w:hanging="438"/>
        <w:spacing w:after="0" w:line="264"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willingness of SMBs to transition from their existing software systems, or otherwise alter their existing businesses practices, to migrate their businesses to a vertical cloud-based business management software solution; and</w:t>
      </w:r>
    </w:p>
    <w:p>
      <w:pPr>
        <w:spacing w:after="0" w:line="104" w:lineRule="exact"/>
        <w:rPr>
          <w:rFonts w:ascii="Arial" w:cs="Arial" w:eastAsia="Arial" w:hAnsi="Arial"/>
          <w:sz w:val="17"/>
          <w:szCs w:val="17"/>
          <w:color w:val="auto"/>
        </w:rPr>
      </w:pPr>
    </w:p>
    <w:p>
      <w:pPr>
        <w:ind w:left="960" w:hanging="438"/>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ability of cloud-based solution providers to address security, privacy, availability and other concerns.</w:t>
      </w:r>
    </w:p>
    <w:p>
      <w:pPr>
        <w:spacing w:after="0" w:line="339"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Notwithstanding our efforts to increase sales of our software solutions to larger customers, if cloud-based business management software does not continue to achieve widespread market acceptance among SMBs, our revenue may increase at a slower rate than we expect and may even decline, which could adversely affect our operating results. In addition, it is difficult to estimate the rate at which SMBs will be willing to transition to vertical cloud-based business management software in any particular period, which makes it difficult to estimate the overall size and growth rate of the market for cloud-based business management software for SMBs at any given point in time or to forecast growth in our revenue or market share.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If we are unable to introduce successful enhancements, including new and innovative core functionality and/or Value+ services, or new products for adjacent markets or additional verticals, our operating results could be adversely affected.</w:t>
      </w:r>
    </w:p>
    <w:p>
      <w:pPr>
        <w:spacing w:after="0" w:line="167"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6"/>
          <w:szCs w:val="16"/>
          <w:color w:val="auto"/>
        </w:rPr>
        <w:t>The software industry in general, and our targeted verticals in particular, are characterized by rapid technological advances, changing industry standards, evolving customer requirements and intense competition. Our ability to attract new customers, increase revenue from our existing customers, and expand into adjacent markets or new verticals depends, in part, on our ability to enhance the functionality of our existing software solutions by introducing new and innovative core functionality and/or Value+ services that keep pace with technological developments and address the evolving business needs of our customers. In addition, our growth over the long term depends, in part, on our ability to introduce new products for adjacent markets and, potentially, additional verticals that we identify through our market validation process. Market acceptance of our current and future software solutions will depend on numerous factors, including:</w:t>
      </w:r>
    </w:p>
    <w:p>
      <w:pPr>
        <w:spacing w:after="0" w:line="107" w:lineRule="exact"/>
        <w:rPr>
          <w:sz w:val="20"/>
          <w:szCs w:val="20"/>
          <w:color w:val="auto"/>
        </w:rPr>
      </w:pPr>
    </w:p>
    <w:p>
      <w:pPr>
        <w:ind w:left="960" w:hanging="438"/>
        <w:spacing w:after="0"/>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unique functionality and ease of use of our software solutions and the extent to which our software solutions meet the business needs of our customers;</w:t>
      </w:r>
    </w:p>
    <w:p>
      <w:pPr>
        <w:spacing w:after="0" w:line="163" w:lineRule="exact"/>
        <w:rPr>
          <w:rFonts w:ascii="Arial" w:cs="Arial" w:eastAsia="Arial" w:hAnsi="Arial"/>
          <w:sz w:val="15"/>
          <w:szCs w:val="15"/>
          <w:color w:val="auto"/>
        </w:rPr>
      </w:pPr>
    </w:p>
    <w:p>
      <w:pPr>
        <w:ind w:left="960" w:hanging="438"/>
        <w:spacing w:after="0" w:line="264" w:lineRule="auto"/>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perceived benefits and security of our cloud-based business management software solutions relative to on-premise software applications or other competitive products;</w:t>
      </w:r>
    </w:p>
    <w:p>
      <w:pPr>
        <w:spacing w:after="0" w:line="104" w:lineRule="exact"/>
        <w:rPr>
          <w:rFonts w:ascii="Arial" w:cs="Arial" w:eastAsia="Arial" w:hAnsi="Arial"/>
          <w:sz w:val="17"/>
          <w:szCs w:val="17"/>
          <w:color w:val="auto"/>
        </w:rPr>
      </w:pPr>
    </w:p>
    <w:p>
      <w:pPr>
        <w:ind w:left="960" w:hanging="438"/>
        <w:spacing w:after="0"/>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pricing of our software solutions relative to competitive products;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575" w:right="239" w:bottom="1440" w:gutter="0" w:footer="0" w:header="0"/>
        </w:sectPr>
      </w:pPr>
    </w:p>
    <w:bookmarkStart w:id="22" w:name="page23"/>
    <w:bookmarkEnd w:id="22"/>
    <w:p>
      <w:pPr>
        <w:ind w:left="960" w:hanging="438"/>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perceptions about the security, privacy and availability of our software solutions relative to competitive products;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time-to-market of the updates and enhancements to our core functionality, Value+ services and new products; and</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perceptions about the quality and responsiveness of our customer service organization.</w:t>
      </w:r>
    </w:p>
    <w:p>
      <w:pPr>
        <w:spacing w:after="0" w:line="202"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If we are unable to successfully enhance the functionality of our existing software solutions, including our core solutions and Value+ services, and develop or acquire new products that gain market acceptance in adjacent markets and additional verticals consistent with our strategic plan, our revenue may increase at a slower rate than we expect and may even decline, which could adversely affect our operating results.</w:t>
      </w:r>
    </w:p>
    <w:p>
      <w:pPr>
        <w:spacing w:after="0" w:line="175" w:lineRule="exact"/>
        <w:rPr>
          <w:sz w:val="20"/>
          <w:szCs w:val="20"/>
          <w:color w:val="auto"/>
        </w:rPr>
      </w:pPr>
    </w:p>
    <w:p>
      <w:pPr>
        <w:jc w:val="both"/>
        <w:spacing w:after="0" w:line="331" w:lineRule="auto"/>
        <w:rPr>
          <w:sz w:val="20"/>
          <w:szCs w:val="20"/>
          <w:color w:val="auto"/>
        </w:rPr>
      </w:pPr>
      <w:r>
        <w:rPr>
          <w:rFonts w:ascii="Arial" w:cs="Arial" w:eastAsia="Arial" w:hAnsi="Arial"/>
          <w:sz w:val="15"/>
          <w:szCs w:val="15"/>
          <w:b w:val="1"/>
          <w:bCs w:val="1"/>
          <w:i w:val="1"/>
          <w:iCs w:val="1"/>
          <w:color w:val="auto"/>
        </w:rPr>
        <w:t>Our business depends substantially on existing customers renewing their subscriptions with us and expanding their use of our Value+ services, and a decline in customer renewal rates, or failure to convince existing customers to adopt and utilize our Value+ services, could adversely impact our operating results.</w:t>
      </w:r>
    </w:p>
    <w:p>
      <w:pPr>
        <w:spacing w:after="0" w:line="121" w:lineRule="exact"/>
        <w:rPr>
          <w:sz w:val="20"/>
          <w:szCs w:val="20"/>
          <w:color w:val="auto"/>
        </w:rPr>
      </w:pPr>
    </w:p>
    <w:p>
      <w:pPr>
        <w:jc w:val="both"/>
        <w:ind w:firstLine="597"/>
        <w:spacing w:after="0" w:line="284" w:lineRule="auto"/>
        <w:rPr>
          <w:sz w:val="20"/>
          <w:szCs w:val="20"/>
          <w:color w:val="auto"/>
        </w:rPr>
      </w:pPr>
      <w:r>
        <w:rPr>
          <w:rFonts w:ascii="Arial" w:cs="Arial" w:eastAsia="Arial" w:hAnsi="Arial"/>
          <w:sz w:val="15"/>
          <w:szCs w:val="15"/>
          <w:color w:val="auto"/>
        </w:rPr>
        <w:t>In order for us to maintain or increase our revenue and improve our operating results, it is important that our existing customers continue to pay subscription fees for the use of our core solutions, which tend to incrementally rise over time, as well as increase their adoption and utilization of our Value+ services. Our customers have no obligation to renew their subscriptions with us upon expiration of their subscription periods, which typically range from one month to one year. We cannot assure you that our customers will renew their subscriptions with us. In addition, our law firm customers that start their accounts using a 10-day free trial have no obligation to begin a paid subscription. Furthermore, although a significant portion of our revenue growth has historically resulted from the adoption and utilization of our Value+ services by our existing customers, we cannot assure you that our existing customers will continue to broaden their adoption and utilization of our Value+ services, or use our Value+ services at all. If our existing customers do not renew their subscriptions and increase their adoption and utilization of our existing or newly developed Value+ services, our revenue may increase at a slower rate than we expect and may even decline, which could adversely impact our financial condition and operating results.</w:t>
      </w:r>
    </w:p>
    <w:p>
      <w:pPr>
        <w:spacing w:after="0" w:line="158"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Word-of-mouth referrals represent a significant source of new customers for us and provide us with an opportunity to cost-effectively market and sell our software solutions. The loss of our existing customers could have a significant impact on our reputation in our targeted verticals and our ability to acquire new customers cost-effectively. A reduction in the number of our existing customers, even if offset by an increase in new customers, could have the impact of reducing our revenue and operating margins.</w:t>
      </w:r>
    </w:p>
    <w:p>
      <w:pPr>
        <w:spacing w:after="0" w:line="180"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In an effort to retain our customers and to expand our customers’ adoption and utilization of our Value+ services, we may choose to use increasingly costly sales and marketing efforts. In addition, we may make significant investments in research and product development to introduce Value+ services that ultimately are not broadly adopted by our customers. In either of those cases, we could incur significantly increased costs without a corresponding increase in revenue. Furthermore, we may fail to identify Value+ services that our customers need for their businesses, in which case we could miss opportunities to increase our revenue.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Pricing pressure may cause us to change our pricing model, which could hurt our renewal rates and our ability to attract new customers, as well as our ability to increase adoption and usage of our Value+ services, which could adversely affect our operating results.</w:t>
      </w:r>
    </w:p>
    <w:p>
      <w:pPr>
        <w:spacing w:after="0" w:line="167" w:lineRule="exact"/>
        <w:rPr>
          <w:sz w:val="20"/>
          <w:szCs w:val="20"/>
          <w:color w:val="auto"/>
        </w:rPr>
      </w:pPr>
    </w:p>
    <w:p>
      <w:pPr>
        <w:jc w:val="both"/>
        <w:ind w:firstLine="597"/>
        <w:spacing w:after="0" w:line="247" w:lineRule="auto"/>
        <w:rPr>
          <w:sz w:val="20"/>
          <w:szCs w:val="20"/>
          <w:color w:val="auto"/>
        </w:rPr>
      </w:pPr>
      <w:r>
        <w:rPr>
          <w:rFonts w:ascii="Arial" w:cs="Arial" w:eastAsia="Arial" w:hAnsi="Arial"/>
          <w:sz w:val="17"/>
          <w:szCs w:val="17"/>
          <w:color w:val="auto"/>
        </w:rPr>
        <w:t>As the markets for our existing software solutions mature, or as current and future competitors introduce new products or services that compete with ours, we may experience pricing pressure and be unable to renew our subscription agreements with existing customers or increase adoption and usage of our Value+ services, or attract new customers at prices that are consistent with our current pricing model and operating budget. If this were to occur, it is possible that we would have to change our pricing model, offer pricing incentives, or generally reduce our prices, which may adversely affect our revenue even if adoption and utilization remain constant. In addition, many of our customers are smaller companies or firms, which are typically more cost sensitive than larger enterprises. Changes to our pricing model could harm our customer retention rates and our ability to attract new customers, whether in connection with our core solutions or our Value+ services, which could adversely affect our operating results.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We expect to continue to derive a significant portion of our revenue from our real estate customers, and factors resulting in a loss of these customers could adversely affect our operating results.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712" w:right="239" w:bottom="1440" w:gutter="0" w:footer="0" w:header="0"/>
        </w:sectPr>
      </w:pPr>
    </w:p>
    <w:bookmarkStart w:id="23" w:name="page24"/>
    <w:bookmarkEnd w:id="23"/>
    <w:p>
      <w:pPr>
        <w:ind w:firstLine="597"/>
        <w:spacing w:after="0" w:line="295" w:lineRule="auto"/>
        <w:rPr>
          <w:sz w:val="20"/>
          <w:szCs w:val="20"/>
          <w:color w:val="auto"/>
        </w:rPr>
      </w:pPr>
      <w:r>
        <w:rPr>
          <w:rFonts w:ascii="Arial" w:cs="Arial" w:eastAsia="Arial" w:hAnsi="Arial"/>
          <w:sz w:val="16"/>
          <w:szCs w:val="16"/>
          <w:color w:val="auto"/>
        </w:rPr>
        <w:t>Historically, more than 90% of our revenue has been derived from real estate customers, and we expect that our real estate customers will continue to account for a significant portion of our revenue for the foreseeable future. We could lose real estate customers as a result of numerous factors, including:</w:t>
      </w:r>
    </w:p>
    <w:p>
      <w:pPr>
        <w:spacing w:after="0" w:line="82" w:lineRule="exact"/>
        <w:rPr>
          <w:sz w:val="20"/>
          <w:szCs w:val="20"/>
          <w:color w:val="auto"/>
        </w:rPr>
      </w:pPr>
    </w:p>
    <w:p>
      <w:pPr>
        <w:ind w:left="960" w:hanging="438"/>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expiration and non-renewal of subscriptions or termination of subscription agreements;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introduction of competitive products or technologies;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failure to provide updates and enhancements to our core functionality and/or Value+ services, and to introduce new Value+ services to our customers;</w:t>
      </w:r>
    </w:p>
    <w:p>
      <w:pPr>
        <w:spacing w:after="0" w:line="163" w:lineRule="exact"/>
        <w:rPr>
          <w:rFonts w:ascii="Arial" w:cs="Arial" w:eastAsia="Arial" w:hAnsi="Arial"/>
          <w:sz w:val="15"/>
          <w:szCs w:val="15"/>
          <w:color w:val="auto"/>
        </w:rPr>
      </w:pPr>
    </w:p>
    <w:p>
      <w:pPr>
        <w:ind w:left="960" w:hanging="438"/>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pricing policies by us or our competitors;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acquisitions or consolidations within the real estate vertical;</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bankruptcies or other financial difficulties facing our customers;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new or enhanced legal or regulatory regimes that negatively impact the real estate vertical; and</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conditions or trends that are specific to the real estate vertical such as the economic factors that impact the rental market.</w:t>
      </w:r>
    </w:p>
    <w:p>
      <w:pPr>
        <w:spacing w:after="0" w:line="202" w:lineRule="exact"/>
        <w:rPr>
          <w:sz w:val="20"/>
          <w:szCs w:val="20"/>
          <w:color w:val="auto"/>
        </w:rPr>
      </w:pPr>
    </w:p>
    <w:p>
      <w:pPr>
        <w:jc w:val="both"/>
        <w:ind w:firstLine="597"/>
        <w:spacing w:after="0" w:line="304" w:lineRule="auto"/>
        <w:rPr>
          <w:sz w:val="20"/>
          <w:szCs w:val="20"/>
          <w:color w:val="auto"/>
        </w:rPr>
      </w:pPr>
      <w:r>
        <w:rPr>
          <w:rFonts w:ascii="Arial" w:cs="Arial" w:eastAsia="Arial" w:hAnsi="Arial"/>
          <w:sz w:val="15"/>
          <w:szCs w:val="15"/>
          <w:color w:val="auto"/>
        </w:rPr>
        <w:t>The loss of a significant number of our real estate customers, or the loss of even a small number of our larger real estate customers, could cause our revenue to increase at a slower rate than we expect or even decline. In addition, even if we are able to retain our real estate customers, we may be unable to grow revenue from these real estate customers by increasing their adoption and utilization of our Value+ services. Any of these outcomes could adversely affect our operating results.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If we are unable to increase sales of our software solutions to larger customers while mitigating the risks associated with serving such customers, our business and operating results may suffer.</w:t>
      </w:r>
    </w:p>
    <w:p>
      <w:pPr>
        <w:spacing w:after="0" w:line="167" w:lineRule="exact"/>
        <w:rPr>
          <w:sz w:val="20"/>
          <w:szCs w:val="20"/>
          <w:color w:val="auto"/>
        </w:rPr>
      </w:pPr>
    </w:p>
    <w:p>
      <w:pPr>
        <w:jc w:val="both"/>
        <w:ind w:firstLine="597"/>
        <w:spacing w:after="0" w:line="281" w:lineRule="auto"/>
        <w:rPr>
          <w:sz w:val="20"/>
          <w:szCs w:val="20"/>
          <w:color w:val="auto"/>
        </w:rPr>
      </w:pPr>
      <w:r>
        <w:rPr>
          <w:rFonts w:ascii="Arial" w:cs="Arial" w:eastAsia="Arial" w:hAnsi="Arial"/>
          <w:sz w:val="15"/>
          <w:szCs w:val="15"/>
          <w:color w:val="auto"/>
        </w:rPr>
        <w:t>While we plan to continue to market and sell our software solutions to smaller companies or firms, our growth strategy is dependent, in part, upon increasing sales of our software solutions to larger customers within the real estate and legal markets. Sales to larger customers may involve risks that are not present, or are present to a lesser extent, in sales to smaller businesses. As we seek to increase our sales to larger customers, we may invest considerably greater amounts of time and financial resources in our sales and marketing efforts. In addition, we may face longer sales cycles and experience less predictability and greater competition in completing some of our sales than we have in selling our software solutions to smaller businesses. Although we generally have not configured our software solutions or negotiated our pricing for specific customers, which has historically resulted in reduced upfront selling costs, our ability to successfully sell our software solutions to larger customers may be dependent, in part, on our ability to develop functionality, or to implement pricing policies, that are unique to particular customers or are necessary for success in a market segment dominated by larger customers. It may also be dependent on our ability to attract and retain sales personnel with experience selling to larger organizations. Also, because security breaches or other performance problems with respect to larger customers may result in greater economic harm to these customers and more adverse publicity, there is increased financial and reputational risk associated with serving such customers. Further, our ability to sell our software solutions to larger customers may depend largely upon our successful acquisition and integration of synergistic businesses, and, if we are unable to acquire and integrate such businesses successfully, then our business and operating results may be negatively impacted. If we are unable to increase sales of our software solutions to larger customers, while mitigating the risks associated with serving such customers, our business and operating results may suffer.</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Our growth depends in part on the success of our strategic relationships with third parties, and if we are unsuccessful in establishing or maintaining these relationships, our ability to compete in our targeted markets or grow our revenue could be impaired.</w:t>
      </w:r>
    </w:p>
    <w:p>
      <w:pPr>
        <w:spacing w:after="0" w:line="167" w:lineRule="exact"/>
        <w:rPr>
          <w:sz w:val="20"/>
          <w:szCs w:val="20"/>
          <w:color w:val="auto"/>
        </w:rPr>
      </w:pPr>
    </w:p>
    <w:p>
      <w:pPr>
        <w:jc w:val="both"/>
        <w:ind w:firstLine="597"/>
        <w:spacing w:after="0" w:line="285" w:lineRule="auto"/>
        <w:rPr>
          <w:sz w:val="20"/>
          <w:szCs w:val="20"/>
          <w:color w:val="auto"/>
        </w:rPr>
      </w:pPr>
      <w:r>
        <w:rPr>
          <w:rFonts w:ascii="Arial" w:cs="Arial" w:eastAsia="Arial" w:hAnsi="Arial"/>
          <w:sz w:val="15"/>
          <w:szCs w:val="15"/>
          <w:color w:val="auto"/>
        </w:rPr>
        <w:t>In order to grow our business, we anticipate that we will continue to depend on our relationships with third parties, including our data center operators, cloud computing service providers, electronic payment, tenant screening and insurance services providers, and other third parties that support delivery of our software solutions. Identifying partners, negotiating agreements and maintaining relationships requires significant time and resources. Our competitors may be more effective than us in cost-effectively building relationships with third parties that enhance their products and services, allow them to provide more competitive pricing, or offer other benefits to their customers. In addition, acquisitions of our partners by our competitors or others could result in a decrease in the number of current and potential strategic partners willing to establish or maintain relationships with us, and could increase the price at which products or services are available to us. If we are unsuccessful in establishing or maintaining our relationships with third parties, our ability to compete in the marketplace or to grow our revenue could be impaired, which could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575" w:right="23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7"/>
          <w:szCs w:val="17"/>
          <w:color w:val="auto"/>
        </w:rPr>
        <w:t>negatively impact our operating results. Even if we are successful, we cannot assure you that these relationships will result in increased customer adoption and usage of our software solutions or improved operating results. Furthermore, if our partners fail to perform as expected, we may be subjected to litigation, our reputation may be harmed, and our business and operating results could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depend on data centers and computing infrastructure operated by third parties and any disruption in these operations could adversely affect our operating results.</w:t>
      </w:r>
    </w:p>
    <w:p>
      <w:pPr>
        <w:spacing w:after="0" w:line="248"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We currently serve our customers through a combination of our own servers located in third party data center facilities, and computing resources operated by Amazon and other third party cloud computing service providers. While we control and have access to our own servers and the other components of our network that are located in our third party data centers, we do not control the operation of any of these third party data center facilities. The owners of our data center facilities have no obligation to renew their agreements with us on commercially reasonable terms, or at all. If we are unable to renew these agreements on commercially reasonable terms, or if one of our third party data center operators is acquired, we may be required to transfer our servers and other infrastructure to new data center facilities, and we may incur significant costs and possible service interruptions in connection with doing so. Further, our third party data center providers could experience significant outages outside of our control that could adversely affect our business.</w:t>
      </w:r>
    </w:p>
    <w:p>
      <w:pPr>
        <w:spacing w:after="0" w:line="170"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Problems faced by our third party data center operators, or with any of the service providers with whom we or they contract, could adversely affect the experience of our customers. Our third party data center operators could decide to close their facilities without adequate notice. In addition, any financial difficulties, such as bankruptcy, faced by our third party data center operators, or any of the service providers with whom we or they contract, may have negative effects on our business. Additionally, if our data centers are unable to keep up with our growing needs for capacity or any spikes in customer demand, this could have an adverse effect on our business. Any changes in third party service levels at our data centers could result in loss of or damage to our customers’ stored information and service interruptions, which could harm our reputation. These issues could also cause us to lose customers, harm our ability to attract new customers, and subject us to potential liability, any of which could adversely affect our operating results.</w:t>
      </w:r>
    </w:p>
    <w:p>
      <w:pPr>
        <w:spacing w:after="0" w:line="170"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The cloud computing service providers with which we contract may experience service interruptions across multiple regions that are outside of our control. Furthermore, they may not be able to provide us with additional computing resources needed to scale our infrastructure ahead of our growing customer base. If any of these issues arise, we may be required to migrate our cloud computing resources, or add new computing resources, to other cloud computing service providers. Although our infrastructure is redundant across multiple geographic regions, it might require significant effort to migrate all of our services to a different region if we are forced to recover from a data center’s severe impairment or total destruction, or from a regional, or multi-regional, outage by any of our cloud computing service providers. Any changes in service levels by our cloud computing service providers could result in loss of or damage to our customers’ stored information and service interruptions, which could harm our reputation, subject us to potential liability, and adversely affect our operating results.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Our platform must integrate with a variety of devices, operating systems and browsers that are developed by others, and if we are unable to ensure that our software solutions interoperate with such devices, operating systems and browsers, our software solutions may become less competitive, and our operating results may be harmed.</w:t>
      </w:r>
    </w:p>
    <w:p>
      <w:pPr>
        <w:spacing w:after="0" w:line="175" w:lineRule="exact"/>
        <w:rPr>
          <w:sz w:val="20"/>
          <w:szCs w:val="20"/>
          <w:color w:val="auto"/>
        </w:rPr>
      </w:pPr>
    </w:p>
    <w:p>
      <w:pPr>
        <w:jc w:val="both"/>
        <w:ind w:firstLine="597"/>
        <w:spacing w:after="0" w:line="283" w:lineRule="auto"/>
        <w:rPr>
          <w:sz w:val="20"/>
          <w:szCs w:val="20"/>
          <w:color w:val="auto"/>
        </w:rPr>
      </w:pPr>
      <w:r>
        <w:rPr>
          <w:rFonts w:ascii="Arial" w:cs="Arial" w:eastAsia="Arial" w:hAnsi="Arial"/>
          <w:sz w:val="15"/>
          <w:szCs w:val="15"/>
          <w:color w:val="auto"/>
        </w:rPr>
        <w:t>We offer our software solutions across a variety of operating systems and through the Internet. We are dependent on the interoperability of our platform with third party devices, desktop and mobile operating systems, as well as web browsers that we do not control. Any changes in such devices, systems or web browsers that degrade the functionality of our software solutions or give preferential treatment to competitive services could adversely affect adoption and usage of our software solutions. In addition, in order to deliver high quality software solutions, we will need to continuously enhance and modify our functionality to keep pace with changes in Internet-related hardware, mobile operating systems such as iOS and Android, browsers and other software, communication, network and database technologies. We may not be successful in developing enhancements and modifications that operate effectively with these devices, operating systems, web browsers and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 that it is difficult for our customers to access and use our software solutions, our software solutions may become less competitive, and our operating results could be adversely affected.</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If our property management customers stop requiring residents to provide proof of legal liability to landlord insurance, if insurance premiums decline or if insureds experience greater than expected losses, our operating results could be harmed.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575" w:right="239" w:bottom="1440" w:gutter="0" w:footer="0" w:header="0"/>
        </w:sectPr>
      </w:pPr>
    </w:p>
    <w:bookmarkStart w:id="25" w:name="page26"/>
    <w:bookmarkEnd w:id="25"/>
    <w:p>
      <w:pPr>
        <w:jc w:val="both"/>
        <w:ind w:firstLine="597"/>
        <w:spacing w:after="0" w:line="266" w:lineRule="auto"/>
        <w:rPr>
          <w:sz w:val="20"/>
          <w:szCs w:val="20"/>
          <w:color w:val="auto"/>
        </w:rPr>
      </w:pPr>
      <w:r>
        <w:rPr>
          <w:rFonts w:ascii="Arial" w:cs="Arial" w:eastAsia="Arial" w:hAnsi="Arial"/>
          <w:sz w:val="16"/>
          <w:szCs w:val="16"/>
          <w:color w:val="auto"/>
        </w:rPr>
        <w:t>We generate revenue by offering legal liability to landlord insurance through a wholly owned subsidiary. Some of our property management customers require residents to provide proof of legal liability to landlord insurance and offer to enroll residents in their legal liability to landlord insurance policy. If demand for rental housing declines, or if our property management customers believe that it may decline, these customers may reduce their rental rates and stop requiring residents to provide proof of legal liability to landlord insurance in order to reduce the overall cost of renting and make their rental offerings more competitive. If our property management customers stop requiring residents to provide proof of legal liability to landlord insurance or elect to enroll residents in insurance programs offered by competing providers, or if insurance premiums otherwise decline, our revenues from insurance services could be adversely affected.</w:t>
      </w:r>
    </w:p>
    <w:p>
      <w:pPr>
        <w:spacing w:after="0" w:line="169"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Additionally, our legal liability to landlord insurance policies are underwritten by us, and we are required by our insurance partner to maintain a reserve to cover potential claims under the policies. While our policies have a limit of $100,000 per occurrence, there is no limit on the dollar amount of claims that could be made against us in any particular period or in the aggregate. In the event that claims by the insureds increase unexpectedly, our reserve may not be sufficient to cover our resulting liability under the policies. To the extent we are required to pay out amounts to insureds that are significantly higher than our current reserves, this could have a material adverse effect on our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business is subject to state governmental regulation, which could limit the growth of our insurance business and impose additional costs on us.</w:t>
      </w:r>
    </w:p>
    <w:p>
      <w:pPr>
        <w:spacing w:after="0" w:line="225"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6"/>
          <w:szCs w:val="16"/>
          <w:color w:val="auto"/>
        </w:rPr>
        <w:t>Our insurance-related wholly owned subsidiaries and third-party service providers maintain licenses with a number of individual state departments of insurance. Collectively, we are subject to state governmental regulation and supervision in connection with the operation of our insurance business, which includes both our legal liability to landlord insurance and renters insurance businesses. This state governmental supervision could limit the growth of our insurance business by increasing the costs of regulatory compliance, limiting or restricting the products or services we provide or the methods by which we provide them, and subjecting us to the possibility of regulatory actions or proceedings. Our continued ability to maintain these insurance licenses in the jurisdictions in which we are licensed depends on our compliance with the rules and regulations promulgated from time to time by the regulatory authorities in each of these jurisdictions. Furthermore, state insurance departments conduct periodic examinations, audits and investigations of the affairs of insurance companies and agencies, any of which could result in the expenditure of significant management time or financial resources.</w:t>
      </w:r>
    </w:p>
    <w:p>
      <w:pPr>
        <w:spacing w:after="0" w:line="172"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In all jurisdictions, the applicable laws and regulations are subject to amendment and interpretation by regulatory authorities. Generally, such authorities are vested with relatively broad discretion to grant, renew and revoke licenses and approvals and to implement and interpret rules and regulations. Accordingly, we may be precluded or temporarily suspended from carrying on some or all of the activities of our insurance business or otherwise be fined or penalized in a given jurisdiction. No assurances can be given that our insurance business can continue to be conducted in any given jurisdiction as it has been conducted in the past or that we will be able to expand our insurance business in the future.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If we are unable to enter new verticals, or if our software solution for any new vertical fails to achieve market acceptance, our operating results could be adversely affected and we may be required to reconsider our growth strategy.</w:t>
      </w:r>
    </w:p>
    <w:p>
      <w:pPr>
        <w:spacing w:after="0" w:line="167"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color w:val="auto"/>
        </w:rPr>
        <w:t>Our growth strategy is dependent, in part, on our ability to expand into new verticals, beyond the real estate and legal markets. However, we may be unable to identify new verticals that meet our criteria for selecting industries that cloud-based solutions are ideally suited to address. In addition, our market validation process may not support entry into selected verticals due to our perception of the overall market opportunity or of the willingness of market participants within those verticals to adopt our software solutions. Further, instead of pursuing new verticals, we may prefer for various reasons to pursue alternative growth strategies, such as entry into markets that are adjacent to the markets in which we currently participate within our existing verticals, or the development of additional products or services for our existing markets.</w:t>
      </w:r>
    </w:p>
    <w:p>
      <w:pPr>
        <w:spacing w:after="0" w:line="152"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Even if we choose to enter new verticals, our market validation process does not guarantee our success. We may be unable to develop a software solution for a new vertical or, in the event that we enter a new vertical by way of a strategic acquisition, we may be unable to leverage the acquired software solution in time to take advantage of the identified market opportunity, and any delay in our time-to-market could expose us to additional competition or other factors that could impede our success. In addition, any software solution we develop or acquire for a new vertical may not provide the functionality required by potential customers and, as a result, may not achieve widespread market acceptance within the new vertical. To the extent we choose to enter new verticals, whether organically or via strategic acquisition, we may invest significant resources to develop and expand the functionality of our software solutions to meet the needs of customers in those verticals, which investments will occur in advance of our realization of revenue from them.</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575" w:right="239" w:bottom="1440" w:gutter="0" w:footer="0" w:header="0"/>
        </w:sectPr>
      </w:pPr>
    </w:p>
    <w:bookmarkStart w:id="26" w:name="page27"/>
    <w:bookmarkEnd w:id="26"/>
    <w:p>
      <w:pPr>
        <w:jc w:val="both"/>
        <w:ind w:firstLine="597"/>
        <w:spacing w:after="0" w:line="249" w:lineRule="auto"/>
        <w:rPr>
          <w:sz w:val="20"/>
          <w:szCs w:val="20"/>
          <w:color w:val="auto"/>
        </w:rPr>
      </w:pPr>
      <w:r>
        <w:rPr>
          <w:rFonts w:ascii="Arial" w:cs="Arial" w:eastAsia="Arial" w:hAnsi="Arial"/>
          <w:sz w:val="17"/>
          <w:szCs w:val="17"/>
          <w:color w:val="auto"/>
        </w:rPr>
        <w:t>In addition, while we expedited our entry into the legal vertical through the acquisition of MyCase in 2012, our practice and case management solution is in an earlier stage of development than APM, our property management solution, and we are at an earlier stage in the process of expanding the core functionality and Value+ services associated with our legal software. We face significant competition in the legal market from both vertical software vendors and cloud-based solution providers that offer one or more point solutions. There can be no assurance that we will be able to achieve market acceptance for our legal software at or near the levels achieved by our property management software.</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All of our revenues are generated by sales to customers in our targeted verticals, and factors that adversely affect the applicable industry could also adversely affect us.</w:t>
      </w:r>
    </w:p>
    <w:p>
      <w:pPr>
        <w:spacing w:after="0" w:line="248" w:lineRule="exact"/>
        <w:rPr>
          <w:sz w:val="20"/>
          <w:szCs w:val="20"/>
          <w:color w:val="auto"/>
        </w:rPr>
      </w:pPr>
    </w:p>
    <w:p>
      <w:pPr>
        <w:jc w:val="both"/>
        <w:ind w:firstLine="597"/>
        <w:spacing w:after="0" w:line="283" w:lineRule="auto"/>
        <w:rPr>
          <w:sz w:val="20"/>
          <w:szCs w:val="20"/>
          <w:color w:val="auto"/>
        </w:rPr>
      </w:pPr>
      <w:r>
        <w:rPr>
          <w:rFonts w:ascii="Arial" w:cs="Arial" w:eastAsia="Arial" w:hAnsi="Arial"/>
          <w:sz w:val="15"/>
          <w:szCs w:val="15"/>
          <w:color w:val="auto"/>
        </w:rPr>
        <w:t>Currently, all of our sales are to customers in the real estate market and, to a lesser extent, the legal market. Demand for our software solutions and services could be affected by factors that are unique to and adversely affect our targeted verticals. In particular, the real estate and legal markets, as well as many of the software solutions and services we offer in those markets, are highly regulated across multiple federal, state and local jurisdictions, subject to intense competition and impacted by changes in general economic and market conditions. For example, changes in applicable laws and regulations could significantly impact the features and functionality demanded by our customers and require us to expend significant resources to ensure our software solutions continue to meet their evolving needs. In addition, other industry-specific factors, such as industry consolidation or the introduction of competing or disruptive technology, could lead to a significant reduction in the number of customers that use our software solutions or the Value+ services demanded by these customers. Further, if the real estate or legal markets decline, our customers may decide not to renew their subscriptions or they may cease using our Value+ services in order to reduce costs to remain competitive. As a result, our ability to generate revenue from our real estate and legal market customers could be adversely affected by specific factors that affect the real estate or legal markets.</w:t>
      </w:r>
    </w:p>
    <w:p>
      <w:pPr>
        <w:spacing w:after="0" w:line="159"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In addition to the foregoing risks associated with our targeted verticals themselves, there is an overarching risk stemming from potential widespread adoption of quickly evolving financial or other disruptive technology products that could significantly impact our targeted verticals, even if that technology is not specifically designed to apply directly to our targeted verticals. The adoption of these new technologies could significantly reduce the volume or demand of customers in our targeted verticals, thereby reducing our revenue, which could materially impact our business, financial condition, operating results and, ultimately, our stock price.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If we are unable to deliver effective customer service, it could harm our relationships with our existing customers and adversely affect our ability to attract new customers.</w:t>
      </w:r>
    </w:p>
    <w:p>
      <w:pPr>
        <w:spacing w:after="0" w:line="167" w:lineRule="exact"/>
        <w:rPr>
          <w:sz w:val="20"/>
          <w:szCs w:val="20"/>
          <w:color w:val="auto"/>
        </w:rPr>
      </w:pPr>
    </w:p>
    <w:p>
      <w:pPr>
        <w:jc w:val="both"/>
        <w:ind w:firstLine="597"/>
        <w:spacing w:after="0" w:line="284" w:lineRule="auto"/>
        <w:rPr>
          <w:sz w:val="20"/>
          <w:szCs w:val="20"/>
          <w:color w:val="auto"/>
        </w:rPr>
      </w:pPr>
      <w:r>
        <w:rPr>
          <w:rFonts w:ascii="Arial" w:cs="Arial" w:eastAsia="Arial" w:hAnsi="Arial"/>
          <w:sz w:val="15"/>
          <w:szCs w:val="15"/>
          <w:color w:val="auto"/>
        </w:rPr>
        <w:t>Our business depends, in part, on our ability to satisfy our customers, both by providing software solutions that address their business needs, and by providing onboarding services and ongoing customer service, which contributes to retaining customers and increasing adoption and utilization of our Value+ services by our existing customers. Once our software solutions are deployed, our customers depend on our customer service organization to resolve technical issues relating to their use of our solutions. We may be unable to respond quickly to accommodate short-term increases in customer demand for support services or may otherwise encounter a customer issue that is difficult to resolve. If a customer is not satisfied with the quality or responsiveness of our customer service, we could incur additional costs to address the situation. As we do not separately charge our customers for support services, increased demand for our support services would increase costs without corresponding revenue, which could adversely affect our operating results. In addition, regardless of the quality or responsiveness of our customer service efforts, a customer that is not satisfied with an outcome may choose to terminate, or not to renew, their relationship with us.</w:t>
      </w:r>
    </w:p>
    <w:p>
      <w:pPr>
        <w:spacing w:after="0" w:line="158"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6"/>
          <w:szCs w:val="16"/>
          <w:color w:val="auto"/>
        </w:rPr>
        <w:t>Our sales process is highly dependent on the ease of use of our software solutions, our reputation and positive recommendations from our existing customers. Any failure to maintain high-quality or responsive customer service, or a market perception that we do not maintain high-quality or responsive customer service, could harm our reputation, cause us to lose customers and adversely impact our ability to sell our software solutions to prospective customers.</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Our software solutions address functions within the heavily regulated real estate and legal markets, and our customers’ failure to comply with applicable laws and regulations could subject us to litigation.</w:t>
      </w:r>
    </w:p>
    <w:p>
      <w:pPr>
        <w:spacing w:after="0" w:line="167"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6"/>
          <w:szCs w:val="16"/>
          <w:color w:val="auto"/>
        </w:rPr>
        <w:t>We sell our software solutions to customers within the real estate market and, to a lesser extent, the legal market. Our customers use our software solutions for business activities that are subject to a number of laws and regulations, including without limitation federal, state and local real property laws and legal ethics rules. Any failure by our customers to comply with laws and regulations applicable to their businesses could result in fines, penalties or claims for substantial damages against our customers. To the extent our customers believe, or any other potentially aggrieved stakeholder believes, that our software solutions or our customer service and support organization caused or contributed to such failures, our customers and/or other third parties may make claims for damages against us, regardless of whether we are responsible for the failure. As a result, we may be subject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575"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7"/>
          <w:szCs w:val="17"/>
          <w:color w:val="auto"/>
        </w:rPr>
        <w:t>lawsuits or other proceedings that, even if unsuccessful, could divert our resources and our management’s attention and adversely affect our business, and our insurance coverage may not be sufficient to cover such claims against us.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If we are unable to maintain and promote our brands, or to do so in a cost-effective manner, our ability to maintain and expand our customer base will be impaired, and our operating results could be adversely affected.</w:t>
      </w:r>
    </w:p>
    <w:p>
      <w:pPr>
        <w:spacing w:after="0" w:line="167" w:lineRule="exact"/>
        <w:rPr>
          <w:sz w:val="20"/>
          <w:szCs w:val="20"/>
          <w:color w:val="auto"/>
        </w:rPr>
      </w:pPr>
    </w:p>
    <w:p>
      <w:pPr>
        <w:jc w:val="both"/>
        <w:ind w:firstLine="597"/>
        <w:spacing w:after="0" w:line="263" w:lineRule="auto"/>
        <w:rPr>
          <w:sz w:val="20"/>
          <w:szCs w:val="20"/>
          <w:color w:val="auto"/>
        </w:rPr>
      </w:pPr>
      <w:r>
        <w:rPr>
          <w:rFonts w:ascii="Arial" w:cs="Arial" w:eastAsia="Arial" w:hAnsi="Arial"/>
          <w:sz w:val="16"/>
          <w:szCs w:val="16"/>
          <w:color w:val="auto"/>
        </w:rPr>
        <w:t>We believe that maintaining and promoting our brands is critical to achieving widespread awareness and acceptance of our software solutions, and maintaining and expanding our customer base. We also believe that the importance of brand recognition will increase as competition in our targeted verticals increases. If we do not continue to build awareness of our brands, we could be placed at a competitive disadvantage as compared to companies whose brands are, or become, more recognizable than ours. Maintaining and promoting our brands will depend, in part, on our ability to continue to provide new and innovative core functionality and Value+ services and best-in-class customer service, as well as the effectiveness of our sales and marketing efforts. If we fail to deliver products and functionality that address our customers’ business needs, or if we fail to meet our customers’ expectations for customer service, it could weaken our brands and harm our reputation. Additionally, the actions of third parties which are out of our control may affect our brands and reputation if customers do not have a positive experience using the services of our third party partners that support our software solutions. Maintaining and enhancing our brands may require us to make substantial investments, and these investments may not result in commensurate increases in our revenue. If we fail to successfully maintain and promote our brands, or if we make investments that are not offset by increased revenue, our operating results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protect our intellectual property rights could impair our ability to protect our proprietary technology and our brands, which could harm our business.</w:t>
      </w:r>
    </w:p>
    <w:p>
      <w:pPr>
        <w:spacing w:after="0" w:line="225" w:lineRule="exact"/>
        <w:rPr>
          <w:sz w:val="20"/>
          <w:szCs w:val="20"/>
          <w:color w:val="auto"/>
        </w:rPr>
      </w:pPr>
    </w:p>
    <w:p>
      <w:pPr>
        <w:jc w:val="both"/>
        <w:ind w:firstLine="597"/>
        <w:spacing w:after="0" w:line="271" w:lineRule="auto"/>
        <w:rPr>
          <w:sz w:val="20"/>
          <w:szCs w:val="20"/>
          <w:color w:val="auto"/>
        </w:rPr>
      </w:pPr>
      <w:r>
        <w:rPr>
          <w:rFonts w:ascii="Arial" w:cs="Arial" w:eastAsia="Arial" w:hAnsi="Arial"/>
          <w:sz w:val="16"/>
          <w:szCs w:val="16"/>
          <w:color w:val="auto"/>
        </w:rPr>
        <w:t>We currently rely on patent, trademark, copyright and trade secret laws, trade secret protection and confidentiality or license agreements with our employees, customers, partners and others to protect our intellectual property rights. Our success and ability to compete depend, in part, on our ability to continue to protect our intellectual property, including our proprietary technology and our brands. If we are unable to protect our proprietary rights adequately, our competitors could use the intellectual property we have developed to enhance their own products and services, which could harm our business.</w:t>
      </w:r>
    </w:p>
    <w:p>
      <w:pPr>
        <w:spacing w:after="0" w:line="164" w:lineRule="exact"/>
        <w:rPr>
          <w:sz w:val="20"/>
          <w:szCs w:val="20"/>
          <w:color w:val="auto"/>
        </w:rPr>
      </w:pPr>
    </w:p>
    <w:p>
      <w:pPr>
        <w:jc w:val="both"/>
        <w:ind w:firstLine="597"/>
        <w:spacing w:after="0" w:line="248" w:lineRule="auto"/>
        <w:rPr>
          <w:sz w:val="20"/>
          <w:szCs w:val="20"/>
          <w:color w:val="auto"/>
        </w:rPr>
      </w:pPr>
      <w:r>
        <w:rPr>
          <w:rFonts w:ascii="Arial" w:cs="Arial" w:eastAsia="Arial" w:hAnsi="Arial"/>
          <w:sz w:val="17"/>
          <w:szCs w:val="17"/>
          <w:color w:val="auto"/>
        </w:rPr>
        <w:t>In order to monitor and protect our intellectual property rights, we may be required to expend significant resources. Litigation brought to protect and enforce our intellectual property rights could be costly, time-consuming and distracting to management, and could result in the impairment or loss of portions of our intellectual property or require us to pay costly royalties.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adversely affect our business and operating results.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We may be sued by third parties for alleged infringement of their proprietary rights, which could cause us to incur significant expenses and require us to pay substantial damages.</w:t>
      </w:r>
    </w:p>
    <w:p>
      <w:pPr>
        <w:spacing w:after="0" w:line="167"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6"/>
          <w:szCs w:val="16"/>
          <w:color w:val="auto"/>
        </w:rPr>
        <w:t>There is considerable patent, trademark, copyright, trade secret and other intellectual property development activity in our industry. Our success depends, in part, on our not infringing upon the intellectual property rights of others. Our competitors, as well as a number of other entities and individuals, may legally own or claim to own intellectual property relating to our technology or software solutions, including without limitation technology we develop and build internally and that which we acquire. From time to time, our competitors or other third parties may claim that we are infringing upon their intellectual property rights. However, we may be unaware of the intellectual property rights that others may claim cover some or all of our technology or software solutions. Any claims or litigation, regardless of merit, could cause us to incur significant expenses and, if successfully asserted against us, could require that we pay substantial damages, settlement costs or ongoing royalty payments, require that we comply with other unfavorable license and other terms, or prevent us from offering our software solutions in their current form. Even if the claims do not result in litigation or are resolved in our favor, these claims, and the time and resources necessary to resolve them, could divert the attention of our management and key personnel from our business operations and harm our operating results.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We have incurred and expect to continue to incur significant costs as a result of operating as a public company, and our management is required to devote substantial time to compliance with legal requirements and corporate governance initiatives.</w:t>
      </w:r>
    </w:p>
    <w:p>
      <w:pPr>
        <w:spacing w:after="0" w:line="167"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As a public company, we have incurred and expect to continue to incur significant legal, accounting, compliance and other expenses. We are subject to the reporting requirements of the Exchange Act, the Sarbanes-Oxley Act of 2002 ("SOX"), the listing requirements of the NASDAQ Global Market, and other applicable securities rules and regulations. Compliance with these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575"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7"/>
          <w:szCs w:val="17"/>
          <w:color w:val="auto"/>
        </w:rPr>
        <w:t>rules and regulations will continue to increase our legal and financial compliance costs, make some activities more difficult, time-consuming or costly, and increase demand on our systems and resources.</w:t>
      </w:r>
    </w:p>
    <w:p>
      <w:pPr>
        <w:spacing w:after="0" w:line="167" w:lineRule="exact"/>
        <w:rPr>
          <w:sz w:val="20"/>
          <w:szCs w:val="20"/>
          <w:color w:val="auto"/>
        </w:rPr>
      </w:pPr>
    </w:p>
    <w:p>
      <w:pPr>
        <w:jc w:val="both"/>
        <w:ind w:firstLine="597"/>
        <w:spacing w:after="0" w:line="285" w:lineRule="auto"/>
        <w:rPr>
          <w:sz w:val="20"/>
          <w:szCs w:val="20"/>
          <w:color w:val="auto"/>
        </w:rPr>
      </w:pPr>
      <w:r>
        <w:rPr>
          <w:rFonts w:ascii="Arial" w:cs="Arial" w:eastAsia="Arial" w:hAnsi="Arial"/>
          <w:sz w:val="15"/>
          <w:szCs w:val="15"/>
          <w:color w:val="auto"/>
        </w:rPr>
        <w:t>In addition, changing laws, regulations and standards relating to corporate governance and public disclosure requirements are creating uncertainty for public companies, increasing legal and financial compliance costs, and making some activities more difficult and time consuming. These laws, regulations and standards are subject to varying interpretations and their application in practice may evolve over time as new guidance is provided by regulatory and governing bodies. This could result in continuing uncertainty regarding compliance matters and higher costs necessitated by ongoing revisions to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which could result in a material adverse impact on our business.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Compliance with the requirements of Section 404 of SOX is and will continue to be costly and divert management resources, and we and our independent registered public accounting firm may be unable to conclude that our internal control over financial reporting is effective.</w:t>
      </w:r>
    </w:p>
    <w:p>
      <w:pPr>
        <w:spacing w:after="0" w:line="167" w:lineRule="exact"/>
        <w:rPr>
          <w:sz w:val="20"/>
          <w:szCs w:val="20"/>
          <w:color w:val="auto"/>
        </w:rPr>
      </w:pPr>
    </w:p>
    <w:p>
      <w:pPr>
        <w:jc w:val="both"/>
        <w:ind w:firstLine="597"/>
        <w:spacing w:after="0" w:line="247" w:lineRule="auto"/>
        <w:rPr>
          <w:sz w:val="20"/>
          <w:szCs w:val="20"/>
          <w:color w:val="auto"/>
        </w:rPr>
      </w:pPr>
      <w:r>
        <w:rPr>
          <w:rFonts w:ascii="Arial" w:cs="Arial" w:eastAsia="Arial" w:hAnsi="Arial"/>
          <w:sz w:val="17"/>
          <w:szCs w:val="17"/>
          <w:color w:val="auto"/>
        </w:rPr>
        <w:t>Pursuant to Section 404 of SOX, we are required to furnish an annual report by our management on our internal control over financial reporting. We are required to include in our Annual Report an attestation report on internal control over financial reporting issued by our independent registered public accounting firm. To achieve and maintain compliance with Section 404, we have been and will continue to be engaged in a process to document and evaluate our internal control over financial reporting, which will be costly and result in a diversion of management resources.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84"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Despite our efforts, there is a risk that in the future neither we nor our independent registered public accounting firm will be able to conclude that our internal control over financial reporting is effective as required by Section 404. If this were to occur, we could be subject to investigations or enforcement actions by the SEC or other regulatory authorities, stockholder lawsuits or other adverse actions, any of which could require us to incur defense costs, pay fines, settlements or judgments, or incur other costs or expenses. Furthermore, investor perceptions of our business may suffer if deficiencies are found, which could cause a decline in the market price of our Class A common stock.</w:t>
      </w:r>
    </w:p>
    <w:p>
      <w:pPr>
        <w:spacing w:after="0" w:line="180"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Irrespective of our compliance with Section 404, any failure of our internal control over financial reporting could have a material adverse effect on our stated results of operations and harm our reputation. If we are unable to implement these requirements effectively, it could harm our business, and could result in an adverse opinion on our internal control over financial reporting from our independent registered public accounting firm.</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Because we recognize revenue from subscriptions for our software solutions over the term of each subscription agreement, downturns or upturns in new business may not be immediately reflected in our operating results.</w:t>
      </w:r>
    </w:p>
    <w:p>
      <w:pPr>
        <w:spacing w:after="0" w:line="167" w:lineRule="exact"/>
        <w:rPr>
          <w:sz w:val="20"/>
          <w:szCs w:val="20"/>
          <w:color w:val="auto"/>
        </w:rPr>
      </w:pPr>
    </w:p>
    <w:p>
      <w:pPr>
        <w:jc w:val="both"/>
        <w:ind w:firstLine="597"/>
        <w:spacing w:after="0" w:line="287" w:lineRule="auto"/>
        <w:rPr>
          <w:sz w:val="20"/>
          <w:szCs w:val="20"/>
          <w:color w:val="auto"/>
        </w:rPr>
      </w:pPr>
      <w:r>
        <w:rPr>
          <w:rFonts w:ascii="Arial" w:cs="Arial" w:eastAsia="Arial" w:hAnsi="Arial"/>
          <w:sz w:val="15"/>
          <w:szCs w:val="15"/>
          <w:color w:val="auto"/>
        </w:rPr>
        <w:t>We recognize revenue from customers ratably over the term of each subscription agreement, which typically ranges from one month to one year. As a result, some of the revenue we report in each period is derived from the recognition of deferred revenue relating to subscription agreements entered into during previous periods. Consequently, a decline in new or renewed subscriptions in any one period may not be reflected in our revenue results for that period. However, any such decline will negatively affect our revenue in future quarters. Our subscription model also makes it difficult for us to rapidly increase our revenue through additional sales in any period, as revenue from new customers must be recognized over the applicable subscription period. Accordingly, the effect of downturns or upturns in our sales, the market acceptance of our software solutions, and potential changes in our customer retention rates, may not be apparent in our operating results until future periods.</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Our software solutions contain both third-party and open source software, which may pose risks to our proprietary source code and/or introduce security vulnerabilities, and could have a negative impact on our business and operating results.</w:t>
      </w:r>
    </w:p>
    <w:p>
      <w:pPr>
        <w:spacing w:after="0" w:line="167" w:lineRule="exact"/>
        <w:rPr>
          <w:sz w:val="20"/>
          <w:szCs w:val="20"/>
          <w:color w:val="auto"/>
        </w:rPr>
      </w:pPr>
    </w:p>
    <w:p>
      <w:pPr>
        <w:jc w:val="both"/>
        <w:ind w:firstLine="597"/>
        <w:spacing w:after="0" w:line="369" w:lineRule="auto"/>
        <w:rPr>
          <w:sz w:val="20"/>
          <w:szCs w:val="20"/>
          <w:color w:val="auto"/>
        </w:rPr>
      </w:pPr>
      <w:r>
        <w:rPr>
          <w:rFonts w:ascii="Arial" w:cs="Arial" w:eastAsia="Arial" w:hAnsi="Arial"/>
          <w:sz w:val="13"/>
          <w:szCs w:val="13"/>
          <w:color w:val="auto"/>
        </w:rPr>
        <w:t>We use open source software in our software solutions and expect to continue to do so in the future. The terms of many open source licenses to which we are subject have not been interpreted by United States or foreign courts, and there is a risk that open source licenses could be construed in a manner that imposes unanticipated conditions, restrictions or costs on our ability to provide or distribute our software solutions. Additionally, we may from time to time face claims from third parties alleging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575" w:right="239" w:bottom="1440" w:gutter="0" w:footer="0" w:header="0"/>
        </w:sectPr>
      </w:pPr>
    </w:p>
    <w:bookmarkStart w:id="29" w:name="page30"/>
    <w:bookmarkEnd w:id="29"/>
    <w:p>
      <w:pPr>
        <w:jc w:val="both"/>
        <w:spacing w:after="0" w:line="285" w:lineRule="auto"/>
        <w:rPr>
          <w:sz w:val="20"/>
          <w:szCs w:val="20"/>
          <w:color w:val="auto"/>
        </w:rPr>
      </w:pPr>
      <w:r>
        <w:rPr>
          <w:rFonts w:ascii="Arial" w:cs="Arial" w:eastAsia="Arial" w:hAnsi="Arial"/>
          <w:sz w:val="15"/>
          <w:szCs w:val="15"/>
          <w:color w:val="auto"/>
        </w:rPr>
        <w:t>ownership of, or demanding release of, the open source software or of derivative works that we developed using such software, which could include our proprietary source code, or otherwise seeking to enforce the terms of the applicable open source license. These claims could result in litigation, which could be costly for us to defend, and could require us to make our source code freely available, purchase a costly license or cease offering the implicated functionality unless and until we can re-engineer them to avoid infringement. This re-engineering process could require significant additional research and product development resources, and we may not be able to complete it successfully or in a timely manner. In addition to risks related to license requirements, usage of certain open source software can lead to greater risks than use of third-party commercial software, as open source licensors generally do not provide warranties or controls on the origin of software. These risks could be difficult to eliminate or manage, and could have a negative impact on our business and operating results.</w:t>
      </w:r>
    </w:p>
    <w:p>
      <w:pPr>
        <w:spacing w:after="0" w:line="158"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We also use third-party commercial software in our software solutions and expect to continue to do so in the future. Third-party commercial software is developed outside of our direct control and may introduce security vulnerabilities that may be difficult to anticipate or mitigate. Further, there is no guarantee that third-party software developers or open source software providers will continue active work on the third-party software that we use. Should development of in-use third-party software cease, significant engineering effort may be required to create an in-house solution. These risks could also be difficult to eliminate or manage, and could have a negative impact on our business and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are risks associated with our outstanding and future indebtedness that could adversely affect our financial condition.</w:t>
      </w:r>
    </w:p>
    <w:p>
      <w:pPr>
        <w:spacing w:after="0" w:line="202" w:lineRule="exact"/>
        <w:rPr>
          <w:sz w:val="20"/>
          <w:szCs w:val="20"/>
          <w:color w:val="auto"/>
        </w:rPr>
      </w:pPr>
    </w:p>
    <w:p>
      <w:pPr>
        <w:jc w:val="both"/>
        <w:ind w:firstLine="597"/>
        <w:spacing w:after="0" w:line="285" w:lineRule="auto"/>
        <w:rPr>
          <w:sz w:val="20"/>
          <w:szCs w:val="20"/>
          <w:color w:val="auto"/>
        </w:rPr>
      </w:pPr>
      <w:r>
        <w:rPr>
          <w:rFonts w:ascii="Arial" w:cs="Arial" w:eastAsia="Arial" w:hAnsi="Arial"/>
          <w:sz w:val="15"/>
          <w:szCs w:val="15"/>
          <w:color w:val="auto"/>
        </w:rPr>
        <w:t>As of December 31, 2019, we had $48.6 million of outstanding indebtedness under a term loan that will mature on December 24, 2023 (the "Term Loan"), pursuant to our credit agreement with Wells Fargo Bank, National Association ("Wells Fargo"), and we may incur additional indebtedness in the future and/or enter into new financing arrangements. In addition, as of December 31, 2019, we had $50 million available for borrowing under our revolving credit facility with Wells Fargo (the "Revolving Facility" and together with the Term Loan, the "Credit Facility"). Our ability to meet expenses, to remain in compliance with the covenants under our debt instruments, and to pay fees, interest and principal on our substantial level of indebtedness depends on, among other things, our operating performance, competitive developments, and financial market conditions, all of which are significantly affected by financial, business, economic, and other factors. We are not able to control many of these factors. Accordingly, our cash flow may not be sufficient to allow us to pay principal and interest on our debt and meet our other obligations.</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level of indebtedness could have important consequences, including the following:</w:t>
      </w:r>
    </w:p>
    <w:p>
      <w:pPr>
        <w:spacing w:after="0" w:line="140" w:lineRule="exact"/>
        <w:rPr>
          <w:sz w:val="20"/>
          <w:szCs w:val="20"/>
          <w:color w:val="auto"/>
        </w:rPr>
      </w:pPr>
    </w:p>
    <w:p>
      <w:pPr>
        <w:ind w:left="960" w:hanging="438"/>
        <w:spacing w:after="0" w:line="295"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must use a portion of our cash flow from operations to pay fees, interest and principal on the Term Loan and Revolving Facility which reduces funds available to us for other purposes such as working capital, capital expenditures, other general corporate purposes, and potential acquisitions;</w:t>
      </w:r>
    </w:p>
    <w:p>
      <w:pPr>
        <w:spacing w:after="0" w:line="82" w:lineRule="exact"/>
        <w:rPr>
          <w:rFonts w:ascii="Arial" w:cs="Arial" w:eastAsia="Arial" w:hAnsi="Arial"/>
          <w:sz w:val="16"/>
          <w:szCs w:val="16"/>
          <w:color w:val="auto"/>
        </w:rPr>
      </w:pPr>
    </w:p>
    <w:p>
      <w:pPr>
        <w:ind w:left="960" w:hanging="438"/>
        <w:spacing w:after="0" w:line="264"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be unable to refinance our indebtedness or to obtain additional financing for working capital, capital expenditures, acquisitions, or general corporate purposes;</w:t>
      </w:r>
    </w:p>
    <w:p>
      <w:pPr>
        <w:spacing w:after="0" w:line="104" w:lineRule="exact"/>
        <w:rPr>
          <w:rFonts w:ascii="Arial" w:cs="Arial" w:eastAsia="Arial" w:hAnsi="Arial"/>
          <w:sz w:val="17"/>
          <w:szCs w:val="17"/>
          <w:color w:val="auto"/>
        </w:rPr>
      </w:pPr>
    </w:p>
    <w:p>
      <w:pPr>
        <w:ind w:left="960" w:hanging="438"/>
        <w:spacing w:after="0"/>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are exposed to fluctuations in interest rates because borrowings under our credit facilities bear interest at variable rates;</w:t>
      </w:r>
    </w:p>
    <w:p>
      <w:pPr>
        <w:spacing w:after="0" w:line="140" w:lineRule="exact"/>
        <w:rPr>
          <w:rFonts w:ascii="Arial" w:cs="Arial" w:eastAsia="Arial" w:hAnsi="Arial"/>
          <w:sz w:val="17"/>
          <w:szCs w:val="17"/>
          <w:color w:val="auto"/>
        </w:rPr>
      </w:pPr>
    </w:p>
    <w:p>
      <w:pPr>
        <w:ind w:left="960" w:hanging="438"/>
        <w:spacing w:after="0" w:line="264"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leverage may be greater than that of some of our competitors, which may put us at a competitive disadvantage and reduce our flexibility in responding to current and changing industry and financial market conditions;</w:t>
      </w:r>
    </w:p>
    <w:p>
      <w:pPr>
        <w:spacing w:after="0" w:line="104" w:lineRule="exact"/>
        <w:rPr>
          <w:rFonts w:ascii="Arial" w:cs="Arial" w:eastAsia="Arial" w:hAnsi="Arial"/>
          <w:sz w:val="17"/>
          <w:szCs w:val="17"/>
          <w:color w:val="auto"/>
        </w:rPr>
      </w:pPr>
    </w:p>
    <w:p>
      <w:pPr>
        <w:ind w:left="960" w:hanging="438"/>
        <w:spacing w:after="0"/>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be more vulnerable to an economic downturn and adverse developments in our business; and</w:t>
      </w:r>
    </w:p>
    <w:p>
      <w:pPr>
        <w:spacing w:after="0" w:line="140" w:lineRule="exact"/>
        <w:rPr>
          <w:rFonts w:ascii="Arial" w:cs="Arial" w:eastAsia="Arial" w:hAnsi="Arial"/>
          <w:sz w:val="17"/>
          <w:szCs w:val="17"/>
          <w:color w:val="auto"/>
        </w:rPr>
      </w:pPr>
    </w:p>
    <w:p>
      <w:pPr>
        <w:ind w:left="960" w:hanging="438"/>
        <w:spacing w:after="0" w:line="331" w:lineRule="auto"/>
        <w:tabs>
          <w:tab w:leader="none" w:pos="9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may be unable to comply with financial and other covenants in our debt agreements, which could result in an event of default that, if not cured or waived, may result in acceleration of certain of our debt, have an adverse effect on our business and prospects and force us into bankruptcy or liquidation.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 can be no assurance that we will be able to manage any of these risks successfully.</w:t>
      </w:r>
    </w:p>
    <w:p>
      <w:pPr>
        <w:spacing w:after="0" w:line="202" w:lineRule="exact"/>
        <w:rPr>
          <w:sz w:val="20"/>
          <w:szCs w:val="20"/>
          <w:color w:val="auto"/>
        </w:rPr>
      </w:pPr>
    </w:p>
    <w:p>
      <w:pPr>
        <w:jc w:val="both"/>
        <w:ind w:firstLine="597"/>
        <w:spacing w:after="0" w:line="268" w:lineRule="auto"/>
        <w:rPr>
          <w:sz w:val="20"/>
          <w:szCs w:val="20"/>
          <w:color w:val="auto"/>
        </w:rPr>
      </w:pPr>
      <w:r>
        <w:rPr>
          <w:rFonts w:ascii="Arial" w:cs="Arial" w:eastAsia="Arial" w:hAnsi="Arial"/>
          <w:sz w:val="16"/>
          <w:szCs w:val="16"/>
          <w:color w:val="auto"/>
        </w:rPr>
        <w:t>In addition, we conduct a portion of our operations through our subsidiaries. Accordingly, repayment of our indebtedness will be dependent in part on the generation of cash flow by our subsidiaries and their ability to make such cash available to us by dividend, distribution or otherwise. Our subsidiaries may not be able to, or may not be permitted to, make distributions to enable us to make payments in respect of our indebtedness. Each subsidiary is a distinct legal entity, and under certain circumstances, legal and contractual restrictions may limit our ability to obtain cash from our subsidiaries. In the event that we do not receive distributions from our subsidiaries, we may be unable to make the required fee, interest and principal payments on our indebtedness.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575" w:right="2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i w:val="1"/>
          <w:iCs w:val="1"/>
          <w:color w:val="auto"/>
        </w:rPr>
        <w:t>Financing agreements that we are party to or may become party to may contain operating and financial covenants that restrict our business and financing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comply with these covenants, or other restrictions, could result in default under these agreements.</w:t>
      </w:r>
    </w:p>
    <w:p>
      <w:pPr>
        <w:spacing w:after="0" w:line="190" w:lineRule="exact"/>
        <w:rPr>
          <w:sz w:val="20"/>
          <w:szCs w:val="20"/>
          <w:color w:val="auto"/>
        </w:rPr>
      </w:pPr>
    </w:p>
    <w:p>
      <w:pPr>
        <w:jc w:val="both"/>
        <w:ind w:firstLine="597"/>
        <w:spacing w:after="0" w:line="284" w:lineRule="auto"/>
        <w:rPr>
          <w:sz w:val="20"/>
          <w:szCs w:val="20"/>
          <w:color w:val="auto"/>
        </w:rPr>
      </w:pPr>
      <w:r>
        <w:rPr>
          <w:rFonts w:ascii="Arial" w:cs="Arial" w:eastAsia="Arial" w:hAnsi="Arial"/>
          <w:sz w:val="15"/>
          <w:szCs w:val="15"/>
          <w:color w:val="auto"/>
        </w:rPr>
        <w:t>Our existing credit agreement with Wells Fargo as administrative agent, and the lenders that are parties thereto, which we refer to as the Second Amendment of our Original Credit Agreement, contains certain operating and financial restrictions and covenants, including limitations on dividends, dispositions of all or substantially all of our assets, mergers or consolidations, incurrence of indebtedness and liens, and other corporate activities. These restrictions and covenants, as well as those contained in any future financing agreements that we may enter into, may restrict our ability to finance our operations, and to engage in, expand or otherwise pursue our business activities and strategic objectives. Our ability to comply with these covenants may be affected by events beyond our control, and breaches of these covenants could result in a default under the Second Amendment of our Original Credit Agreement and any future financing agreements that we may enter into. If not waived, defaults could cause any outstanding indebtedness under the Second Amendment of our Original Credit Agreement and any future financing agreements that we may enter into to become immediately due and payable, and allow the lenders to proceed against any collateral securing that indebtedness.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202" w:lineRule="exact"/>
        <w:rPr>
          <w:sz w:val="20"/>
          <w:szCs w:val="20"/>
          <w:color w:val="auto"/>
        </w:rPr>
      </w:pPr>
    </w:p>
    <w:p>
      <w:pPr>
        <w:jc w:val="both"/>
        <w:ind w:firstLine="597"/>
        <w:spacing w:after="0" w:line="281" w:lineRule="auto"/>
        <w:rPr>
          <w:sz w:val="20"/>
          <w:szCs w:val="20"/>
          <w:color w:val="auto"/>
        </w:rPr>
      </w:pPr>
      <w:r>
        <w:rPr>
          <w:rFonts w:ascii="Arial" w:cs="Arial" w:eastAsia="Arial" w:hAnsi="Arial"/>
          <w:sz w:val="15"/>
          <w:szCs w:val="15"/>
          <w:color w:val="auto"/>
        </w:rPr>
        <w:t>As of December 31, 2019, we had federal net operating loss carryforwards of $82.1 million, which will begin to expire in 2031. At December 31, 2019, we had state net operating loss carryforwards of $65.9 million, which will begin to expire in 2028. At December 31, 2019, we also had federal and state research and development credit carryforwards of $11.4 million and $10.8 million, respectively. The federal credit carryforwards will begin to expire in 2027, while the majority state credits carryforwards apply indefinitely. Under Section 382 of the Internal Revenue Code of 1986, as amended,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previous ownership changes, and future issuances of our stock could cause an ownership change. Furthermore, our ability to utilize net operating loss and/or credit carryforwards of companies that we have acquired or may acquire in the future may be subject to limitations. There is also a risk that due to legislative changes, such as suspensions on the use of net operating loss carryforwards, or other unforeseen reasons, our existing net operating loss carryforwards could expire or otherwise be unavailable to offset future income tax liabilities. In addition, under the Tax Cuts and Jobs Act, the amount of net operating loss carryforwards that we are permitted to deduct in any taxable year is limited to 80% of our taxable income in such year, where taxable income is determined without regard to the net operating loss carryforward deduction itself. For these reasons, we may not be able to realize a tax benefit from the use of our net operating loss carryforwards. Any such limitations on our ability to use our net operating loss carryforwards and other tax assets could adversely impact our business, financial condition and operating results.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Tax laws or regulations could be enacted or changed and existing tax laws or regulations could be applied to us or to our customers in a manner that could increase the costs of our software solutions and adversely impact our operating results.</w:t>
      </w:r>
    </w:p>
    <w:p>
      <w:pPr>
        <w:spacing w:after="0" w:line="167"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The application of federal, state, local and foreign tax laws to services provided electronically is continuously evolving. New income, sales, use or other tax laws, statutes, rules, regulations or ordinances could be enacted or amended at any time, possibly with retroactive effect, and could be applied solely or disproportionately to services provided over the Internet. These enactments or amendments could adversely affect our sales activity due to the inherent cost increase the taxes would represent and could ultimately result in a negative impact on our operating results.</w:t>
      </w:r>
    </w:p>
    <w:p>
      <w:pPr>
        <w:spacing w:after="0" w:line="180" w:lineRule="exact"/>
        <w:rPr>
          <w:sz w:val="20"/>
          <w:szCs w:val="20"/>
          <w:color w:val="auto"/>
        </w:rPr>
      </w:pPr>
    </w:p>
    <w:p>
      <w:pPr>
        <w:jc w:val="both"/>
        <w:ind w:firstLine="597"/>
        <w:spacing w:after="0" w:line="304" w:lineRule="auto"/>
        <w:rPr>
          <w:sz w:val="20"/>
          <w:szCs w:val="20"/>
          <w:color w:val="auto"/>
        </w:rPr>
      </w:pPr>
      <w:r>
        <w:rPr>
          <w:rFonts w:ascii="Arial" w:cs="Arial" w:eastAsia="Arial" w:hAnsi="Arial"/>
          <w:sz w:val="15"/>
          <w:szCs w:val="15"/>
          <w:color w:val="auto"/>
        </w:rPr>
        <w:t>In addition, existing tax laws, statutes, rules, regulations or ordinances could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additional tax liabilities.</w:t>
      </w:r>
    </w:p>
    <w:p>
      <w:pPr>
        <w:spacing w:after="0" w:line="202"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We are subject to income, sales, use, value added and other taxes in the United States and other jurisdictions in which we conduct business, and such laws and rates vary by jurisdiction. Certain jurisdictions in which we do not collect sales, use, value added or other taxes on our sales may assert that such taxes are applicable, which could result in tax assessments, penalties and interest, and we may be required to pay or collect such taxes in the future. If we receive an adverse determination as a result of an audit or related litigation, or we unilaterally determine that we have misinterpreted provisions of the tax regulations to which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575"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we are subject, there could be a material effect on our tax provision, net income or cash flows in the period or periods for which that determination is made.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Because our long-term growth strategy involves expansion of our sales to customers outside the United States, our business will be susceptible to the risks associated with international operations.</w:t>
      </w:r>
    </w:p>
    <w:p>
      <w:pPr>
        <w:spacing w:after="0" w:line="167"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A component of our growth strategy involves the expansion of our international operations and worldwide customer base. To date, we have realized an immaterial amount of revenue from customers outside the United States. Operating in international markets will require significant resources and management attention and will subject us to regulatory, economic, geographic and political risks, including but not limited to the risk of disruptions caused by regional natural disasters or health epidemics, that are different from those in the United States. Because of our limited experience with international operations and significant differences between the United States and international markets, our international expansion efforts may not be successful in creating demand for our software solutions outside of the United States or in effectively selling our software solutions in any international markets we may enter. If we invest substantial time and resources to expand our international operations and are unable to do so successfully, our business and operating results could suffer.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Class A Common Stock</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The market price of our Class A common stock may be volatile or may decline regardless of our operating performance, which could result in substantial losses for our stockholders.</w:t>
      </w:r>
    </w:p>
    <w:p>
      <w:pPr>
        <w:spacing w:after="0" w:line="167"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The market price of our Class A common stock has been, and is likely to continue to be, highly volatile, and fluctuations in the price of our Class A common stock could cause you to lose all or part of your investment. For example, during 2019, the share price of our Class A common stock on the NASDAQ Global Market fluctuated between $55.00 and $116.98.</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 are numerous factors that could cause fluctuations in the market price of our Class A common stock, including:</w:t>
      </w:r>
    </w:p>
    <w:p>
      <w:pPr>
        <w:spacing w:after="0" w:line="140" w:lineRule="exact"/>
        <w:rPr>
          <w:sz w:val="20"/>
          <w:szCs w:val="20"/>
          <w:color w:val="auto"/>
        </w:rPr>
      </w:pPr>
    </w:p>
    <w:p>
      <w:pPr>
        <w:ind w:left="960" w:hanging="43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volatility in the trading volume of our Class A common stock;</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volatility in the market prices and trading volumes of securities issued by software companies;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software companies generally or those in our markets in particular;</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sales of shares of our Class A common stock by us or our stockholders, or perceptions that such sales may occur;</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future announcements to repurchase our Class A common stock, and any actual share repurchases that we may undertake from time to time;</w:t>
      </w:r>
    </w:p>
    <w:p>
      <w:pPr>
        <w:spacing w:after="0" w:line="151" w:lineRule="exact"/>
        <w:rPr>
          <w:rFonts w:ascii="Arial" w:cs="Arial" w:eastAsia="Arial" w:hAnsi="Arial"/>
          <w:sz w:val="16"/>
          <w:szCs w:val="16"/>
          <w:color w:val="auto"/>
        </w:rPr>
      </w:pPr>
    </w:p>
    <w:p>
      <w:pPr>
        <w:ind w:left="960" w:hanging="438"/>
        <w:spacing w:after="0" w:line="264"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us, or our failure to meet these estimates or the expectations of investors;</w:t>
      </w:r>
    </w:p>
    <w:p>
      <w:pPr>
        <w:spacing w:after="0" w:line="104" w:lineRule="exact"/>
        <w:rPr>
          <w:rFonts w:ascii="Arial" w:cs="Arial" w:eastAsia="Arial" w:hAnsi="Arial"/>
          <w:sz w:val="17"/>
          <w:szCs w:val="17"/>
          <w:color w:val="auto"/>
        </w:rPr>
      </w:pPr>
    </w:p>
    <w:p>
      <w:pPr>
        <w:ind w:left="960" w:hanging="43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guidance we may provide to the public, any changes in that guidance, and our performance relative to that guidance;</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or services;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public reaction to our press releases, filings with the SEC and other public announcements;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software companies;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actual or anticipated changes in our operating results or fluctuations in our operating results;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legal proceedings, enforcement actions or regulatory inquiries relating to us or our competitors or to the markets in which we operate;</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575" w:right="239" w:bottom="1440" w:gutter="0" w:footer="0" w:header="0"/>
        </w:sectPr>
      </w:pPr>
    </w:p>
    <w:bookmarkStart w:id="32" w:name="page33"/>
    <w:bookmarkEnd w:id="32"/>
    <w:p>
      <w:pPr>
        <w:ind w:left="960" w:hanging="43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or technologies by us or our competitors;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 or the markets in which we operate;</w:t>
      </w:r>
    </w:p>
    <w:p>
      <w:pPr>
        <w:spacing w:after="0" w:line="151" w:lineRule="exact"/>
        <w:rPr>
          <w:rFonts w:ascii="Arial" w:cs="Arial" w:eastAsia="Arial" w:hAnsi="Arial"/>
          <w:sz w:val="16"/>
          <w:szCs w:val="16"/>
          <w:color w:val="auto"/>
        </w:rPr>
      </w:pPr>
    </w:p>
    <w:p>
      <w:pPr>
        <w:ind w:left="960" w:hanging="43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our management; and</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general economic conditions and trends, including slow or negative growth of our markets.</w:t>
      </w:r>
    </w:p>
    <w:p>
      <w:pPr>
        <w:spacing w:after="0" w:line="202" w:lineRule="exact"/>
        <w:rPr>
          <w:sz w:val="20"/>
          <w:szCs w:val="20"/>
          <w:color w:val="auto"/>
        </w:rPr>
      </w:pPr>
    </w:p>
    <w:p>
      <w:pPr>
        <w:jc w:val="both"/>
        <w:ind w:firstLine="597"/>
        <w:spacing w:after="0" w:line="304" w:lineRule="auto"/>
        <w:rPr>
          <w:sz w:val="20"/>
          <w:szCs w:val="20"/>
          <w:color w:val="auto"/>
        </w:rPr>
      </w:pPr>
      <w:r>
        <w:rPr>
          <w:rFonts w:ascii="Arial" w:cs="Arial" w:eastAsia="Arial" w:hAnsi="Arial"/>
          <w:sz w:val="15"/>
          <w:szCs w:val="15"/>
          <w:color w:val="auto"/>
        </w:rPr>
        <w:t>In addition, in the past, following periods of volatility in the overall market and the market price of a particular company’s securities, securities class action litigation has often been instituted against these companies. If instituted against us, any such litigation, regardless of its merit or final outcome, could result in substantial costs and a diversion of our management’s attention, thereby adversely affecting our operating results and, potentially, the price of our Class A common stock.</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The dual class structure of our common stock has the effect of concentrating voting control with a limited number of stockholders, including our executive officers, directors and principal stockholders, which will limit your ability to influence corporate matters.</w:t>
      </w:r>
    </w:p>
    <w:p>
      <w:pPr>
        <w:spacing w:after="0" w:line="167"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At December 31, 2019, the holders of the outstanding shares of our Class B common stock, including our executive officers, directors, and principal stockholders, collectively hold approximately 91%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are able to exercise significant influence and control over the establishment and implementation of our future business plans and strategic objectives, as well as to control all matters submitted to our stockholders for approval. These persons may manage our business in ways with which you disagree and which may be adverse to your interests. This concentrated control may also have the effect of delaying, deterring or preventing a change-in-control transaction, depriving our stockholders of an opportunity to receive a premium for their capital stock or negatively affecting the market price of our Class A common stock.</w:t>
      </w:r>
    </w:p>
    <w:p>
      <w:pPr>
        <w:spacing w:after="0" w:line="172"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predict the impact that our capital structure may have on our stock price.</w:t>
      </w:r>
    </w:p>
    <w:p>
      <w:pPr>
        <w:spacing w:after="0" w:line="202" w:lineRule="exact"/>
        <w:rPr>
          <w:sz w:val="20"/>
          <w:szCs w:val="20"/>
          <w:color w:val="auto"/>
        </w:rPr>
      </w:pPr>
    </w:p>
    <w:p>
      <w:pPr>
        <w:jc w:val="both"/>
        <w:ind w:firstLine="597"/>
        <w:spacing w:after="0" w:line="285" w:lineRule="auto"/>
        <w:rPr>
          <w:sz w:val="20"/>
          <w:szCs w:val="20"/>
          <w:color w:val="auto"/>
        </w:rPr>
      </w:pPr>
      <w:r>
        <w:rPr>
          <w:rFonts w:ascii="Arial" w:cs="Arial" w:eastAsia="Arial" w:hAnsi="Arial"/>
          <w:sz w:val="15"/>
          <w:szCs w:val="15"/>
          <w:color w:val="auto"/>
        </w:rPr>
        <w:t>S&amp;P Dow Jones, a provider of widely followed stock indices, has announced that companies with multiple classes of stock, will not be eligible for inclusion in certain of their indices. As a result, our Class A common stock will not be eligible for those stock indices. Additionally, FTSE Russell, another provider of widely followed stock indices, requires new constituents of its indices to have at least five percent of their voting rights in the hands of public stockholders. At December 31, 2019, the holders of the outstanding shares of our Class B common stock, including our executive officers, directors, and principal stockholders, collectively hold approximately 91% of the combined voting power of our outstanding capital stock. Many investment funds are precluded from investing in companies that are not included in such indices, and these funds would be unable to purchase our Class A common stock. We cannot assure you that other stock indices will not take a similar approach in the future. Exclusion from indices could make our Class A common stock less attractive to investors and, as a result, the market price of our Class A common stock could be adversely affected.</w:t>
      </w:r>
    </w:p>
    <w:p>
      <w:pPr>
        <w:spacing w:after="0" w:line="158"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In addition, several shareholder advisory firms have announced their opposition to the use of multiple class structures. As a result, the dual class structure of our common stock may cause shareholder advisory firms to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Share repurchases could increase the volatility of the trading price of our common stock and diminish our cash reserves, and we cannot guarantee that our share repurchase program will enhance long-term stockholder value.</w:t>
      </w:r>
    </w:p>
    <w:p>
      <w:pPr>
        <w:spacing w:after="0" w:line="167"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In October 2018, our Board of Directors adopted a $30.0 million Share Repurchase Program relating to our outstanding shares of our Class A common stock. In February 2019, our Board of Directors adopted a $100.0 million Share Repurchase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712" w:right="239" w:bottom="1440" w:gutter="0" w:footer="0" w:header="0"/>
        </w:sectPr>
      </w:pPr>
    </w:p>
    <w:bookmarkStart w:id="33" w:name="page34"/>
    <w:bookmarkEnd w:id="33"/>
    <w:p>
      <w:pPr>
        <w:jc w:val="both"/>
        <w:spacing w:after="0" w:line="287" w:lineRule="auto"/>
        <w:rPr>
          <w:sz w:val="20"/>
          <w:szCs w:val="20"/>
          <w:color w:val="auto"/>
        </w:rPr>
      </w:pPr>
      <w:r>
        <w:rPr>
          <w:rFonts w:ascii="Arial" w:cs="Arial" w:eastAsia="Arial" w:hAnsi="Arial"/>
          <w:sz w:val="15"/>
          <w:szCs w:val="15"/>
          <w:color w:val="auto"/>
        </w:rPr>
        <w:t>Program relating to our outstanding shares of our Class A common stock, which is inclusive of, and not in addition to, the remaining availability under the October 2018 authorization. Although our Board of Directors has authorized the Repurchase Program, it does not obligate us to repurchase any specific dollar amount or number of shares, there is no expiration date for the Repurchase Program, and the Repurchase Program may be modified, suspended or terminated at any time and for any reason. The timing and actual number of shares repurchased under the Repurchase Program will depend on a variety of factors, including the acquisition price of the shares, our liquidity position, general market and economic conditions, legal and regulatory requirements and other considerations. Our ability to repurchase shares may also be limited by restrictive covenants in our existing credit agreement or in future borrowing arrangements we may enter into from time to time.</w:t>
      </w:r>
    </w:p>
    <w:p>
      <w:pPr>
        <w:spacing w:after="0" w:line="155"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Repurchases of our shares could increase the volatility of the trading price of our shares, which could have a negative impact on the trading price of our shares. Similarly, the future announcement of the termination or suspension of the Repurchase Program, or our decision not to utilize the full authorized repurchase amount under the Repurchase Program, could result in a decrease in the trading price of our shares. In addition, the Repurchase Program could have the impact of diminishing our cash reserves, which may impact our ability to finance our growth, complete acquisitions and execute our strategic plan. There can be no assurance that any share repurchases we do elect to make will enhance stockholder value because the market price of our common stock may decline below the levels at which we repurchased our shares. Although our share repurchase program is intended to enhance long-term stockholder value, we cannot guarantee that it will do so and short-term stock price fluctuations could reduce the effectiveness of the Repurchase Program.</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67"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6"/>
          <w:szCs w:val="16"/>
          <w:color w:val="auto"/>
        </w:rPr>
        <w:t>Our amended and restated certificate of incorporation and our amended and restated bylaws contain provisions that could have the effect of rendering more difficult hostile takeovers, change-in-control transactions or changes in our Board of Directors or management. Among other things, these provisions:</w:t>
      </w:r>
    </w:p>
    <w:p>
      <w:pPr>
        <w:spacing w:after="0" w:line="82" w:lineRule="exact"/>
        <w:rPr>
          <w:sz w:val="20"/>
          <w:szCs w:val="20"/>
          <w:color w:val="auto"/>
        </w:rPr>
      </w:pPr>
    </w:p>
    <w:p>
      <w:pPr>
        <w:ind w:left="960" w:hanging="438"/>
        <w:spacing w:after="0" w:line="264"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authorize the issuance of preferred stock with powers, preferences and rights that may be senior to our common stock, which can be created and issued by our Board of Directors without prior stockholder approval;</w:t>
      </w:r>
    </w:p>
    <w:p>
      <w:pPr>
        <w:spacing w:after="0" w:line="104" w:lineRule="exact"/>
        <w:rPr>
          <w:rFonts w:ascii="Arial" w:cs="Arial" w:eastAsia="Arial" w:hAnsi="Arial"/>
          <w:sz w:val="17"/>
          <w:szCs w:val="17"/>
          <w:color w:val="auto"/>
        </w:rPr>
      </w:pPr>
    </w:p>
    <w:p>
      <w:pPr>
        <w:ind w:left="960" w:hanging="438"/>
        <w:spacing w:after="0"/>
        <w:tabs>
          <w:tab w:leader="none" w:pos="9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provide for the adoption of a staggered Board of Directors whereby our board is divided into three classes, each of which has a different three-year term;</w:t>
      </w:r>
    </w:p>
    <w:p>
      <w:pPr>
        <w:spacing w:after="0" w:line="163" w:lineRule="exact"/>
        <w:rPr>
          <w:rFonts w:ascii="Arial" w:cs="Arial" w:eastAsia="Arial" w:hAnsi="Arial"/>
          <w:sz w:val="15"/>
          <w:szCs w:val="15"/>
          <w:color w:val="auto"/>
        </w:rPr>
      </w:pPr>
    </w:p>
    <w:p>
      <w:pPr>
        <w:ind w:left="960" w:hanging="438"/>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 that the number of directors will be fixed by our Board of Directors;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prohibit our stockholders from filling vacancies on our Board of Directors;</w:t>
      </w:r>
    </w:p>
    <w:p>
      <w:pPr>
        <w:spacing w:after="0" w:line="140" w:lineRule="exact"/>
        <w:rPr>
          <w:rFonts w:ascii="Arial" w:cs="Arial" w:eastAsia="Arial" w:hAnsi="Arial"/>
          <w:sz w:val="17"/>
          <w:szCs w:val="17"/>
          <w:color w:val="auto"/>
        </w:rPr>
      </w:pPr>
    </w:p>
    <w:p>
      <w:pPr>
        <w:ind w:left="960" w:hanging="438"/>
        <w:spacing w:after="0" w:line="264"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 for the removal of a director only for cause and then only by the affirmative vote of the holders of a majority of the combined voting power of our outstanding capital stock;</w:t>
      </w:r>
    </w:p>
    <w:p>
      <w:pPr>
        <w:spacing w:after="0" w:line="104" w:lineRule="exact"/>
        <w:rPr>
          <w:rFonts w:ascii="Arial" w:cs="Arial" w:eastAsia="Arial" w:hAnsi="Arial"/>
          <w:sz w:val="17"/>
          <w:szCs w:val="17"/>
          <w:color w:val="auto"/>
        </w:rPr>
      </w:pPr>
    </w:p>
    <w:p>
      <w:pPr>
        <w:ind w:left="960" w:hanging="438"/>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prohibit stockholders from calling special stockholder meetings;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prohibit stockholders from acting by written consent without holding a meeting of stockholders;</w:t>
      </w:r>
    </w:p>
    <w:p>
      <w:pPr>
        <w:spacing w:after="0" w:line="140" w:lineRule="exact"/>
        <w:rPr>
          <w:rFonts w:ascii="Arial" w:cs="Arial" w:eastAsia="Arial" w:hAnsi="Arial"/>
          <w:sz w:val="17"/>
          <w:szCs w:val="17"/>
          <w:color w:val="auto"/>
        </w:rPr>
      </w:pPr>
    </w:p>
    <w:p>
      <w:pPr>
        <w:ind w:left="960" w:hanging="438"/>
        <w:spacing w:after="0" w:line="264"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 the vote of at least two-thirds of the combined voting power of our outstanding capital stock to approve amendments to our certificate of incorporation or bylaws;</w:t>
      </w:r>
    </w:p>
    <w:p>
      <w:pPr>
        <w:spacing w:after="0" w:line="104" w:lineRule="exact"/>
        <w:rPr>
          <w:rFonts w:ascii="Arial" w:cs="Arial" w:eastAsia="Arial" w:hAnsi="Arial"/>
          <w:sz w:val="17"/>
          <w:szCs w:val="17"/>
          <w:color w:val="auto"/>
        </w:rPr>
      </w:pPr>
    </w:p>
    <w:p>
      <w:pPr>
        <w:ind w:left="960" w:hanging="438"/>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 advance written notice of stockholder proposals and director nominations;</w:t>
      </w:r>
    </w:p>
    <w:p>
      <w:pPr>
        <w:spacing w:after="0" w:line="140" w:lineRule="exact"/>
        <w:rPr>
          <w:rFonts w:ascii="Arial" w:cs="Arial" w:eastAsia="Arial" w:hAnsi="Arial"/>
          <w:sz w:val="17"/>
          <w:szCs w:val="17"/>
          <w:color w:val="auto"/>
        </w:rPr>
      </w:pPr>
    </w:p>
    <w:p>
      <w:pPr>
        <w:ind w:left="960" w:hanging="438"/>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 for a dual-class common stock structure, as discussed above; and</w:t>
      </w:r>
    </w:p>
    <w:p>
      <w:pPr>
        <w:spacing w:after="0" w:line="140" w:lineRule="exact"/>
        <w:rPr>
          <w:rFonts w:ascii="Arial" w:cs="Arial" w:eastAsia="Arial" w:hAnsi="Arial"/>
          <w:sz w:val="17"/>
          <w:szCs w:val="17"/>
          <w:color w:val="auto"/>
        </w:rPr>
      </w:pPr>
    </w:p>
    <w:p>
      <w:pPr>
        <w:ind w:left="960" w:hanging="438"/>
        <w:spacing w:after="0" w:line="264"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 the approval of the holders of at least a majority of the outstanding shares of our Class B common stock, voting as a separate class, prior to consummating a change-in-control transaction.</w:t>
      </w:r>
    </w:p>
    <w:p>
      <w:pPr>
        <w:spacing w:after="0" w:line="167"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As a Delaware corporation, we are also subject to provisions of Delaware law, including Section 203 of the Delaware General Corporation Law, which may delay, deter or prevent a change-in-control transaction. Section 203 imposes certain restrictions on mergers, business combinations and other transactions between us and holders of 15% or more of our common stock.</w:t>
      </w:r>
    </w:p>
    <w:p>
      <w:pPr>
        <w:spacing w:after="0" w:line="175"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Any provision of Delaware law, our amended and restated certificate of incorporation, or our amended and restated bylaws, that has the effect of rendering more difficult, delaying, deterring or preventing a change-in-control transaction could limit the opportunity for our stockholders to receive a premium for their shares of our capital stock, and could also affect the price that some investors are willing to pay for our Class A common stock.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575" w:right="2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i w:val="1"/>
          <w:iCs w:val="1"/>
          <w:color w:val="auto"/>
        </w:rPr>
        <w:t>Future sales of shares of our Class A common stock, or the perception that these sales could occur, could depress the market price of our Class A common stock.</w:t>
      </w:r>
    </w:p>
    <w:p>
      <w:pPr>
        <w:spacing w:after="0" w:line="248"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cause the market price of our Class A common stock to decline or make it more difficult for you to sell your Class A common stock at a time and price that you deem appropriate, and could impair our ability to raise capital through the sale of additional equity securities. We are unable to predict the effect that sales, or the perception that our shares may be available for sale, will have on the prevailing market price of our Class A common stock.</w:t>
      </w:r>
    </w:p>
    <w:p>
      <w:pPr>
        <w:spacing w:after="0" w:line="180" w:lineRule="exact"/>
        <w:rPr>
          <w:sz w:val="20"/>
          <w:szCs w:val="20"/>
          <w:color w:val="auto"/>
        </w:rPr>
      </w:pPr>
    </w:p>
    <w:p>
      <w:pPr>
        <w:jc w:val="both"/>
        <w:ind w:firstLine="597"/>
        <w:spacing w:after="0" w:line="262" w:lineRule="auto"/>
        <w:rPr>
          <w:sz w:val="20"/>
          <w:szCs w:val="20"/>
          <w:color w:val="auto"/>
        </w:rPr>
      </w:pPr>
      <w:r>
        <w:rPr>
          <w:rFonts w:ascii="Arial" w:cs="Arial" w:eastAsia="Arial" w:hAnsi="Arial"/>
          <w:sz w:val="16"/>
          <w:szCs w:val="16"/>
          <w:color w:val="auto"/>
        </w:rPr>
        <w:t>At December 31, 2019, we had an aggregate of 1.3 million options outstanding that, if fully exercised, would result in the issuance of additional shares of Class A common stock or Class B common stock, as applicable. Our Class B common stock converts into Class A common stock on a one-for-one basis. In addition, at December 31, 2019, we had 0.6 million restricted stock units ("RSUs"), outstanding which, if fully vested and settled in shares, would result in the issuance of additional shares of Class A common stock. All of the shares of Class A common stock issuable upon the exercise of options (or upon conversion of shares of Class B common stock issued upon the exercise of options), or upon the vesting and settlement of RSUs, have been registered for public resale under the Securities Act. Accordingly, these shares will be able to be freely sold in the public market upon issuance.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Certain holders of our Class A common stock and Class B common stock have rights, subject to certain conditions, to require us to file registration statements for the public resale of such shares (in the case of Class B common stock, the Class A common stock issuable upon conversion of such shares) or to include such shares in registration statements that we may file for us or other stockholders. Any sales of securities by these stockholders could have a material adverse effect on the market price of our Class A common stock.</w:t>
      </w:r>
    </w:p>
    <w:p>
      <w:pPr>
        <w:spacing w:after="0" w:line="184" w:lineRule="exact"/>
        <w:rPr>
          <w:sz w:val="20"/>
          <w:szCs w:val="20"/>
          <w:color w:val="auto"/>
        </w:rPr>
      </w:pPr>
    </w:p>
    <w:p>
      <w:pPr>
        <w:jc w:val="both"/>
        <w:spacing w:after="0" w:line="419" w:lineRule="auto"/>
        <w:rPr>
          <w:sz w:val="20"/>
          <w:szCs w:val="20"/>
          <w:color w:val="auto"/>
        </w:rPr>
      </w:pPr>
      <w:r>
        <w:rPr>
          <w:rFonts w:ascii="Arial" w:cs="Arial" w:eastAsia="Arial" w:hAnsi="Arial"/>
          <w:sz w:val="13"/>
          <w:szCs w:val="13"/>
          <w:b w:val="1"/>
          <w:bCs w:val="1"/>
          <w:i w:val="1"/>
          <w:iCs w:val="1"/>
          <w:color w:val="auto"/>
        </w:rPr>
        <w:t>If securities or industry analysts do not publish or cease publishing research or reports about us, our business, our market or our competitors, or if they adversely change their recommendations regarding our Class A common stock, the market price and trading volume of our Class A common stock could decline.</w:t>
      </w:r>
    </w:p>
    <w:p>
      <w:pPr>
        <w:spacing w:after="0" w:line="75"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The trading market for our Class A common stock is influenced, to some extent, by the research and reports that securities or industry analysts may publish about us, our business, our market or our competitors. If any of the analysts who cover us adversely change their recommendations regarding our Class A common stock or provide more favorable recommendations about our competitors, the market price of our Class A common stock may decline. If any of the analysts who cover us were to cease coverage of us or fail to regularly publish reports, we could lose visibility in the financial markets, which in turn could cause the market price and trading volume of our Class A common stock to decline.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declare any dividends in the foreseeable future.</w:t>
      </w:r>
    </w:p>
    <w:p>
      <w:pPr>
        <w:spacing w:after="0" w:line="202"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We have never declared or paid any cash dividends on our existing common stock. We do not anticipate declaring or paying any cash dividends to holders of our Class A common stock in the foreseeable future and intend to retain all future earnings for use in the growth of our business. In addition, the terms of our Credit Agreement restrict our ability to pay dividends. Consequently, investors may need to rely on sales of our Class A common stock after price appreciation, which may never occur, as the only way to realize any future gains on their investment. Investors should not purchase our Class A common stock with the expectation of receiving cash dividends.</w:t>
      </w:r>
    </w:p>
    <w:p>
      <w:pPr>
        <w:spacing w:after="0" w:line="143"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69"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Our corporate headquarters is located in three adjacent office buildings in Santa Barbara, California. The lease on the first building covers approximately 43,700 square feet, the lease on the second building covers approximately 86,000 square feet, and the lease on the third building covers approximately 35,900 square feet. These leases expire in February 2032 and may be extended for two additional five-year terms at our election.</w:t>
      </w:r>
    </w:p>
    <w:p>
      <w:pPr>
        <w:spacing w:after="0" w:line="175"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We also lease space in San Diego, California; Venice, California; Plano, Texas; Richardson, Texas; and Boston, Massachusetts under leases that expire at various times between 2020 and 2024 with various term extensions available.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774" w:right="239" w:bottom="1440" w:gutter="0" w:footer="0" w:header="0"/>
        </w:sectPr>
      </w:pPr>
    </w:p>
    <w:bookmarkStart w:id="35" w:name="page36"/>
    <w:bookmarkEnd w:id="35"/>
    <w:p>
      <w:pPr>
        <w:jc w:val="both"/>
        <w:ind w:firstLine="597"/>
        <w:spacing w:after="0" w:line="331" w:lineRule="auto"/>
        <w:rPr>
          <w:sz w:val="20"/>
          <w:szCs w:val="20"/>
          <w:color w:val="auto"/>
        </w:rPr>
      </w:pPr>
      <w:r>
        <w:rPr>
          <w:rFonts w:ascii="Arial" w:cs="Arial" w:eastAsia="Arial" w:hAnsi="Arial"/>
          <w:sz w:val="15"/>
          <w:szCs w:val="15"/>
          <w:color w:val="auto"/>
        </w:rPr>
        <w:t>We intend to procure additional space as we add employees and expand our operations geographically. We believe our current facilities are adequate for our current needs and that, should it be needed, suitable additional or alternative space will be available to us to accommodate any such expansion of our operations.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lease all of our facilities and do not own any real property.</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306"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6"/>
          <w:szCs w:val="16"/>
          <w:color w:val="auto"/>
        </w:rPr>
        <w:t>From time to time, we are involved in various investigatory inquiries or legal proceedings arising from or related to matters incident to the ordinary course of our business activities, including without limitation actions involving intellectual property, employment, regulatory and contractual issues. Although the results of such investigatory inquiries or legal proceedings cannot be predicted with certainty, we believe that we are not currently a party to any investigatory inquiries or legal proceeding(s) which, if determined adversely to us, would, individually or taken together, have a material adverse effect on our business, operating results, financial condition or cash flows. However, regardless of the merit of any claims raised or the ultimate outcome, investigatory inquiries or legal proceedings may generally have an adverse impact on us as a result of compliance or defense and settlement costs, diversion of management resources, and other factors.</w:t>
      </w:r>
    </w:p>
    <w:p>
      <w:pPr>
        <w:spacing w:after="0" w:line="232" w:lineRule="exact"/>
        <w:rPr>
          <w:sz w:val="20"/>
          <w:szCs w:val="20"/>
          <w:color w:val="auto"/>
        </w:rPr>
      </w:pPr>
    </w:p>
    <w:p>
      <w:pPr>
        <w:ind w:right="1140" w:firstLine="398"/>
        <w:spacing w:after="0" w:line="462" w:lineRule="auto"/>
        <w:rPr>
          <w:sz w:val="20"/>
          <w:szCs w:val="20"/>
          <w:color w:val="auto"/>
        </w:rPr>
      </w:pPr>
      <w:r>
        <w:rPr>
          <w:rFonts w:ascii="Arial" w:cs="Arial" w:eastAsia="Arial" w:hAnsi="Arial"/>
          <w:sz w:val="17"/>
          <w:szCs w:val="17"/>
          <w:color w:val="auto"/>
        </w:rPr>
        <w:t xml:space="preserve">For additional information regarding legal proceedings, refer to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of our Consolidated Financial Statements. </w:t>
      </w:r>
      <w:r>
        <w:rPr>
          <w:rFonts w:ascii="Arial" w:cs="Arial" w:eastAsia="Arial" w:hAnsi="Arial"/>
          <w:sz w:val="17"/>
          <w:szCs w:val="17"/>
          <w:b w:val="1"/>
          <w:bCs w:val="1"/>
          <w:color w:val="auto"/>
        </w:rPr>
        <w:t>ITEM 4. MINE SAFETY DISCLOSURES</w:t>
      </w:r>
    </w:p>
    <w:p>
      <w:pPr>
        <w:spacing w:after="0" w:line="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575" w:right="239" w:bottom="1440" w:gutter="0" w:footer="0" w:header="0"/>
        </w:sectPr>
      </w:pPr>
    </w:p>
    <w:bookmarkStart w:id="36" w:name="page37"/>
    <w:bookmarkEnd w:id="36"/>
    <w:p>
      <w:pPr>
        <w:jc w:val="center"/>
        <w:ind w:right="-79"/>
        <w:spacing w:after="0"/>
        <w:rPr>
          <w:sz w:val="20"/>
          <w:szCs w:val="20"/>
          <w:color w:val="auto"/>
        </w:rPr>
      </w:pPr>
      <w:r>
        <w:rPr>
          <w:rFonts w:ascii="Arial" w:cs="Arial" w:eastAsia="Arial" w:hAnsi="Arial"/>
          <w:sz w:val="17"/>
          <w:szCs w:val="17"/>
          <w:b w:val="1"/>
          <w:bCs w:val="1"/>
          <w:color w:val="auto"/>
        </w:rPr>
        <w:t>PART II</w:t>
      </w:r>
    </w:p>
    <w:p>
      <w:pPr>
        <w:spacing w:after="0" w:line="202" w:lineRule="exact"/>
        <w:rPr>
          <w:sz w:val="20"/>
          <w:szCs w:val="20"/>
          <w:color w:val="auto"/>
        </w:rPr>
      </w:pPr>
    </w:p>
    <w:p>
      <w:pPr>
        <w:ind w:left="740" w:right="620" w:hanging="670"/>
        <w:spacing w:after="0" w:line="269"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7"/>
          <w:szCs w:val="17"/>
          <w:b w:val="1"/>
          <w:bCs w:val="1"/>
          <w:i w:val="1"/>
          <w:iCs w:val="1"/>
          <w:color w:val="auto"/>
        </w:rPr>
        <w:t>Market for our Common Stock</w:t>
      </w:r>
    </w:p>
    <w:p>
      <w:pPr>
        <w:spacing w:after="0" w:line="202"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Our Class A common stock began trading publicly on the NASDAQ Global Market under the symbol "APPF" on June 26, 2015. Prior to that date, there was no public trading market for our Class A common stock.</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Class B common stock is not listed or traded on any stock exchange.</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Holders of Record</w:t>
      </w:r>
    </w:p>
    <w:p>
      <w:pPr>
        <w:spacing w:after="0" w:line="202"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At February 14, 2020, there were 27 holders of record of our Class A common stock and 80 holders of record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Dividend Policy</w:t>
      </w:r>
    </w:p>
    <w:p>
      <w:pPr>
        <w:spacing w:after="0" w:line="202"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We have never declared or paid any cash dividends on our capital stock. We do not anticipate declaring or paying any cash dividends to holders of our capital stock in the foreseeable future and intend to retain all future earnings for use in the growth of our business. In addition, the terms of our Credit Agreement restrict our ability to pay dividends. Consequently, investors may need to rely on sales of our Class A common stock after price appreciation, which may never occur, as the only way to realize any future gains on their investment. Investors should not purchase our Class A common stock with the expectation of receiving cash dividends.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Stock Performance Graph</w:t>
      </w:r>
    </w:p>
    <w:p>
      <w:pPr>
        <w:spacing w:after="0" w:line="202"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The following performance graph compares the cumulative total return on our Class A common stock with that of the S&amp;P 500 Index and the NASDAQ Computer Index. This chart assumes $100 was invested in our Class A common stock at the close of market on June 26, 2015, which was our initial trading day, and in the S&amp;P 500 Index and the NASDAQ Computer Index, and assumes the reinvestment of any dividends.</w:t>
      </w:r>
    </w:p>
    <w:p>
      <w:pPr>
        <w:spacing w:after="0" w:line="175"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The comparisons in the graph below are based upon historical data and are not indicative of, nor intended to forecast, future performance of our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969" w:right="2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1494790</wp:posOffset>
            </wp:positionH>
            <wp:positionV relativeFrom="page">
              <wp:posOffset>499745</wp:posOffset>
            </wp:positionV>
            <wp:extent cx="4840605" cy="3790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840605" cy="379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firstLine="597"/>
        <w:spacing w:after="0" w:line="264" w:lineRule="auto"/>
        <w:rPr>
          <w:sz w:val="20"/>
          <w:szCs w:val="20"/>
          <w:color w:val="auto"/>
        </w:rPr>
      </w:pPr>
      <w:r>
        <w:rPr>
          <w:rFonts w:ascii="Arial" w:cs="Arial" w:eastAsia="Arial" w:hAnsi="Arial"/>
          <w:sz w:val="17"/>
          <w:szCs w:val="17"/>
          <w:color w:val="auto"/>
        </w:rPr>
        <w:t>This performance graph shall not be deemed “filed” for purposes of Section 18 of the Exchange Act or incorporated by reference into any of our other filings under the Securities Act or the Exchange Act, except as shall be expressly set forth by specific reference in such filing.</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Unregistered Sales of Equity Securities</w:t>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440" w:right="239" w:bottom="1440" w:gutter="0" w:footer="0" w:header="0"/>
        </w:sectPr>
      </w:pPr>
    </w:p>
    <w:bookmarkStart w:id="38" w:name="page39"/>
    <w:bookmarkEnd w:id="38"/>
    <w:p>
      <w:pPr>
        <w:spacing w:after="0"/>
        <w:tabs>
          <w:tab w:leader="none" w:pos="8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06"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color w:val="auto"/>
        </w:rPr>
        <w:t>The following tables present our historical selected consolidated financial data for the periods indicated. We have derived the selected Consolidated Statements of Operations data for the fiscal years ended December 31, 2019, 2018 and 2017 and the selected Consolidated Balance Sheet data at December 31, 2019 and 2018 from our audited Consolidated Financial Statements included elsewhere in this Annual Report. We have derived the selected Consolidated Statements of Operations data for the fiscal years ended December 31, 2016 and 2015 and the selected Consolidated Balance Sheet data at December 31, 2017, 2016 and 2015 from our audited Consolidated Financial Statements, which are not included in this Annual Report. Our historical results are not necessarily indicative of the results we expect in the future.</w:t>
      </w:r>
    </w:p>
    <w:p>
      <w:pPr>
        <w:spacing w:after="0" w:line="114"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The following historical selected consolidated financial data should be read in conjunction with, and are qualified in their entirety by reference to, the section of this Annual Report entitled “Management’s Discussion and Analysis of Financial Condition and Results of Operations” and our Consolidated Financial Statements and the related notes included elsewhere in this Annual Report.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0" w:type="dxa"/>
            <w:vAlign w:val="bottom"/>
            <w:gridSpan w:val="6"/>
          </w:tcPr>
          <w:p>
            <w:pPr>
              <w:jc w:val="center"/>
              <w:ind w:right="197"/>
              <w:spacing w:after="0"/>
              <w:rPr>
                <w:sz w:val="20"/>
                <w:szCs w:val="20"/>
                <w:color w:val="auto"/>
              </w:rPr>
            </w:pPr>
            <w:r>
              <w:rPr>
                <w:rFonts w:ascii="Arial" w:cs="Arial" w:eastAsia="Arial" w:hAnsi="Arial"/>
                <w:sz w:val="13"/>
                <w:szCs w:val="13"/>
                <w:b w:val="1"/>
                <w:bCs w:val="1"/>
                <w:color w:val="auto"/>
                <w:w w:val="92"/>
              </w:rPr>
              <w:t>Year Ended December 31,</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7"/>
        </w:trPr>
        <w:tc>
          <w:tcPr>
            <w:tcW w:w="52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169"/>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98"/>
              <w:spacing w:after="0"/>
              <w:rPr>
                <w:sz w:val="20"/>
                <w:szCs w:val="20"/>
                <w:color w:val="auto"/>
              </w:rPr>
            </w:pPr>
            <w:r>
              <w:rPr>
                <w:rFonts w:ascii="Arial" w:cs="Arial" w:eastAsia="Arial" w:hAnsi="Arial"/>
                <w:sz w:val="13"/>
                <w:szCs w:val="13"/>
                <w:b w:val="1"/>
                <w:bCs w:val="1"/>
                <w:color w:val="auto"/>
              </w:rPr>
              <w:t xml:space="preserve">2019 </w:t>
            </w:r>
            <w:r>
              <w:rPr>
                <w:rFonts w:ascii="Arial" w:cs="Arial" w:eastAsia="Arial" w:hAnsi="Arial"/>
                <w:sz w:val="8"/>
                <w:szCs w:val="8"/>
                <w:b w:val="1"/>
                <w:bCs w:val="1"/>
                <w:color w:val="auto"/>
              </w:rPr>
              <w:t>(1)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99"/>
              <w:spacing w:after="0"/>
              <w:rPr>
                <w:sz w:val="20"/>
                <w:szCs w:val="20"/>
                <w:color w:val="auto"/>
              </w:rPr>
            </w:pPr>
            <w:r>
              <w:rPr>
                <w:rFonts w:ascii="Arial" w:cs="Arial" w:eastAsia="Arial" w:hAnsi="Arial"/>
                <w:sz w:val="13"/>
                <w:szCs w:val="13"/>
                <w:b w:val="1"/>
                <w:bCs w:val="1"/>
                <w:color w:val="auto"/>
              </w:rPr>
              <w:t xml:space="preserve">2018 </w:t>
            </w:r>
            <w:r>
              <w:rPr>
                <w:rFonts w:ascii="Arial" w:cs="Arial" w:eastAsia="Arial" w:hAnsi="Arial"/>
                <w:sz w:val="8"/>
                <w:szCs w:val="8"/>
                <w:b w:val="1"/>
                <w:bCs w:val="1"/>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ind w:right="198"/>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338"/>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8"/>
              <w:spacing w:after="0"/>
              <w:rPr>
                <w:sz w:val="20"/>
                <w:szCs w:val="20"/>
                <w:color w:val="auto"/>
              </w:rPr>
            </w:pPr>
            <w:r>
              <w:rPr>
                <w:rFonts w:ascii="Arial" w:cs="Arial" w:eastAsia="Arial" w:hAnsi="Arial"/>
                <w:sz w:val="13"/>
                <w:szCs w:val="13"/>
                <w:b w:val="1"/>
                <w:bCs w:val="1"/>
                <w:color w:val="auto"/>
              </w:rPr>
              <w:t>2015</w:t>
            </w:r>
          </w:p>
        </w:tc>
      </w:tr>
      <w:tr>
        <w:trPr>
          <w:trHeight w:val="72"/>
        </w:trPr>
        <w:tc>
          <w:tcPr>
            <w:tcW w:w="526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gridSpan w:val="7"/>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219"/>
        </w:trPr>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7"/>
          </w:tcPr>
          <w:p>
            <w:pPr>
              <w:jc w:val="center"/>
              <w:ind w:left="419"/>
              <w:spacing w:after="0"/>
              <w:rPr>
                <w:sz w:val="20"/>
                <w:szCs w:val="20"/>
                <w:color w:val="auto"/>
              </w:rPr>
            </w:pPr>
            <w:r>
              <w:rPr>
                <w:rFonts w:ascii="Arial" w:cs="Arial" w:eastAsia="Arial" w:hAnsi="Arial"/>
                <w:sz w:val="13"/>
                <w:szCs w:val="13"/>
                <w:color w:val="auto"/>
                <w:w w:val="90"/>
              </w:rPr>
              <w:t>(in thousands, except per share data)</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9"/>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256,012</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190,071</w:t>
            </w:r>
          </w:p>
        </w:tc>
        <w:tc>
          <w:tcPr>
            <w:tcW w:w="480" w:type="dxa"/>
            <w:vAlign w:val="bottom"/>
            <w:tcBorders>
              <w:bottom w:val="single" w:sz="8" w:color="CCEEFF"/>
            </w:tcBorders>
            <w:gridSpan w:val="3"/>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143,803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105,586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74,977</w:t>
            </w:r>
          </w:p>
        </w:tc>
      </w:tr>
      <w:tr>
        <w:trPr>
          <w:trHeight w:val="224"/>
        </w:trPr>
        <w:tc>
          <w:tcPr>
            <w:tcW w:w="5260" w:type="dxa"/>
            <w:vAlign w:val="bottom"/>
          </w:tcPr>
          <w:p>
            <w:pPr>
              <w:ind w:left="20"/>
              <w:spacing w:after="0"/>
              <w:rPr>
                <w:sz w:val="20"/>
                <w:szCs w:val="20"/>
                <w:color w:val="auto"/>
              </w:rPr>
            </w:pPr>
            <w:r>
              <w:rPr>
                <w:rFonts w:ascii="Arial" w:cs="Arial" w:eastAsia="Arial" w:hAnsi="Arial"/>
                <w:sz w:val="17"/>
                <w:szCs w:val="17"/>
                <w:color w:val="auto"/>
              </w:rPr>
              <w:t>Costs and operating expenses: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9"/>
        </w:trPr>
        <w:tc>
          <w:tcPr>
            <w:tcW w:w="5260" w:type="dxa"/>
            <w:vAlign w:val="bottom"/>
            <w:shd w:val="clear" w:color="auto" w:fill="CCEEFF"/>
          </w:tcPr>
          <w:p>
            <w:pPr>
              <w:ind w:left="20"/>
              <w:spacing w:after="0" w:line="248" w:lineRule="exact"/>
              <w:rPr>
                <w:sz w:val="20"/>
                <w:szCs w:val="20"/>
                <w:color w:val="auto"/>
              </w:rPr>
            </w:pPr>
            <w:r>
              <w:rPr>
                <w:rFonts w:ascii="Arial" w:cs="Arial" w:eastAsia="Arial" w:hAnsi="Arial"/>
                <w:sz w:val="17"/>
                <w:szCs w:val="17"/>
                <w:color w:val="auto"/>
              </w:rPr>
              <w:t>Cost of revenue (exclusive of depreciation and amortization)</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101,642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73,549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55,283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44,630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33,903</w:t>
            </w:r>
          </w:p>
        </w:tc>
      </w:tr>
      <w:tr>
        <w:trPr>
          <w:trHeight w:val="249"/>
        </w:trPr>
        <w:tc>
          <w:tcPr>
            <w:tcW w:w="5260" w:type="dxa"/>
            <w:vAlign w:val="bottom"/>
          </w:tcPr>
          <w:p>
            <w:pPr>
              <w:ind w:left="20"/>
              <w:spacing w:after="0" w:line="248"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3"/>
                <w:szCs w:val="23"/>
                <w:color w:val="auto"/>
                <w:vertAlign w:val="superscript"/>
              </w:rPr>
              <w:t>(3)</w:t>
            </w:r>
          </w:p>
        </w:tc>
        <w:tc>
          <w:tcPr>
            <w:tcW w:w="24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51,528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33,288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7"/>
                <w:szCs w:val="17"/>
                <w:color w:val="auto"/>
              </w:rPr>
              <w:t>28,709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28,827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26,076</w:t>
            </w:r>
          </w:p>
        </w:tc>
      </w:tr>
      <w:tr>
        <w:trPr>
          <w:trHeight w:val="249"/>
        </w:trPr>
        <w:tc>
          <w:tcPr>
            <w:tcW w:w="5260" w:type="dxa"/>
            <w:vAlign w:val="bottom"/>
            <w:shd w:val="clear" w:color="auto" w:fill="CCEEFF"/>
          </w:tcPr>
          <w:p>
            <w:pPr>
              <w:ind w:left="20"/>
              <w:spacing w:after="0" w:line="248" w:lineRule="exact"/>
              <w:rPr>
                <w:sz w:val="20"/>
                <w:szCs w:val="20"/>
                <w:color w:val="auto"/>
              </w:rPr>
            </w:pPr>
            <w:r>
              <w:rPr>
                <w:rFonts w:ascii="Arial" w:cs="Arial" w:eastAsia="Arial" w:hAnsi="Arial"/>
                <w:sz w:val="17"/>
                <w:szCs w:val="17"/>
                <w:color w:val="auto"/>
              </w:rPr>
              <w:t>Research and product development</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39,508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24,111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16,578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12,638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9,554</w:t>
            </w:r>
          </w:p>
        </w:tc>
      </w:tr>
      <w:tr>
        <w:trPr>
          <w:trHeight w:val="249"/>
        </w:trPr>
        <w:tc>
          <w:tcPr>
            <w:tcW w:w="5260" w:type="dxa"/>
            <w:vAlign w:val="bottom"/>
          </w:tcPr>
          <w:p>
            <w:pPr>
              <w:ind w:left="20"/>
              <w:spacing w:after="0" w:line="248"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(3)</w:t>
            </w:r>
          </w:p>
        </w:tc>
        <w:tc>
          <w:tcPr>
            <w:tcW w:w="24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34,478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24,891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7"/>
                <w:szCs w:val="17"/>
                <w:color w:val="auto"/>
              </w:rPr>
              <w:t>21,199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17,979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14,343</w:t>
            </w:r>
          </w:p>
        </w:tc>
      </w:tr>
      <w:tr>
        <w:trPr>
          <w:trHeight w:val="249"/>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22,395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12,699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9,935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6,104</w:t>
            </w:r>
          </w:p>
        </w:tc>
      </w:tr>
      <w:tr>
        <w:trPr>
          <w:trHeight w:val="217"/>
        </w:trPr>
        <w:tc>
          <w:tcPr>
            <w:tcW w:w="5260" w:type="dxa"/>
            <w:vAlign w:val="bottom"/>
          </w:tcPr>
          <w:p>
            <w:pPr>
              <w:ind w:left="20"/>
              <w:spacing w:after="0"/>
              <w:rPr>
                <w:sz w:val="20"/>
                <w:szCs w:val="20"/>
                <w:color w:val="auto"/>
              </w:rPr>
            </w:pPr>
            <w:r>
              <w:rPr>
                <w:rFonts w:ascii="Arial" w:cs="Arial" w:eastAsia="Arial" w:hAnsi="Arial"/>
                <w:sz w:val="17"/>
                <w:szCs w:val="17"/>
                <w:color w:val="auto"/>
              </w:rPr>
              <w:t>Total costs and operating expenses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249,551</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170,415</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134,468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114,009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89,980</w:t>
            </w:r>
          </w:p>
        </w:tc>
      </w:tr>
      <w:tr>
        <w:trPr>
          <w:trHeight w:val="25"/>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6,461</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19,656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9,335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(8,423)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(15,003)</w:t>
            </w:r>
          </w:p>
        </w:tc>
      </w:tr>
      <w:tr>
        <w:trPr>
          <w:trHeight w:val="224"/>
        </w:trPr>
        <w:tc>
          <w:tcPr>
            <w:tcW w:w="526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24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5</w:t>
            </w:r>
          </w:p>
        </w:tc>
      </w:tr>
      <w:tr>
        <w:trPr>
          <w:trHeight w:val="25"/>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9"/>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(595)</w:t>
            </w:r>
          </w:p>
        </w:tc>
      </w:tr>
      <w:tr>
        <w:trPr>
          <w:trHeight w:val="217"/>
        </w:trPr>
        <w:tc>
          <w:tcPr>
            <w:tcW w:w="5260" w:type="dxa"/>
            <w:vAlign w:val="bottom"/>
          </w:tcPr>
          <w:p>
            <w:pPr>
              <w:ind w:left="20"/>
              <w:spacing w:after="0"/>
              <w:rPr>
                <w:sz w:val="20"/>
                <w:szCs w:val="20"/>
                <w:color w:val="auto"/>
              </w:rPr>
            </w:pPr>
            <w:r>
              <w:rPr>
                <w:rFonts w:ascii="Arial" w:cs="Arial" w:eastAsia="Arial" w:hAnsi="Arial"/>
                <w:sz w:val="17"/>
                <w:szCs w:val="17"/>
                <w:color w:val="auto"/>
              </w:rPr>
              <w:t>Income (loss) before provision for income taxes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4,823</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20,387</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9,774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(8,214)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(15,593)</w:t>
            </w:r>
          </w:p>
        </w:tc>
      </w:tr>
      <w:tr>
        <w:trPr>
          <w:trHeight w:val="25"/>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9"/>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(31,459)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75</w:t>
            </w:r>
          </w:p>
        </w:tc>
      </w:tr>
      <w:tr>
        <w:trPr>
          <w:trHeight w:val="275"/>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(loss)</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36,282</w:t>
            </w:r>
          </w:p>
        </w:tc>
        <w:tc>
          <w:tcPr>
            <w:tcW w:w="14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19,967</w:t>
            </w:r>
          </w:p>
        </w:tc>
        <w:tc>
          <w:tcPr>
            <w:tcW w:w="10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9,716</w:t>
            </w:r>
          </w:p>
        </w:tc>
        <w:tc>
          <w:tcPr>
            <w:tcW w:w="120" w:type="dxa"/>
            <w:vAlign w:val="bottom"/>
            <w:tcBorders>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(8,281)</w:t>
            </w:r>
          </w:p>
        </w:tc>
        <w:tc>
          <w:tcPr>
            <w:tcW w:w="12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(15,668)</w:t>
            </w:r>
          </w:p>
        </w:tc>
      </w:tr>
      <w:tr>
        <w:trPr>
          <w:trHeight w:val="212"/>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per common share:</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24"/>
        </w:trPr>
        <w:tc>
          <w:tcPr>
            <w:tcW w:w="5260" w:type="dxa"/>
            <w:vAlign w:val="bottom"/>
          </w:tcPr>
          <w:p>
            <w:pPr>
              <w:ind w:left="20"/>
              <w:spacing w:after="0"/>
              <w:rPr>
                <w:sz w:val="20"/>
                <w:szCs w:val="20"/>
                <w:color w:val="auto"/>
              </w:rPr>
            </w:pPr>
            <w:r>
              <w:rPr>
                <w:rFonts w:ascii="Arial" w:cs="Arial" w:eastAsia="Arial" w:hAnsi="Arial"/>
                <w:sz w:val="17"/>
                <w:szCs w:val="17"/>
                <w:color w:val="auto"/>
              </w:rPr>
              <w:t>Basic</w:t>
            </w:r>
          </w:p>
        </w:tc>
        <w:tc>
          <w:tcPr>
            <w:tcW w:w="24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1.07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8"/>
              <w:spacing w:after="0"/>
              <w:rPr>
                <w:sz w:val="20"/>
                <w:szCs w:val="20"/>
                <w:color w:val="auto"/>
              </w:rPr>
            </w:pPr>
            <w:r>
              <w:rPr>
                <w:rFonts w:ascii="Arial" w:cs="Arial" w:eastAsia="Arial" w:hAnsi="Arial"/>
                <w:sz w:val="17"/>
                <w:szCs w:val="17"/>
                <w:color w:val="auto"/>
              </w:rPr>
              <w:t>0.29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(0.73)</w:t>
            </w:r>
          </w:p>
        </w:tc>
      </w:tr>
      <w:tr>
        <w:trPr>
          <w:trHeight w:val="25"/>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1.02</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0.28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(0.73)</w:t>
            </w:r>
          </w:p>
        </w:tc>
      </w:tr>
      <w:tr>
        <w:trPr>
          <w:trHeight w:val="224"/>
        </w:trPr>
        <w:tc>
          <w:tcPr>
            <w:tcW w:w="526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34,016</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34,128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33,849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33,561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21,336</w:t>
            </w:r>
          </w:p>
        </w:tc>
      </w:tr>
      <w:tr>
        <w:trPr>
          <w:trHeight w:val="224"/>
        </w:trPr>
        <w:tc>
          <w:tcPr>
            <w:tcW w:w="5260" w:type="dxa"/>
            <w:vAlign w:val="bottom"/>
          </w:tcPr>
          <w:p>
            <w:pPr>
              <w:ind w:left="20"/>
              <w:spacing w:after="0"/>
              <w:rPr>
                <w:sz w:val="20"/>
                <w:szCs w:val="20"/>
                <w:color w:val="auto"/>
              </w:rPr>
            </w:pPr>
            <w:r>
              <w:rPr>
                <w:rFonts w:ascii="Arial" w:cs="Arial" w:eastAsia="Arial" w:hAnsi="Arial"/>
                <w:sz w:val="17"/>
                <w:szCs w:val="17"/>
                <w:color w:val="auto"/>
              </w:rPr>
              <w:t>Diluted</w:t>
            </w:r>
          </w:p>
        </w:tc>
        <w:tc>
          <w:tcPr>
            <w:tcW w:w="240" w:type="dxa"/>
            <w:vAlign w:val="bottom"/>
          </w:tcPr>
          <w:p>
            <w:pPr>
              <w:spacing w:after="0"/>
              <w:rPr>
                <w:sz w:val="19"/>
                <w:szCs w:val="19"/>
                <w:color w:val="auto"/>
              </w:rPr>
            </w:pP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35,567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35,562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8"/>
              <w:spacing w:after="0"/>
              <w:rPr>
                <w:sz w:val="20"/>
                <w:szCs w:val="20"/>
                <w:color w:val="auto"/>
              </w:rPr>
            </w:pPr>
            <w:r>
              <w:rPr>
                <w:rFonts w:ascii="Arial" w:cs="Arial" w:eastAsia="Arial" w:hAnsi="Arial"/>
                <w:sz w:val="17"/>
                <w:szCs w:val="17"/>
                <w:color w:val="auto"/>
              </w:rPr>
              <w:t>35,151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18"/>
              <w:spacing w:after="0"/>
              <w:rPr>
                <w:sz w:val="20"/>
                <w:szCs w:val="20"/>
                <w:color w:val="auto"/>
              </w:rPr>
            </w:pPr>
            <w:r>
              <w:rPr>
                <w:rFonts w:ascii="Arial" w:cs="Arial" w:eastAsia="Arial" w:hAnsi="Arial"/>
                <w:sz w:val="17"/>
                <w:szCs w:val="17"/>
                <w:color w:val="auto"/>
              </w:rPr>
              <w:t>33,561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21,336</w:t>
            </w:r>
          </w:p>
        </w:tc>
      </w:tr>
    </w:tbl>
    <w:p>
      <w:pPr>
        <w:spacing w:after="0" w:line="41" w:lineRule="exact"/>
        <w:rPr>
          <w:sz w:val="20"/>
          <w:szCs w:val="20"/>
          <w:color w:val="auto"/>
        </w:rPr>
      </w:pPr>
    </w:p>
    <w:p>
      <w:pPr>
        <w:ind w:left="20" w:right="20" w:firstLine="4"/>
        <w:spacing w:after="0" w:line="270" w:lineRule="auto"/>
        <w:tabs>
          <w:tab w:leader="none" w:pos="177" w:val="left"/>
        </w:tabs>
        <w:numPr>
          <w:ilvl w:val="0"/>
          <w:numId w:val="20"/>
        </w:numPr>
        <w:rPr>
          <w:rFonts w:ascii="Arial" w:cs="Arial" w:eastAsia="Arial" w:hAnsi="Arial"/>
          <w:sz w:val="18"/>
          <w:szCs w:val="18"/>
          <w:color w:val="auto"/>
          <w:vertAlign w:val="superscript"/>
        </w:rPr>
      </w:pPr>
      <w:r>
        <w:rPr>
          <w:rFonts w:ascii="Arial" w:cs="Arial" w:eastAsia="Arial" w:hAnsi="Arial"/>
          <w:sz w:val="13"/>
          <w:szCs w:val="13"/>
          <w:color w:val="auto"/>
        </w:rPr>
        <w:t xml:space="preserve">We acquired Dynasty on January 7, 2019. The results of Dynasty have been included in our results of operations from the date of acquisition. Refer to Note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of our Consolidated Financial Statements included elsewhere in this Annual Report for additional information regarding this transaction.</w:t>
      </w:r>
    </w:p>
    <w:p>
      <w:pPr>
        <w:spacing w:after="0" w:line="21" w:lineRule="exact"/>
        <w:rPr>
          <w:rFonts w:ascii="Arial" w:cs="Arial" w:eastAsia="Arial" w:hAnsi="Arial"/>
          <w:sz w:val="18"/>
          <w:szCs w:val="18"/>
          <w:color w:val="auto"/>
          <w:vertAlign w:val="superscript"/>
        </w:rPr>
      </w:pPr>
    </w:p>
    <w:p>
      <w:pPr>
        <w:ind w:left="20" w:right="20" w:firstLine="4"/>
        <w:spacing w:after="0" w:line="289" w:lineRule="auto"/>
        <w:tabs>
          <w:tab w:leader="none" w:pos="171" w:val="left"/>
        </w:tabs>
        <w:numPr>
          <w:ilvl w:val="0"/>
          <w:numId w:val="20"/>
        </w:numPr>
        <w:rPr>
          <w:rFonts w:ascii="Arial" w:cs="Arial" w:eastAsia="Arial" w:hAnsi="Arial"/>
          <w:sz w:val="17"/>
          <w:szCs w:val="17"/>
          <w:color w:val="auto"/>
          <w:vertAlign w:val="superscript"/>
        </w:rPr>
      </w:pPr>
      <w:r>
        <w:rPr>
          <w:rFonts w:ascii="Arial" w:cs="Arial" w:eastAsia="Arial" w:hAnsi="Arial"/>
          <w:sz w:val="13"/>
          <w:szCs w:val="13"/>
          <w:color w:val="auto"/>
        </w:rPr>
        <w:t xml:space="preserve">We acquired WegoWise on August 31, 2018. The results of WegoWise have been included in our results of operations from the date of acquisition. Refer to Note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of our Consolidated Financial Statements included elsewhere in this Annual Report for additional information regarding this transaction.</w:t>
      </w:r>
    </w:p>
    <w:p>
      <w:pPr>
        <w:ind w:left="180" w:hanging="156"/>
        <w:spacing w:after="0"/>
        <w:tabs>
          <w:tab w:leader="none" w:pos="1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stock-based compensation expense included in each respective expense category: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571" w:right="2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Stock-based compensation expense included in costs and operating expenses: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Cost of revenue (exclusive of depreciation and amortization)</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Sales and marketing</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Research and product development</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color w:val="auto"/>
        </w:rPr>
        <w:t>General and administrative</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stock-based compensation expense</w:t>
      </w:r>
    </w:p>
    <w:p>
      <w:pPr>
        <w:spacing w:after="0" w:line="20" w:lineRule="exact"/>
        <w:rPr>
          <w:sz w:val="20"/>
          <w:szCs w:val="20"/>
          <w:color w:val="auto"/>
        </w:rPr>
      </w:pPr>
      <w:r>
        <w:rPr>
          <w:sz w:val="20"/>
          <w:szCs w:val="20"/>
          <w:color w:val="auto"/>
        </w:rPr>
        <w:br w:type="column"/>
      </w:r>
    </w:p>
    <w:p>
      <w:pPr>
        <w:ind w:left="206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44450</wp:posOffset>
            </wp:positionV>
            <wp:extent cx="35375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37585" cy="762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800" w:type="dxa"/>
            <w:vAlign w:val="bottom"/>
          </w:tcPr>
          <w:p>
            <w:pPr>
              <w:jc w:val="right"/>
              <w:ind w:right="32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28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302"/>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00"/>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00"/>
              <w:spacing w:after="0"/>
              <w:rPr>
                <w:sz w:val="20"/>
                <w:szCs w:val="20"/>
                <w:color w:val="auto"/>
              </w:rPr>
            </w:pPr>
            <w:r>
              <w:rPr>
                <w:rFonts w:ascii="Arial" w:cs="Arial" w:eastAsia="Arial" w:hAnsi="Arial"/>
                <w:sz w:val="13"/>
                <w:szCs w:val="13"/>
                <w:b w:val="1"/>
                <w:bCs w:val="1"/>
                <w:color w:val="auto"/>
              </w:rPr>
              <w:t>2015</w:t>
            </w:r>
          </w:p>
        </w:tc>
      </w:tr>
      <w:tr>
        <w:trPr>
          <w:trHeight w:val="47"/>
        </w:trPr>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19"/>
        </w:trPr>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(in thousands)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3"/>
        </w:trPr>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40"/>
              <w:spacing w:after="0"/>
              <w:rPr>
                <w:sz w:val="20"/>
                <w:szCs w:val="20"/>
                <w:color w:val="auto"/>
              </w:rPr>
            </w:pPr>
            <w:r>
              <w:rPr>
                <w:rFonts w:ascii="Arial" w:cs="Arial" w:eastAsia="Arial" w:hAnsi="Arial"/>
                <w:sz w:val="17"/>
                <w:szCs w:val="17"/>
                <w:color w:val="auto"/>
              </w:rPr>
              <w:t>1,466</w:t>
            </w:r>
          </w:p>
        </w:tc>
        <w:tc>
          <w:tcPr>
            <w:tcW w:w="100" w:type="dxa"/>
            <w:vAlign w:val="bottom"/>
          </w:tcPr>
          <w:p>
            <w:pPr>
              <w:spacing w:after="0"/>
              <w:rPr>
                <w:sz w:val="24"/>
                <w:szCs w:val="24"/>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0"/>
              <w:spacing w:after="0"/>
              <w:rPr>
                <w:sz w:val="20"/>
                <w:szCs w:val="20"/>
                <w:color w:val="auto"/>
              </w:rPr>
            </w:pPr>
            <w:r>
              <w:rPr>
                <w:rFonts w:ascii="Arial" w:cs="Arial" w:eastAsia="Arial" w:hAnsi="Arial"/>
                <w:sz w:val="17"/>
                <w:szCs w:val="17"/>
                <w:color w:val="auto"/>
              </w:rPr>
              <w:t>1,103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42"/>
              <w:spacing w:after="0"/>
              <w:rPr>
                <w:sz w:val="20"/>
                <w:szCs w:val="20"/>
                <w:color w:val="auto"/>
              </w:rPr>
            </w:pPr>
            <w:r>
              <w:rPr>
                <w:rFonts w:ascii="Arial" w:cs="Arial" w:eastAsia="Arial" w:hAnsi="Arial"/>
                <w:sz w:val="17"/>
                <w:szCs w:val="17"/>
                <w:color w:val="auto"/>
              </w:rPr>
              <w:t>725</w:t>
            </w:r>
          </w:p>
        </w:tc>
        <w:tc>
          <w:tcPr>
            <w:tcW w:w="120" w:type="dxa"/>
            <w:vAlign w:val="bottom"/>
          </w:tcPr>
          <w:p>
            <w:pPr>
              <w:spacing w:after="0"/>
              <w:rPr>
                <w:sz w:val="24"/>
                <w:szCs w:val="24"/>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40"/>
              <w:spacing w:after="0"/>
              <w:rPr>
                <w:sz w:val="20"/>
                <w:szCs w:val="20"/>
                <w:color w:val="auto"/>
              </w:rPr>
            </w:pPr>
            <w:r>
              <w:rPr>
                <w:rFonts w:ascii="Arial" w:cs="Arial" w:eastAsia="Arial" w:hAnsi="Arial"/>
                <w:sz w:val="17"/>
                <w:szCs w:val="17"/>
                <w:color w:val="auto"/>
              </w:rPr>
              <w:t>471</w:t>
            </w:r>
          </w:p>
        </w:tc>
        <w:tc>
          <w:tcPr>
            <w:tcW w:w="100" w:type="dxa"/>
            <w:vAlign w:val="bottom"/>
          </w:tcPr>
          <w:p>
            <w:pPr>
              <w:spacing w:after="0"/>
              <w:rPr>
                <w:sz w:val="24"/>
                <w:szCs w:val="24"/>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0"/>
              <w:spacing w:after="0"/>
              <w:rPr>
                <w:sz w:val="20"/>
                <w:szCs w:val="20"/>
                <w:color w:val="auto"/>
              </w:rPr>
            </w:pPr>
            <w:r>
              <w:rPr>
                <w:rFonts w:ascii="Arial" w:cs="Arial" w:eastAsia="Arial" w:hAnsi="Arial"/>
                <w:sz w:val="17"/>
                <w:szCs w:val="17"/>
                <w:color w:val="auto"/>
              </w:rPr>
              <w:t>124</w:t>
            </w:r>
          </w:p>
        </w:tc>
      </w:tr>
      <w:tr>
        <w:trPr>
          <w:trHeight w:val="249"/>
        </w:trPr>
        <w:tc>
          <w:tcPr>
            <w:tcW w:w="240" w:type="dxa"/>
            <w:vAlign w:val="bottom"/>
          </w:tcPr>
          <w:p>
            <w:pPr>
              <w:spacing w:after="0"/>
              <w:rPr>
                <w:sz w:val="21"/>
                <w:szCs w:val="21"/>
                <w:color w:val="auto"/>
              </w:rPr>
            </w:pPr>
          </w:p>
        </w:tc>
        <w:tc>
          <w:tcPr>
            <w:tcW w:w="800" w:type="dxa"/>
            <w:vAlign w:val="bottom"/>
          </w:tcPr>
          <w:p>
            <w:pPr>
              <w:jc w:val="right"/>
              <w:ind w:right="40"/>
              <w:spacing w:after="0"/>
              <w:rPr>
                <w:sz w:val="20"/>
                <w:szCs w:val="20"/>
                <w:color w:val="auto"/>
              </w:rPr>
            </w:pPr>
            <w:r>
              <w:rPr>
                <w:rFonts w:ascii="Arial" w:cs="Arial" w:eastAsia="Arial" w:hAnsi="Arial"/>
                <w:sz w:val="17"/>
                <w:szCs w:val="17"/>
                <w:color w:val="auto"/>
              </w:rPr>
              <w:t>1,271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7"/>
                <w:szCs w:val="17"/>
                <w:color w:val="auto"/>
              </w:rPr>
              <w:t>1,034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2"/>
              <w:spacing w:after="0"/>
              <w:rPr>
                <w:sz w:val="20"/>
                <w:szCs w:val="20"/>
                <w:color w:val="auto"/>
              </w:rPr>
            </w:pPr>
            <w:r>
              <w:rPr>
                <w:rFonts w:ascii="Arial" w:cs="Arial" w:eastAsia="Arial" w:hAnsi="Arial"/>
                <w:sz w:val="17"/>
                <w:szCs w:val="17"/>
                <w:color w:val="auto"/>
              </w:rPr>
              <w:t>723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Arial" w:cs="Arial" w:eastAsia="Arial" w:hAnsi="Arial"/>
                <w:sz w:val="17"/>
                <w:szCs w:val="17"/>
                <w:color w:val="auto"/>
              </w:rPr>
              <w:t>442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7"/>
                <w:szCs w:val="17"/>
                <w:color w:val="auto"/>
              </w:rPr>
              <w:t>115</w:t>
            </w:r>
          </w:p>
        </w:tc>
      </w:tr>
      <w:tr>
        <w:trPr>
          <w:trHeight w:val="249"/>
        </w:trPr>
        <w:tc>
          <w:tcPr>
            <w:tcW w:w="240" w:type="dxa"/>
            <w:vAlign w:val="bottom"/>
          </w:tcPr>
          <w:p>
            <w:pPr>
              <w:spacing w:after="0"/>
              <w:rPr>
                <w:sz w:val="21"/>
                <w:szCs w:val="21"/>
                <w:color w:val="auto"/>
              </w:rPr>
            </w:pPr>
          </w:p>
        </w:tc>
        <w:tc>
          <w:tcPr>
            <w:tcW w:w="800" w:type="dxa"/>
            <w:vAlign w:val="bottom"/>
          </w:tcPr>
          <w:p>
            <w:pPr>
              <w:jc w:val="right"/>
              <w:ind w:right="40"/>
              <w:spacing w:after="0"/>
              <w:rPr>
                <w:sz w:val="20"/>
                <w:szCs w:val="20"/>
                <w:color w:val="auto"/>
              </w:rPr>
            </w:pPr>
            <w:r>
              <w:rPr>
                <w:rFonts w:ascii="Arial" w:cs="Arial" w:eastAsia="Arial" w:hAnsi="Arial"/>
                <w:sz w:val="17"/>
                <w:szCs w:val="17"/>
                <w:color w:val="auto"/>
              </w:rPr>
              <w:t>1,411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7"/>
                <w:szCs w:val="17"/>
                <w:color w:val="auto"/>
              </w:rPr>
              <w:t>1,079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2"/>
              <w:spacing w:after="0"/>
              <w:rPr>
                <w:sz w:val="20"/>
                <w:szCs w:val="20"/>
                <w:color w:val="auto"/>
              </w:rPr>
            </w:pPr>
            <w:r>
              <w:rPr>
                <w:rFonts w:ascii="Arial" w:cs="Arial" w:eastAsia="Arial" w:hAnsi="Arial"/>
                <w:sz w:val="17"/>
                <w:szCs w:val="17"/>
                <w:color w:val="auto"/>
              </w:rPr>
              <w:t>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7"/>
                <w:szCs w:val="17"/>
                <w:color w:val="auto"/>
              </w:rPr>
              <w:t>41</w:t>
            </w:r>
          </w:p>
        </w:tc>
      </w:tr>
      <w:tr>
        <w:trPr>
          <w:trHeight w:val="249"/>
        </w:trPr>
        <w:tc>
          <w:tcPr>
            <w:tcW w:w="240" w:type="dxa"/>
            <w:vAlign w:val="bottom"/>
          </w:tcPr>
          <w:p>
            <w:pPr>
              <w:spacing w:after="0"/>
              <w:rPr>
                <w:sz w:val="21"/>
                <w:szCs w:val="21"/>
                <w:color w:val="auto"/>
              </w:rPr>
            </w:pPr>
          </w:p>
        </w:tc>
        <w:tc>
          <w:tcPr>
            <w:tcW w:w="800" w:type="dxa"/>
            <w:vAlign w:val="bottom"/>
          </w:tcPr>
          <w:p>
            <w:pPr>
              <w:jc w:val="right"/>
              <w:ind w:right="40"/>
              <w:spacing w:after="0"/>
              <w:rPr>
                <w:sz w:val="20"/>
                <w:szCs w:val="20"/>
                <w:color w:val="auto"/>
              </w:rPr>
            </w:pPr>
            <w:r>
              <w:rPr>
                <w:rFonts w:ascii="Arial" w:cs="Arial" w:eastAsia="Arial" w:hAnsi="Arial"/>
                <w:sz w:val="17"/>
                <w:szCs w:val="17"/>
                <w:color w:val="auto"/>
              </w:rPr>
              <w:t>3,161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7"/>
                <w:szCs w:val="17"/>
                <w:color w:val="auto"/>
              </w:rPr>
              <w:t>3,121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2"/>
              <w:spacing w:after="0"/>
              <w:rPr>
                <w:sz w:val="20"/>
                <w:szCs w:val="20"/>
                <w:color w:val="auto"/>
              </w:rPr>
            </w:pPr>
            <w:r>
              <w:rPr>
                <w:rFonts w:ascii="Arial" w:cs="Arial" w:eastAsia="Arial" w:hAnsi="Arial"/>
                <w:sz w:val="17"/>
                <w:szCs w:val="17"/>
                <w:color w:val="auto"/>
              </w:rPr>
              <w:t>3,991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Arial" w:cs="Arial" w:eastAsia="Arial" w:hAnsi="Arial"/>
                <w:sz w:val="17"/>
                <w:szCs w:val="17"/>
                <w:color w:val="auto"/>
              </w:rPr>
              <w:t>3,006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7"/>
                <w:szCs w:val="17"/>
                <w:color w:val="auto"/>
              </w:rPr>
              <w:t>727</w:t>
            </w:r>
          </w:p>
        </w:tc>
      </w:tr>
      <w:tr>
        <w:trPr>
          <w:trHeight w:val="25"/>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40"/>
              <w:spacing w:after="0"/>
              <w:rPr>
                <w:sz w:val="20"/>
                <w:szCs w:val="20"/>
                <w:color w:val="auto"/>
              </w:rPr>
            </w:pPr>
            <w:r>
              <w:rPr>
                <w:rFonts w:ascii="Arial" w:cs="Arial" w:eastAsia="Arial" w:hAnsi="Arial"/>
                <w:sz w:val="17"/>
                <w:szCs w:val="17"/>
                <w:color w:val="auto"/>
              </w:rPr>
              <w:t>7,309</w:t>
            </w:r>
          </w:p>
        </w:tc>
        <w:tc>
          <w:tcPr>
            <w:tcW w:w="100" w:type="dxa"/>
            <w:vAlign w:val="bottom"/>
          </w:tcPr>
          <w:p>
            <w:pPr>
              <w:spacing w:after="0"/>
              <w:rPr>
                <w:sz w:val="18"/>
                <w:szCs w:val="18"/>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0"/>
              <w:spacing w:after="0"/>
              <w:rPr>
                <w:sz w:val="20"/>
                <w:szCs w:val="20"/>
                <w:color w:val="auto"/>
              </w:rPr>
            </w:pPr>
            <w:r>
              <w:rPr>
                <w:rFonts w:ascii="Arial" w:cs="Arial" w:eastAsia="Arial" w:hAnsi="Arial"/>
                <w:sz w:val="17"/>
                <w:szCs w:val="17"/>
                <w:color w:val="auto"/>
              </w:rPr>
              <w:t>6,337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42"/>
              <w:spacing w:after="0"/>
              <w:rPr>
                <w:sz w:val="20"/>
                <w:szCs w:val="20"/>
                <w:color w:val="auto"/>
              </w:rPr>
            </w:pPr>
            <w:r>
              <w:rPr>
                <w:rFonts w:ascii="Arial" w:cs="Arial" w:eastAsia="Arial" w:hAnsi="Arial"/>
                <w:sz w:val="17"/>
                <w:szCs w:val="17"/>
                <w:color w:val="auto"/>
              </w:rPr>
              <w:t>6,096</w:t>
            </w:r>
          </w:p>
        </w:tc>
        <w:tc>
          <w:tcPr>
            <w:tcW w:w="120" w:type="dxa"/>
            <w:vAlign w:val="bottom"/>
          </w:tcPr>
          <w:p>
            <w:pPr>
              <w:spacing w:after="0"/>
              <w:rPr>
                <w:sz w:val="18"/>
                <w:szCs w:val="18"/>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40"/>
              <w:spacing w:after="0"/>
              <w:rPr>
                <w:sz w:val="20"/>
                <w:szCs w:val="20"/>
                <w:color w:val="auto"/>
              </w:rPr>
            </w:pPr>
            <w:r>
              <w:rPr>
                <w:rFonts w:ascii="Arial" w:cs="Arial" w:eastAsia="Arial" w:hAnsi="Arial"/>
                <w:sz w:val="17"/>
                <w:szCs w:val="17"/>
                <w:color w:val="auto"/>
              </w:rPr>
              <w:t>4,301</w:t>
            </w:r>
          </w:p>
        </w:tc>
        <w:tc>
          <w:tcPr>
            <w:tcW w:w="100" w:type="dxa"/>
            <w:vAlign w:val="bottom"/>
          </w:tcPr>
          <w:p>
            <w:pPr>
              <w:spacing w:after="0"/>
              <w:rPr>
                <w:sz w:val="18"/>
                <w:szCs w:val="18"/>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0"/>
              <w:spacing w:after="0"/>
              <w:rPr>
                <w:sz w:val="20"/>
                <w:szCs w:val="20"/>
                <w:color w:val="auto"/>
              </w:rPr>
            </w:pPr>
            <w:r>
              <w:rPr>
                <w:rFonts w:ascii="Arial" w:cs="Arial" w:eastAsia="Arial" w:hAnsi="Arial"/>
                <w:sz w:val="17"/>
                <w:szCs w:val="17"/>
                <w:color w:val="auto"/>
              </w:rPr>
              <w:t>1,007</w:t>
            </w:r>
          </w:p>
        </w:tc>
      </w:tr>
      <w:tr>
        <w:trPr>
          <w:trHeight w:val="25"/>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-820420</wp:posOffset>
            </wp:positionV>
            <wp:extent cx="7225665" cy="158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5665" cy="15811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-504825</wp:posOffset>
            </wp:positionV>
            <wp:extent cx="7225665" cy="158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5665" cy="15811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-188595</wp:posOffset>
            </wp:positionV>
            <wp:extent cx="7225665" cy="173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5665" cy="173990"/>
                    </a:xfrm>
                    <a:prstGeom prst="rect">
                      <a:avLst/>
                    </a:prstGeom>
                    <a:noFill/>
                  </pic:spPr>
                </pic:pic>
              </a:graphicData>
            </a:graphic>
          </wp:anchor>
        </w:drawing>
      </w:r>
    </w:p>
    <w:p>
      <w:pPr>
        <w:spacing w:after="0" w:line="333" w:lineRule="exact"/>
        <w:rPr>
          <w:sz w:val="20"/>
          <w:szCs w:val="20"/>
          <w:color w:val="auto"/>
        </w:rPr>
      </w:pPr>
    </w:p>
    <w:p>
      <w:pPr>
        <w:ind w:left="2320"/>
        <w:spacing w:after="0"/>
        <w:rPr>
          <w:sz w:val="20"/>
          <w:szCs w:val="20"/>
          <w:color w:val="auto"/>
        </w:rPr>
      </w:pPr>
      <w:r>
        <w:rPr>
          <w:rFonts w:ascii="Arial" w:cs="Arial" w:eastAsia="Arial" w:hAnsi="Arial"/>
          <w:sz w:val="13"/>
          <w:szCs w:val="13"/>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44450</wp:posOffset>
            </wp:positionV>
            <wp:extent cx="35375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7585" cy="7620"/>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5480" w:space="360"/>
            <w:col w:w="5580"/>
          </w:cols>
          <w:pgMar w:left="240" w:top="741" w:right="239" w:bottom="1440" w:gutter="0" w:footer="0" w:header="0"/>
        </w:sectPr>
      </w:pPr>
    </w:p>
    <w:tbl>
      <w:tblPr>
        <w:tblLayout w:type="fixed"/>
        <w:tblInd w:w="20" w:type="dxa"/>
        <w:tblCellMar>
          <w:top w:w="0" w:type="dxa"/>
          <w:left w:w="0" w:type="dxa"/>
          <w:bottom w:w="0" w:type="dxa"/>
          <w:right w:w="0" w:type="dxa"/>
        </w:tblCellMar>
      </w:tblPr>
      <w:tr>
        <w:trPr>
          <w:trHeight w:val="172"/>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19"/>
              <w:spacing w:after="0"/>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4"/>
                <w:szCs w:val="14"/>
                <w:color w:val="auto"/>
              </w:rPr>
            </w:pPr>
          </w:p>
        </w:tc>
        <w:tc>
          <w:tcPr>
            <w:tcW w:w="800" w:type="dxa"/>
            <w:vAlign w:val="bottom"/>
          </w:tcPr>
          <w:p>
            <w:pPr>
              <w:jc w:val="right"/>
              <w:ind w:right="299"/>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14"/>
                <w:szCs w:val="14"/>
                <w:color w:val="auto"/>
              </w:rPr>
            </w:pPr>
          </w:p>
        </w:tc>
        <w:tc>
          <w:tcPr>
            <w:tcW w:w="920" w:type="dxa"/>
            <w:vAlign w:val="bottom"/>
          </w:tcPr>
          <w:p>
            <w:pPr>
              <w:jc w:val="right"/>
              <w:ind w:right="321"/>
              <w:spacing w:after="0"/>
              <w:rPr>
                <w:sz w:val="20"/>
                <w:szCs w:val="20"/>
                <w:color w:val="auto"/>
              </w:rPr>
            </w:pPr>
            <w:r>
              <w:rPr>
                <w:rFonts w:ascii="Arial" w:cs="Arial" w:eastAsia="Arial" w:hAnsi="Arial"/>
                <w:sz w:val="13"/>
                <w:szCs w:val="13"/>
                <w:b w:val="1"/>
                <w:bCs w:val="1"/>
                <w:color w:val="auto"/>
              </w:rPr>
              <w:t>2017</w:t>
            </w:r>
          </w:p>
        </w:tc>
        <w:tc>
          <w:tcPr>
            <w:tcW w:w="340" w:type="dxa"/>
            <w:vAlign w:val="bottom"/>
          </w:tcPr>
          <w:p>
            <w:pPr>
              <w:spacing w:after="0"/>
              <w:rPr>
                <w:sz w:val="14"/>
                <w:szCs w:val="14"/>
                <w:color w:val="auto"/>
              </w:rPr>
            </w:pPr>
          </w:p>
        </w:tc>
        <w:tc>
          <w:tcPr>
            <w:tcW w:w="780" w:type="dxa"/>
            <w:vAlign w:val="bottom"/>
          </w:tcPr>
          <w:p>
            <w:pPr>
              <w:jc w:val="right"/>
              <w:ind w:right="299"/>
              <w:spacing w:after="0"/>
              <w:rPr>
                <w:sz w:val="20"/>
                <w:szCs w:val="20"/>
                <w:color w:val="auto"/>
              </w:rPr>
            </w:pPr>
            <w:r>
              <w:rPr>
                <w:rFonts w:ascii="Arial" w:cs="Arial" w:eastAsia="Arial" w:hAnsi="Arial"/>
                <w:sz w:val="13"/>
                <w:szCs w:val="13"/>
                <w:b w:val="1"/>
                <w:bCs w:val="1"/>
                <w:color w:val="auto"/>
              </w:rPr>
              <w:t>2016</w:t>
            </w:r>
          </w:p>
        </w:tc>
        <w:tc>
          <w:tcPr>
            <w:tcW w:w="340" w:type="dxa"/>
            <w:vAlign w:val="bottom"/>
          </w:tcPr>
          <w:p>
            <w:pPr>
              <w:spacing w:after="0"/>
              <w:rPr>
                <w:sz w:val="14"/>
                <w:szCs w:val="14"/>
                <w:color w:val="auto"/>
              </w:rPr>
            </w:pPr>
          </w:p>
        </w:tc>
        <w:tc>
          <w:tcPr>
            <w:tcW w:w="780" w:type="dxa"/>
            <w:vAlign w:val="bottom"/>
          </w:tcPr>
          <w:p>
            <w:pPr>
              <w:jc w:val="right"/>
              <w:ind w:right="299"/>
              <w:spacing w:after="0"/>
              <w:rPr>
                <w:sz w:val="20"/>
                <w:szCs w:val="20"/>
                <w:color w:val="auto"/>
              </w:rPr>
            </w:pPr>
            <w:r>
              <w:rPr>
                <w:rFonts w:ascii="Arial" w:cs="Arial" w:eastAsia="Arial" w:hAnsi="Arial"/>
                <w:sz w:val="13"/>
                <w:szCs w:val="13"/>
                <w:b w:val="1"/>
                <w:bCs w:val="1"/>
                <w:color w:val="auto"/>
              </w:rPr>
              <w:t>2015</w:t>
            </w:r>
          </w:p>
        </w:tc>
      </w:tr>
      <w:tr>
        <w:trPr>
          <w:trHeight w:val="47"/>
        </w:trPr>
        <w:tc>
          <w:tcPr>
            <w:tcW w:w="58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19"/>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81"/>
              <w:spacing w:after="0"/>
              <w:rPr>
                <w:sz w:val="20"/>
                <w:szCs w:val="20"/>
                <w:color w:val="auto"/>
              </w:rPr>
            </w:pPr>
            <w:r>
              <w:rPr>
                <w:rFonts w:ascii="Arial" w:cs="Arial" w:eastAsia="Arial" w:hAnsi="Arial"/>
                <w:sz w:val="13"/>
                <w:szCs w:val="13"/>
                <w:color w:val="auto"/>
                <w:w w:val="89"/>
              </w:rPr>
              <w:t>(in thousands)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4"/>
        </w:trPr>
        <w:tc>
          <w:tcPr>
            <w:tcW w:w="5820" w:type="dxa"/>
            <w:vAlign w:val="bottom"/>
          </w:tcPr>
          <w:p>
            <w:pPr>
              <w:ind w:left="20"/>
              <w:spacing w:after="0"/>
              <w:rPr>
                <w:sz w:val="20"/>
                <w:szCs w:val="20"/>
                <w:color w:val="auto"/>
              </w:rPr>
            </w:pPr>
            <w:r>
              <w:rPr>
                <w:rFonts w:ascii="Arial" w:cs="Arial" w:eastAsia="Arial" w:hAnsi="Arial"/>
                <w:sz w:val="17"/>
                <w:szCs w:val="17"/>
                <w:b w:val="1"/>
                <w:bCs w:val="1"/>
                <w:color w:val="auto"/>
              </w:rPr>
              <w:t>Consolidated Balance Sheet Data:</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and investment securities</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50,778</w:t>
            </w:r>
          </w:p>
        </w:tc>
        <w:tc>
          <w:tcPr>
            <w:tcW w:w="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101,963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68,310</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52,860</w:t>
            </w:r>
          </w:p>
        </w:tc>
        <w:tc>
          <w:tcPr>
            <w:tcW w:w="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56,715</w:t>
            </w:r>
          </w:p>
        </w:tc>
      </w:tr>
      <w:tr>
        <w:trPr>
          <w:trHeight w:val="224"/>
        </w:trPr>
        <w:tc>
          <w:tcPr>
            <w:tcW w:w="5820" w:type="dxa"/>
            <w:vAlign w:val="bottom"/>
          </w:tcPr>
          <w:p>
            <w:pPr>
              <w:ind w:left="20"/>
              <w:spacing w:after="0"/>
              <w:rPr>
                <w:sz w:val="20"/>
                <w:szCs w:val="20"/>
                <w:color w:val="auto"/>
              </w:rPr>
            </w:pPr>
            <w:r>
              <w:rPr>
                <w:rFonts w:ascii="Arial" w:cs="Arial" w:eastAsia="Arial" w:hAnsi="Arial"/>
                <w:sz w:val="17"/>
                <w:szCs w:val="17"/>
                <w:color w:val="auto"/>
              </w:rPr>
              <w:t>Capitalized software, net</w:t>
            </w:r>
          </w:p>
        </w:tc>
        <w:tc>
          <w:tcPr>
            <w:tcW w:w="2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7"/>
                <w:szCs w:val="17"/>
                <w:color w:val="auto"/>
              </w:rPr>
              <w:t>30,023</w:t>
            </w:r>
          </w:p>
        </w:tc>
        <w:tc>
          <w:tcPr>
            <w:tcW w:w="3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7"/>
                <w:szCs w:val="17"/>
                <w:color w:val="auto"/>
              </w:rPr>
              <w:t>20,485</w:t>
            </w:r>
          </w:p>
        </w:tc>
        <w:tc>
          <w:tcPr>
            <w:tcW w:w="22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7"/>
                <w:szCs w:val="17"/>
                <w:color w:val="auto"/>
              </w:rPr>
              <w:t>17,609</w:t>
            </w:r>
          </w:p>
        </w:tc>
        <w:tc>
          <w:tcPr>
            <w:tcW w:w="3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15,539</w:t>
            </w:r>
          </w:p>
        </w:tc>
        <w:tc>
          <w:tcPr>
            <w:tcW w:w="3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7"/>
                <w:szCs w:val="17"/>
                <w:color w:val="auto"/>
              </w:rPr>
              <w:t>10,021</w:t>
            </w:r>
          </w:p>
        </w:tc>
      </w:tr>
      <w:tr>
        <w:trPr>
          <w:trHeight w:val="25"/>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260,102</w:t>
            </w:r>
          </w:p>
        </w:tc>
        <w:tc>
          <w:tcPr>
            <w:tcW w:w="3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175,741</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110,248</w:t>
            </w: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92,583</w:t>
            </w: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90,481</w:t>
            </w:r>
          </w:p>
        </w:tc>
      </w:tr>
      <w:tr>
        <w:trPr>
          <w:trHeight w:val="224"/>
        </w:trPr>
        <w:tc>
          <w:tcPr>
            <w:tcW w:w="582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7"/>
                <w:szCs w:val="17"/>
                <w:color w:val="auto"/>
              </w:rPr>
              <w:t>4,586</w:t>
            </w:r>
          </w:p>
        </w:tc>
        <w:tc>
          <w:tcPr>
            <w:tcW w:w="3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7"/>
                <w:szCs w:val="17"/>
                <w:color w:val="auto"/>
              </w:rPr>
              <w:t>3,414</w:t>
            </w:r>
          </w:p>
        </w:tc>
        <w:tc>
          <w:tcPr>
            <w:tcW w:w="22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7"/>
                <w:szCs w:val="17"/>
                <w:color w:val="auto"/>
              </w:rPr>
              <w:t>7,080</w:t>
            </w:r>
          </w:p>
        </w:tc>
        <w:tc>
          <w:tcPr>
            <w:tcW w:w="3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7,638</w:t>
            </w:r>
          </w:p>
        </w:tc>
        <w:tc>
          <w:tcPr>
            <w:tcW w:w="3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7"/>
                <w:szCs w:val="17"/>
                <w:color w:val="auto"/>
              </w:rPr>
              <w:t>4,953</w:t>
            </w:r>
          </w:p>
        </w:tc>
      </w:tr>
      <w:tr>
        <w:trPr>
          <w:trHeight w:val="25"/>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and long-term debt, net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48,583</w:t>
            </w:r>
          </w:p>
        </w:tc>
        <w:tc>
          <w:tcPr>
            <w:tcW w:w="3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49,815</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24"/>
        </w:trPr>
        <w:tc>
          <w:tcPr>
            <w:tcW w:w="582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2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7"/>
                <w:szCs w:val="17"/>
                <w:color w:val="auto"/>
              </w:rPr>
              <w:t>131,950</w:t>
            </w:r>
          </w:p>
        </w:tc>
        <w:tc>
          <w:tcPr>
            <w:tcW w:w="3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7"/>
                <w:szCs w:val="17"/>
                <w:color w:val="auto"/>
              </w:rPr>
              <w:t>91,846</w:t>
            </w:r>
          </w:p>
        </w:tc>
        <w:tc>
          <w:tcPr>
            <w:tcW w:w="220" w:type="dxa"/>
            <w:vAlign w:val="bottom"/>
          </w:tcPr>
          <w:p>
            <w:pPr>
              <w:spacing w:after="0"/>
              <w:rPr>
                <w:sz w:val="19"/>
                <w:szCs w:val="19"/>
                <w:color w:val="auto"/>
              </w:rPr>
            </w:pPr>
          </w:p>
        </w:tc>
        <w:tc>
          <w:tcPr>
            <w:tcW w:w="920" w:type="dxa"/>
            <w:vAlign w:val="bottom"/>
          </w:tcPr>
          <w:p>
            <w:pPr>
              <w:jc w:val="right"/>
              <w:ind w:right="61"/>
              <w:spacing w:after="0"/>
              <w:rPr>
                <w:sz w:val="20"/>
                <w:szCs w:val="20"/>
                <w:color w:val="auto"/>
              </w:rPr>
            </w:pPr>
            <w:r>
              <w:rPr>
                <w:rFonts w:ascii="Arial" w:cs="Arial" w:eastAsia="Arial" w:hAnsi="Arial"/>
                <w:sz w:val="17"/>
                <w:szCs w:val="17"/>
                <w:color w:val="auto"/>
              </w:rPr>
              <w:t>85,079</w:t>
            </w:r>
          </w:p>
        </w:tc>
        <w:tc>
          <w:tcPr>
            <w:tcW w:w="3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69,682</w:t>
            </w:r>
          </w:p>
        </w:tc>
        <w:tc>
          <w:tcPr>
            <w:tcW w:w="3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7"/>
                <w:szCs w:val="17"/>
                <w:color w:val="auto"/>
              </w:rPr>
              <w:t>72,697</w:t>
            </w:r>
          </w:p>
        </w:tc>
      </w:tr>
    </w:tbl>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6"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together with our Consolidated Financial Statements and the related notes included elsewhere in this Annual Report. This discussion and analysis contains forward-looking statements that are based on our current expectations and reflect our plans, estimates and anticipated future financial performance. See the section of this Annual Report entitled “Cautionary Note Regarding Forward-Looking Statements” for additional information. These statements involve numerous risks and uncertainties. Our actual results may differ materially from those expressed or implied by these forward-looking statements as a result of many factors, including those set forth in the section of this Annual Report entitled "Risk Factors".</w:t>
      </w:r>
    </w:p>
    <w:p>
      <w:pPr>
        <w:spacing w:after="0" w:line="152" w:lineRule="exact"/>
        <w:rPr>
          <w:sz w:val="20"/>
          <w:szCs w:val="20"/>
          <w:color w:val="auto"/>
        </w:rPr>
      </w:pPr>
    </w:p>
    <w:p>
      <w:pPr>
        <w:jc w:val="both"/>
        <w:ind w:firstLine="597"/>
        <w:spacing w:after="0" w:line="304"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discusses 2019 and 2018 items and year-over-year comparisons between 2019 and 2018. For discussion of 2017 items and year-over-year comparisons between 2018 and 2017, refer to Part II. Item 7. “Management's Discussion and Analysis of Financial Condition and Results of Operations” of our Annual Report on Form 10-K for the year ended December 31, 2018.</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7" w:lineRule="exact"/>
        <w:rPr>
          <w:sz w:val="20"/>
          <w:szCs w:val="20"/>
          <w:color w:val="auto"/>
        </w:rPr>
      </w:pPr>
    </w:p>
    <w:p>
      <w:pPr>
        <w:jc w:val="both"/>
        <w:ind w:firstLine="597"/>
        <w:spacing w:after="0" w:line="268" w:lineRule="auto"/>
        <w:rPr>
          <w:sz w:val="20"/>
          <w:szCs w:val="20"/>
          <w:color w:val="auto"/>
        </w:rPr>
      </w:pPr>
      <w:r>
        <w:rPr>
          <w:rFonts w:ascii="Arial" w:cs="Arial" w:eastAsia="Arial" w:hAnsi="Arial"/>
          <w:sz w:val="16"/>
          <w:szCs w:val="16"/>
          <w:color w:val="auto"/>
        </w:rPr>
        <w:t>Our mission is to revolutionize vertical industry businesses by providing great software and services. To that end, today we offer industry-specific, cloud-based business software solutions, services and data analytics to the real estate market, which represents over 90% of our revenue, and, to a lesser extent, to the legal market. Although specific functionality varies by product, our core solutions address common business operations and interactions of businesses in our targeted verticals. In addition to our core solutions, we offer a range of optional, but often business-critical, Value+ services. Our Value+ services are built to enhance, automate and streamline property management processes and support workflows essential to our customers' businesses.</w:t>
      </w:r>
    </w:p>
    <w:p>
      <w:pPr>
        <w:spacing w:after="0" w:line="67"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6"/>
          <w:szCs w:val="16"/>
          <w:color w:val="auto"/>
        </w:rPr>
        <w:t>Our real estate software solutions provide our property management customers (including third-party property managers and owner-operators who manage single-and mutli- family residences, community associations, commercial properties, and student housing, as well as mixed real estate portfolios) with a system of record to automate essential business processes, a system of engagement to enhance business interactions between our customers and their clients and other stakeholders, and a system of intelligence designed to leverage data to predict and optimize business workflows in order to enable superior customer experiences and increase efficiency across our customers' businesses. Our mobile-optimized software solutions are designed for use across multiple devices and operating systems. Our software solutions are all offered as a service for our customers and hosted using 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741" w:right="239" w:bottom="1440" w:gutter="0" w:footer="0" w:header="0"/>
          <w:type w:val="continuous"/>
        </w:sectPr>
      </w:pPr>
    </w:p>
    <w:bookmarkStart w:id="40" w:name="page41"/>
    <w:bookmarkEnd w:id="40"/>
    <w:p>
      <w:pPr>
        <w:jc w:val="both"/>
        <w:spacing w:after="0" w:line="277" w:lineRule="auto"/>
        <w:rPr>
          <w:sz w:val="20"/>
          <w:szCs w:val="20"/>
          <w:color w:val="auto"/>
        </w:rPr>
      </w:pPr>
      <w:r>
        <w:rPr>
          <w:rFonts w:ascii="Arial" w:cs="Arial" w:eastAsia="Arial" w:hAnsi="Arial"/>
          <w:sz w:val="16"/>
          <w:szCs w:val="16"/>
          <w:color w:val="auto"/>
        </w:rPr>
        <w:t>modern cloud-based architecture. This architecture leads to rich data sets that have a consistent schema across our customer base and enables us to deploy data-powered products and services for our customers. We also provide software solutions to the legal market that enable law firms to administer their practice and manage their caseloads more efficiently by centralizing case details in a single system of record and system of engagement.</w:t>
      </w:r>
    </w:p>
    <w:p>
      <w:pPr>
        <w:spacing w:after="0" w:line="59" w:lineRule="exact"/>
        <w:rPr>
          <w:sz w:val="20"/>
          <w:szCs w:val="20"/>
          <w:color w:val="auto"/>
        </w:rPr>
      </w:pPr>
    </w:p>
    <w:p>
      <w:pPr>
        <w:jc w:val="both"/>
        <w:ind w:firstLine="597"/>
        <w:spacing w:after="0" w:line="268" w:lineRule="auto"/>
        <w:rPr>
          <w:sz w:val="20"/>
          <w:szCs w:val="20"/>
          <w:color w:val="auto"/>
        </w:rPr>
      </w:pPr>
      <w:r>
        <w:rPr>
          <w:rFonts w:ascii="Arial" w:cs="Arial" w:eastAsia="Arial" w:hAnsi="Arial"/>
          <w:sz w:val="16"/>
          <w:szCs w:val="16"/>
          <w:color w:val="auto"/>
        </w:rPr>
        <w:t>We have focused on growing our revenue by increasing the size of our customer base in the markets we serve, increasing the number of units under management, introducing new or expanded Value+ services, retaining customers, and increasing the adoption and utilization of our Value+ services by new and existing customers. We evaluate the success of our business during the periods presented based on factors such as the development and launch of new and innovative core functionality and Value+ services, enhancements to user experience, customer satisfaction, growth in our revenue and customer base, fluctuations in costs and operating expenses as a percentage of revenue, operating loss or income and cash flows from operating activities.</w:t>
      </w:r>
    </w:p>
    <w:p>
      <w:pPr>
        <w:spacing w:after="0" w:line="67" w:lineRule="exact"/>
        <w:rPr>
          <w:sz w:val="20"/>
          <w:szCs w:val="20"/>
          <w:color w:val="auto"/>
        </w:rPr>
      </w:pPr>
    </w:p>
    <w:p>
      <w:pPr>
        <w:jc w:val="both"/>
        <w:ind w:firstLine="597"/>
        <w:spacing w:after="0" w:line="248" w:lineRule="auto"/>
        <w:rPr>
          <w:sz w:val="20"/>
          <w:szCs w:val="20"/>
          <w:color w:val="auto"/>
        </w:rPr>
      </w:pPr>
      <w:r>
        <w:rPr>
          <w:rFonts w:ascii="Arial" w:cs="Arial" w:eastAsia="Arial" w:hAnsi="Arial"/>
          <w:sz w:val="17"/>
          <w:szCs w:val="17"/>
          <w:color w:val="auto"/>
        </w:rPr>
        <w:t>To date, we have experienced rapid revenue growth due to our investments in research and product development, sales and marketing, customer service and support, and infrastructure. We intend to continue to invest in growth across our organization as we expand in our current and adjacent markets and into new verticals. These investments to grow our business will continue to increase our costs and operating expenses on an absolute basis. Many of these investments will occur in advance of our realization of revenue or any other benefit, which will make it difficult to determine if we are allocating our resources effectively and efficiently. We expect our operating margins will improve over the long term, but this trend may be interrupted from time to time as a result of accelerated investment opportunities occurring in advance of realization of revenue.</w:t>
      </w:r>
    </w:p>
    <w:p>
      <w:pPr>
        <w:spacing w:after="0" w:line="81"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We have managed, and plan to continue to manage, our business towards the achievement of long-term growth that we believe will positively impact long-term stockholder value, and not towards the realization of short-term financial or business metrics, or short-term stockholder value. We have invested, and intend to continue to invest, in our business to capitalize on our market opportunity. Accordingly, if opportunities arise that might cause us to sacrifice our performance with respect to short-term financial or business metrics, but that we believe are in the best interests of our stockholders in the long term, we will take those opportunities.</w:t>
      </w:r>
    </w:p>
    <w:p>
      <w:pPr>
        <w:spacing w:after="0" w:line="47"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At December 31, 2019, we had approximately 1,240 employees, and we consider our relationship with them to be very good. We also hire temporary employees and consultants, and feel similarly about our relationships with them. None of our employees is represented by a labor union or covered by a collective bargaining agreement.</w:t>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Overview</w:t>
      </w:r>
    </w:p>
    <w:p>
      <w:pPr>
        <w:spacing w:after="0" w:line="107" w:lineRule="exact"/>
        <w:rPr>
          <w:sz w:val="20"/>
          <w:szCs w:val="20"/>
          <w:color w:val="auto"/>
        </w:rPr>
      </w:pPr>
    </w:p>
    <w:p>
      <w:pPr>
        <w:jc w:val="both"/>
        <w:ind w:firstLine="597"/>
        <w:spacing w:after="0" w:line="280" w:lineRule="auto"/>
        <w:rPr>
          <w:sz w:val="20"/>
          <w:szCs w:val="20"/>
          <w:color w:val="auto"/>
        </w:rPr>
      </w:pPr>
      <w:r>
        <w:rPr>
          <w:rFonts w:ascii="Arial" w:cs="Arial" w:eastAsia="Arial" w:hAnsi="Arial"/>
          <w:sz w:val="15"/>
          <w:szCs w:val="15"/>
          <w:color w:val="auto"/>
        </w:rPr>
        <w:t>In 2008, we entered the real estate market with our first product, APM, a property management solution designed to address the unique operational and business requirements of property management companies. Recognizing that our customers and their stakeholders would benefit from additional business critical services, we launched a series of Value+ services beginning in 2009. Our first Value+ service assisted our customers in the marketing of their rental properties by offering property level website design and hosting services. In 2010, we commenced the roll out of our electronic payment services, thereby facilitating the payment of rent via ACH by tenants. In 2011, we launched tenant screening services, further assisting our customers with the leasing process. In 2012, we introduced our legal liability to landlord insurance program, which protects property owners and managers from certain defined losses. In 2013, we expanded our electronic payment services by allowing residents to pay rent by ECP and credit or debit card. In 2014, we launched a tenant-facing contact center solution to assist our property managers with resolving incoming maintenance requests. In 2015, we expanded the marketing services offered to our property management customers with a premium leads service built on technology acquired with our acquisition of RentLinx and expanded our electronic payment services to facilitate payments made between our customers and property owners and vendors. In 2016, we introduced a tenant debt collection Value+ service to assist our property managers with running a more efficient business. In 2017, we expanded our insurance services to enable tenants to purchase renters insurance from within APM, protecting both our property management customers and their tenants. In 2018, we acquired substantially all of the assets of WegoWise, a provider of cloud-based utility analytics software solutions, and began offering AppFolio Utility Management as a Value+ service to our property management customers in mid-2019. In 2018, we also released APM PLUS, a new tier of APM designed for larger businesses with more complex needs. APM PLUS builds upon the functionality of APM and additionally offers data analytics, configurable workflows, and revenue management and optimization functionality for our customers. In January 2019, we acquired Dynasty, a provider of advanced AI solutions for the real estate market, and began offering an AI Leasing Assistant, Lisa, as a Value+ service to our property management customers in mid-2019. In April 2019, we launched AppFolio Investment Management, which enables real estate investment managers to better manage their investor relationships by increasing transparency and streamlining certain business processes.</w:t>
      </w:r>
    </w:p>
    <w:p>
      <w:pPr>
        <w:spacing w:after="0" w:line="61" w:lineRule="exact"/>
        <w:rPr>
          <w:sz w:val="20"/>
          <w:szCs w:val="20"/>
          <w:color w:val="auto"/>
        </w:rPr>
      </w:pPr>
    </w:p>
    <w:p>
      <w:pPr>
        <w:jc w:val="both"/>
        <w:ind w:firstLine="597"/>
        <w:spacing w:after="0" w:line="369" w:lineRule="auto"/>
        <w:rPr>
          <w:sz w:val="20"/>
          <w:szCs w:val="20"/>
          <w:color w:val="auto"/>
        </w:rPr>
      </w:pPr>
      <w:r>
        <w:rPr>
          <w:rFonts w:ascii="Arial" w:cs="Arial" w:eastAsia="Arial" w:hAnsi="Arial"/>
          <w:sz w:val="13"/>
          <w:szCs w:val="13"/>
          <w:color w:val="auto"/>
        </w:rPr>
        <w:t>Over 90% of our annual revenue is derived directly and indirectly from the software solutions, services and data analytics we offer to the real estate market. The significant majority of our customers in the real estate market use our property management solutions. We define our property management customer base as the number of customers subscribing to our property management core solutions. Customer count and property management units under management are presented in the table below: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674" w:right="239" w:bottom="1440" w:gutter="0" w:footer="0" w:header="0"/>
        </w:sectPr>
      </w:pPr>
    </w:p>
    <w:bookmarkStart w:id="41" w:name="page42"/>
    <w:bookmarkEnd w:id="41"/>
    <w:tbl>
      <w:tblPr>
        <w:tblLayout w:type="fixed"/>
        <w:tblInd w:w="40" w:type="dxa"/>
        <w:tblCellMar>
          <w:top w:w="0" w:type="dxa"/>
          <w:left w:w="0" w:type="dxa"/>
          <w:bottom w:w="0" w:type="dxa"/>
          <w:right w:w="0" w:type="dxa"/>
        </w:tblCellMar>
      </w:tblPr>
      <w:tr>
        <w:trPr>
          <w:trHeight w:val="177"/>
        </w:trPr>
        <w:tc>
          <w:tcPr>
            <w:tcW w:w="23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3"/>
                <w:szCs w:val="13"/>
                <w:b w:val="1"/>
                <w:bCs w:val="1"/>
                <w:color w:val="auto"/>
              </w:rPr>
              <w:t>Quarter Ended</w:t>
            </w:r>
          </w:p>
        </w:tc>
        <w:tc>
          <w:tcPr>
            <w:tcW w:w="9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238"/>
        </w:trPr>
        <w:tc>
          <w:tcPr>
            <w:tcW w:w="2380" w:type="dxa"/>
            <w:vAlign w:val="bottom"/>
          </w:tcPr>
          <w:p>
            <w:pPr>
              <w:spacing w:after="0"/>
              <w:rPr>
                <w:sz w:val="20"/>
                <w:szCs w:val="20"/>
                <w:color w:val="auto"/>
              </w:rPr>
            </w:pPr>
          </w:p>
        </w:tc>
        <w:tc>
          <w:tcPr>
            <w:tcW w:w="1140" w:type="dxa"/>
            <w:vAlign w:val="bottom"/>
          </w:tcPr>
          <w:p>
            <w:pPr>
              <w:jc w:val="right"/>
              <w:ind w:right="259"/>
              <w:spacing w:after="0"/>
              <w:rPr>
                <w:sz w:val="20"/>
                <w:szCs w:val="20"/>
                <w:color w:val="auto"/>
              </w:rPr>
            </w:pPr>
            <w:r>
              <w:rPr>
                <w:rFonts w:ascii="Arial" w:cs="Arial" w:eastAsia="Arial" w:hAnsi="Arial"/>
                <w:sz w:val="10"/>
                <w:szCs w:val="10"/>
                <w:b w:val="1"/>
                <w:bCs w:val="1"/>
                <w:color w:val="auto"/>
              </w:rPr>
              <w:t>December 31,</w:t>
            </w:r>
          </w:p>
        </w:tc>
        <w:tc>
          <w:tcPr>
            <w:tcW w:w="940" w:type="dxa"/>
            <w:vAlign w:val="bottom"/>
          </w:tcPr>
          <w:p>
            <w:pPr>
              <w:jc w:val="right"/>
              <w:ind w:right="39"/>
              <w:spacing w:after="0"/>
              <w:rPr>
                <w:sz w:val="20"/>
                <w:szCs w:val="20"/>
                <w:color w:val="auto"/>
              </w:rPr>
            </w:pPr>
            <w:r>
              <w:rPr>
                <w:rFonts w:ascii="Arial" w:cs="Arial" w:eastAsia="Arial" w:hAnsi="Arial"/>
                <w:sz w:val="10"/>
                <w:szCs w:val="10"/>
                <w:b w:val="1"/>
                <w:bCs w:val="1"/>
                <w:color w:val="auto"/>
              </w:rPr>
              <w:t>September 30,</w:t>
            </w:r>
          </w:p>
        </w:tc>
        <w:tc>
          <w:tcPr>
            <w:tcW w:w="1380" w:type="dxa"/>
            <w:vAlign w:val="bottom"/>
          </w:tcPr>
          <w:p>
            <w:pPr>
              <w:jc w:val="right"/>
              <w:ind w:right="418"/>
              <w:spacing w:after="0"/>
              <w:rPr>
                <w:sz w:val="20"/>
                <w:szCs w:val="20"/>
                <w:color w:val="auto"/>
              </w:rPr>
            </w:pPr>
            <w:r>
              <w:rPr>
                <w:rFonts w:ascii="Arial" w:cs="Arial" w:eastAsia="Arial" w:hAnsi="Arial"/>
                <w:sz w:val="10"/>
                <w:szCs w:val="10"/>
                <w:b w:val="1"/>
                <w:bCs w:val="1"/>
                <w:color w:val="auto"/>
              </w:rPr>
              <w:t>June 30,</w:t>
            </w:r>
          </w:p>
        </w:tc>
        <w:tc>
          <w:tcPr>
            <w:tcW w:w="1100" w:type="dxa"/>
            <w:vAlign w:val="bottom"/>
            <w:gridSpan w:val="2"/>
          </w:tcPr>
          <w:p>
            <w:pPr>
              <w:ind w:left="260"/>
              <w:spacing w:after="0"/>
              <w:rPr>
                <w:sz w:val="20"/>
                <w:szCs w:val="20"/>
                <w:color w:val="auto"/>
              </w:rPr>
            </w:pPr>
            <w:r>
              <w:rPr>
                <w:rFonts w:ascii="Arial" w:cs="Arial" w:eastAsia="Arial" w:hAnsi="Arial"/>
                <w:sz w:val="10"/>
                <w:szCs w:val="10"/>
                <w:b w:val="1"/>
                <w:bCs w:val="1"/>
                <w:color w:val="auto"/>
              </w:rPr>
              <w:t>March 31,</w:t>
            </w:r>
          </w:p>
        </w:tc>
        <w:tc>
          <w:tcPr>
            <w:tcW w:w="1120" w:type="dxa"/>
            <w:vAlign w:val="bottom"/>
          </w:tcPr>
          <w:p>
            <w:pPr>
              <w:jc w:val="right"/>
              <w:ind w:right="259"/>
              <w:spacing w:after="0"/>
              <w:rPr>
                <w:sz w:val="20"/>
                <w:szCs w:val="20"/>
                <w:color w:val="auto"/>
              </w:rPr>
            </w:pPr>
            <w:r>
              <w:rPr>
                <w:rFonts w:ascii="Arial" w:cs="Arial" w:eastAsia="Arial" w:hAnsi="Arial"/>
                <w:sz w:val="10"/>
                <w:szCs w:val="10"/>
                <w:b w:val="1"/>
                <w:bCs w:val="1"/>
                <w:color w:val="auto"/>
              </w:rPr>
              <w:t>December 31,</w:t>
            </w:r>
          </w:p>
        </w:tc>
        <w:tc>
          <w:tcPr>
            <w:tcW w:w="940" w:type="dxa"/>
            <w:vAlign w:val="bottom"/>
          </w:tcPr>
          <w:p>
            <w:pPr>
              <w:jc w:val="right"/>
              <w:ind w:right="59"/>
              <w:spacing w:after="0"/>
              <w:rPr>
                <w:sz w:val="20"/>
                <w:szCs w:val="20"/>
                <w:color w:val="auto"/>
              </w:rPr>
            </w:pPr>
            <w:r>
              <w:rPr>
                <w:rFonts w:ascii="Arial" w:cs="Arial" w:eastAsia="Arial" w:hAnsi="Arial"/>
                <w:sz w:val="10"/>
                <w:szCs w:val="10"/>
                <w:b w:val="1"/>
                <w:bCs w:val="1"/>
                <w:color w:val="auto"/>
              </w:rPr>
              <w:t>September 30,</w:t>
            </w:r>
          </w:p>
        </w:tc>
        <w:tc>
          <w:tcPr>
            <w:tcW w:w="1360" w:type="dxa"/>
            <w:vAlign w:val="bottom"/>
          </w:tcPr>
          <w:p>
            <w:pPr>
              <w:jc w:val="right"/>
              <w:ind w:right="418"/>
              <w:spacing w:after="0"/>
              <w:rPr>
                <w:sz w:val="20"/>
                <w:szCs w:val="20"/>
                <w:color w:val="auto"/>
              </w:rPr>
            </w:pPr>
            <w:r>
              <w:rPr>
                <w:rFonts w:ascii="Arial" w:cs="Arial" w:eastAsia="Arial" w:hAnsi="Arial"/>
                <w:sz w:val="10"/>
                <w:szCs w:val="10"/>
                <w:b w:val="1"/>
                <w:bCs w:val="1"/>
                <w:color w:val="auto"/>
              </w:rPr>
              <w:t>June 30,</w:t>
            </w:r>
          </w:p>
        </w:tc>
        <w:tc>
          <w:tcPr>
            <w:tcW w:w="1000" w:type="dxa"/>
            <w:vAlign w:val="bottom"/>
          </w:tcPr>
          <w:p>
            <w:pPr>
              <w:jc w:val="right"/>
              <w:ind w:right="239"/>
              <w:spacing w:after="0"/>
              <w:rPr>
                <w:sz w:val="20"/>
                <w:szCs w:val="20"/>
                <w:color w:val="auto"/>
              </w:rPr>
            </w:pPr>
            <w:r>
              <w:rPr>
                <w:rFonts w:ascii="Arial" w:cs="Arial" w:eastAsia="Arial" w:hAnsi="Arial"/>
                <w:sz w:val="10"/>
                <w:szCs w:val="10"/>
                <w:b w:val="1"/>
                <w:bCs w:val="1"/>
                <w:color w:val="auto"/>
              </w:rPr>
              <w:t>March 31,</w:t>
            </w:r>
          </w:p>
        </w:tc>
      </w:tr>
      <w:tr>
        <w:trPr>
          <w:trHeight w:val="231"/>
        </w:trPr>
        <w:tc>
          <w:tcPr>
            <w:tcW w:w="238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1038"/>
              <w:spacing w:after="0"/>
              <w:rPr>
                <w:sz w:val="20"/>
                <w:szCs w:val="20"/>
                <w:color w:val="auto"/>
              </w:rPr>
            </w:pPr>
            <w:r>
              <w:rPr>
                <w:rFonts w:ascii="Arial" w:cs="Arial" w:eastAsia="Arial" w:hAnsi="Arial"/>
                <w:sz w:val="13"/>
                <w:szCs w:val="13"/>
                <w:b w:val="1"/>
                <w:bCs w:val="1"/>
                <w:color w:val="auto"/>
                <w:w w:val="89"/>
              </w:rPr>
              <w:t>2019</w:t>
            </w:r>
          </w:p>
        </w:tc>
        <w:tc>
          <w:tcPr>
            <w:tcW w:w="98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1018"/>
              <w:spacing w:after="0"/>
              <w:rPr>
                <w:sz w:val="20"/>
                <w:szCs w:val="20"/>
                <w:color w:val="auto"/>
              </w:rPr>
            </w:pPr>
            <w:r>
              <w:rPr>
                <w:rFonts w:ascii="Arial" w:cs="Arial" w:eastAsia="Arial" w:hAnsi="Arial"/>
                <w:sz w:val="13"/>
                <w:szCs w:val="13"/>
                <w:b w:val="1"/>
                <w:bCs w:val="1"/>
                <w:color w:val="auto"/>
                <w:w w:val="89"/>
              </w:rPr>
              <w:t>2018</w:t>
            </w:r>
          </w:p>
        </w:tc>
        <w:tc>
          <w:tcPr>
            <w:tcW w:w="1000" w:type="dxa"/>
            <w:vAlign w:val="bottom"/>
            <w:tcBorders>
              <w:top w:val="single" w:sz="8" w:color="auto"/>
              <w:bottom w:val="single" w:sz="8" w:color="auto"/>
            </w:tcBorders>
          </w:tcPr>
          <w:p>
            <w:pPr>
              <w:spacing w:after="0"/>
              <w:rPr>
                <w:sz w:val="20"/>
                <w:szCs w:val="20"/>
                <w:color w:val="auto"/>
              </w:rPr>
            </w:pPr>
          </w:p>
        </w:tc>
      </w:tr>
      <w:tr>
        <w:trPr>
          <w:trHeight w:val="246"/>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management customers</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3"/>
                <w:szCs w:val="13"/>
                <w:color w:val="auto"/>
              </w:rPr>
              <w:t>14,385</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14,034</w:t>
            </w:r>
          </w:p>
        </w:tc>
        <w:tc>
          <w:tcPr>
            <w:tcW w:w="138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13,737</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13,409</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3"/>
                <w:szCs w:val="13"/>
                <w:color w:val="auto"/>
              </w:rPr>
              <w:t>13,046</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12,641</w:t>
            </w:r>
          </w:p>
        </w:tc>
        <w:tc>
          <w:tcPr>
            <w:tcW w:w="136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12,317</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12,030</w:t>
            </w:r>
          </w:p>
        </w:tc>
      </w:tr>
      <w:tr>
        <w:trPr>
          <w:trHeight w:val="145"/>
        </w:trPr>
        <w:tc>
          <w:tcPr>
            <w:tcW w:w="2380" w:type="dxa"/>
            <w:vAlign w:val="bottom"/>
          </w:tcPr>
          <w:p>
            <w:pPr>
              <w:ind w:left="20"/>
              <w:spacing w:after="0" w:line="146" w:lineRule="exact"/>
              <w:rPr>
                <w:sz w:val="20"/>
                <w:szCs w:val="20"/>
                <w:color w:val="auto"/>
              </w:rPr>
            </w:pPr>
            <w:r>
              <w:rPr>
                <w:rFonts w:ascii="Arial" w:cs="Arial" w:eastAsia="Arial" w:hAnsi="Arial"/>
                <w:sz w:val="13"/>
                <w:szCs w:val="13"/>
                <w:color w:val="auto"/>
              </w:rPr>
              <w:t>Property management units under</w:t>
            </w: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8"/>
        </w:trPr>
        <w:tc>
          <w:tcPr>
            <w:tcW w:w="2380" w:type="dxa"/>
            <w:vAlign w:val="bottom"/>
          </w:tcPr>
          <w:p>
            <w:pPr>
              <w:ind w:left="20"/>
              <w:spacing w:after="0"/>
              <w:rPr>
                <w:sz w:val="20"/>
                <w:szCs w:val="20"/>
                <w:color w:val="auto"/>
              </w:rPr>
            </w:pPr>
            <w:r>
              <w:rPr>
                <w:rFonts w:ascii="Arial" w:cs="Arial" w:eastAsia="Arial" w:hAnsi="Arial"/>
                <w:sz w:val="13"/>
                <w:szCs w:val="13"/>
                <w:color w:val="auto"/>
              </w:rPr>
              <w:t>management (in millions)</w:t>
            </w:r>
          </w:p>
        </w:tc>
        <w:tc>
          <w:tcPr>
            <w:tcW w:w="1140" w:type="dxa"/>
            <w:vAlign w:val="bottom"/>
          </w:tcPr>
          <w:p>
            <w:pPr>
              <w:jc w:val="right"/>
              <w:ind w:right="159"/>
              <w:spacing w:after="0"/>
              <w:rPr>
                <w:sz w:val="20"/>
                <w:szCs w:val="20"/>
                <w:color w:val="auto"/>
              </w:rPr>
            </w:pPr>
            <w:r>
              <w:rPr>
                <w:rFonts w:ascii="Arial" w:cs="Arial" w:eastAsia="Arial" w:hAnsi="Arial"/>
                <w:sz w:val="13"/>
                <w:szCs w:val="13"/>
                <w:color w:val="auto"/>
              </w:rPr>
              <w:t>4.64</w:t>
            </w:r>
          </w:p>
        </w:tc>
        <w:tc>
          <w:tcPr>
            <w:tcW w:w="940" w:type="dxa"/>
            <w:vAlign w:val="bottom"/>
          </w:tcPr>
          <w:p>
            <w:pPr>
              <w:jc w:val="right"/>
              <w:spacing w:after="0"/>
              <w:rPr>
                <w:sz w:val="20"/>
                <w:szCs w:val="20"/>
                <w:color w:val="auto"/>
              </w:rPr>
            </w:pPr>
            <w:r>
              <w:rPr>
                <w:rFonts w:ascii="Arial" w:cs="Arial" w:eastAsia="Arial" w:hAnsi="Arial"/>
                <w:sz w:val="13"/>
                <w:szCs w:val="13"/>
                <w:color w:val="auto"/>
              </w:rPr>
              <w:t>4.41</w:t>
            </w:r>
          </w:p>
        </w:tc>
        <w:tc>
          <w:tcPr>
            <w:tcW w:w="1380" w:type="dxa"/>
            <w:vAlign w:val="bottom"/>
          </w:tcPr>
          <w:p>
            <w:pPr>
              <w:jc w:val="right"/>
              <w:ind w:right="198"/>
              <w:spacing w:after="0"/>
              <w:rPr>
                <w:sz w:val="20"/>
                <w:szCs w:val="20"/>
                <w:color w:val="auto"/>
              </w:rPr>
            </w:pPr>
            <w:r>
              <w:rPr>
                <w:rFonts w:ascii="Arial" w:cs="Arial" w:eastAsia="Arial" w:hAnsi="Arial"/>
                <w:sz w:val="13"/>
                <w:szCs w:val="13"/>
                <w:color w:val="auto"/>
              </w:rPr>
              <w:t>4.23</w:t>
            </w:r>
          </w:p>
        </w:tc>
        <w:tc>
          <w:tcPr>
            <w:tcW w:w="980" w:type="dxa"/>
            <w:vAlign w:val="bottom"/>
          </w:tcPr>
          <w:p>
            <w:pPr>
              <w:jc w:val="right"/>
              <w:ind w:right="38"/>
              <w:spacing w:after="0"/>
              <w:rPr>
                <w:sz w:val="20"/>
                <w:szCs w:val="20"/>
                <w:color w:val="auto"/>
              </w:rPr>
            </w:pPr>
            <w:r>
              <w:rPr>
                <w:rFonts w:ascii="Arial" w:cs="Arial" w:eastAsia="Arial" w:hAnsi="Arial"/>
                <w:sz w:val="13"/>
                <w:szCs w:val="13"/>
                <w:color w:val="auto"/>
              </w:rPr>
              <w:t>4.08</w:t>
            </w:r>
          </w:p>
        </w:tc>
        <w:tc>
          <w:tcPr>
            <w:tcW w:w="120" w:type="dxa"/>
            <w:vAlign w:val="bottom"/>
          </w:tcPr>
          <w:p>
            <w:pPr>
              <w:spacing w:after="0"/>
              <w:rPr>
                <w:sz w:val="14"/>
                <w:szCs w:val="14"/>
                <w:color w:val="auto"/>
              </w:rPr>
            </w:pPr>
          </w:p>
        </w:tc>
        <w:tc>
          <w:tcPr>
            <w:tcW w:w="1120" w:type="dxa"/>
            <w:vAlign w:val="bottom"/>
          </w:tcPr>
          <w:p>
            <w:pPr>
              <w:jc w:val="right"/>
              <w:ind w:right="159"/>
              <w:spacing w:after="0"/>
              <w:rPr>
                <w:sz w:val="20"/>
                <w:szCs w:val="20"/>
                <w:color w:val="auto"/>
              </w:rPr>
            </w:pPr>
            <w:r>
              <w:rPr>
                <w:rFonts w:ascii="Arial" w:cs="Arial" w:eastAsia="Arial" w:hAnsi="Arial"/>
                <w:sz w:val="13"/>
                <w:szCs w:val="13"/>
                <w:color w:val="auto"/>
              </w:rPr>
              <w:t>3.91</w:t>
            </w:r>
          </w:p>
        </w:tc>
        <w:tc>
          <w:tcPr>
            <w:tcW w:w="940" w:type="dxa"/>
            <w:vAlign w:val="bottom"/>
          </w:tcPr>
          <w:p>
            <w:pPr>
              <w:jc w:val="right"/>
              <w:spacing w:after="0"/>
              <w:rPr>
                <w:sz w:val="20"/>
                <w:szCs w:val="20"/>
                <w:color w:val="auto"/>
              </w:rPr>
            </w:pPr>
            <w:r>
              <w:rPr>
                <w:rFonts w:ascii="Arial" w:cs="Arial" w:eastAsia="Arial" w:hAnsi="Arial"/>
                <w:sz w:val="13"/>
                <w:szCs w:val="13"/>
                <w:color w:val="auto"/>
              </w:rPr>
              <w:t>3.7</w:t>
            </w:r>
          </w:p>
        </w:tc>
        <w:tc>
          <w:tcPr>
            <w:tcW w:w="1360" w:type="dxa"/>
            <w:vAlign w:val="bottom"/>
          </w:tcPr>
          <w:p>
            <w:pPr>
              <w:jc w:val="right"/>
              <w:ind w:right="198"/>
              <w:spacing w:after="0"/>
              <w:rPr>
                <w:sz w:val="20"/>
                <w:szCs w:val="20"/>
                <w:color w:val="auto"/>
              </w:rPr>
            </w:pPr>
            <w:r>
              <w:rPr>
                <w:rFonts w:ascii="Arial" w:cs="Arial" w:eastAsia="Arial" w:hAnsi="Arial"/>
                <w:sz w:val="13"/>
                <w:szCs w:val="13"/>
                <w:color w:val="auto"/>
              </w:rPr>
              <w:t>3.55</w:t>
            </w:r>
          </w:p>
        </w:tc>
        <w:tc>
          <w:tcPr>
            <w:tcW w:w="1000" w:type="dxa"/>
            <w:vAlign w:val="bottom"/>
          </w:tcPr>
          <w:p>
            <w:pPr>
              <w:jc w:val="right"/>
              <w:ind w:right="59"/>
              <w:spacing w:after="0"/>
              <w:rPr>
                <w:sz w:val="20"/>
                <w:szCs w:val="20"/>
                <w:color w:val="auto"/>
              </w:rPr>
            </w:pPr>
            <w:r>
              <w:rPr>
                <w:rFonts w:ascii="Arial" w:cs="Arial" w:eastAsia="Arial" w:hAnsi="Arial"/>
                <w:sz w:val="13"/>
                <w:szCs w:val="13"/>
                <w:color w:val="auto"/>
              </w:rPr>
              <w:t>3.4</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Overview</w:t>
      </w:r>
    </w:p>
    <w:p>
      <w:pPr>
        <w:spacing w:after="0" w:line="306" w:lineRule="exact"/>
        <w:rPr>
          <w:sz w:val="20"/>
          <w:szCs w:val="20"/>
          <w:color w:val="auto"/>
        </w:rPr>
      </w:pPr>
    </w:p>
    <w:p>
      <w:pPr>
        <w:jc w:val="both"/>
        <w:ind w:firstLine="597"/>
        <w:spacing w:after="0" w:line="268" w:lineRule="auto"/>
        <w:rPr>
          <w:sz w:val="20"/>
          <w:szCs w:val="20"/>
          <w:color w:val="auto"/>
        </w:rPr>
      </w:pPr>
      <w:r>
        <w:rPr>
          <w:rFonts w:ascii="Arial" w:cs="Arial" w:eastAsia="Arial" w:hAnsi="Arial"/>
          <w:sz w:val="16"/>
          <w:szCs w:val="16"/>
          <w:color w:val="auto"/>
        </w:rPr>
        <w:t>We entered the legal market with the acquisition of MyCase in 2012. In 2013, we introduced website design and hosting services, our first Value+ service for our legal market customers, designed to assist smaller law firms and solo practitioners with the marketing of their practices, electronic storage of case information and communications. In 2016, we launched electronic payments services for the legal market, which streamlined the billing and receivables process through MyCase. Similar to our offerings in the real estate market, our software solutions and Value+ services in the legal market are subject to strict legal, regulatory and other requirements. Please refer to Item 1A., "Risk Factors", for a more complete discussion of these and other risk-related issues.</w:t>
      </w:r>
    </w:p>
    <w:p>
      <w:pPr>
        <w:spacing w:after="0" w:line="67"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Our legal customers directly and indirectly account for less than 10% of our annual revenue. We define our legal customer base as the number of customers subscribing to MyCase core solutions, exclusive of free trial periods. Legal customer count is summarized in the table below:</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23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3"/>
                <w:szCs w:val="13"/>
                <w:b w:val="1"/>
                <w:bCs w:val="1"/>
                <w:color w:val="auto"/>
              </w:rPr>
              <w:t>Quarter Ended</w:t>
            </w:r>
          </w:p>
        </w:tc>
        <w:tc>
          <w:tcPr>
            <w:tcW w:w="9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238"/>
        </w:trPr>
        <w:tc>
          <w:tcPr>
            <w:tcW w:w="2380" w:type="dxa"/>
            <w:vAlign w:val="bottom"/>
          </w:tcPr>
          <w:p>
            <w:pPr>
              <w:spacing w:after="0"/>
              <w:rPr>
                <w:sz w:val="20"/>
                <w:szCs w:val="20"/>
                <w:color w:val="auto"/>
              </w:rPr>
            </w:pPr>
          </w:p>
        </w:tc>
        <w:tc>
          <w:tcPr>
            <w:tcW w:w="1140" w:type="dxa"/>
            <w:vAlign w:val="bottom"/>
          </w:tcPr>
          <w:p>
            <w:pPr>
              <w:jc w:val="right"/>
              <w:ind w:right="262"/>
              <w:spacing w:after="0"/>
              <w:rPr>
                <w:sz w:val="20"/>
                <w:szCs w:val="20"/>
                <w:color w:val="auto"/>
              </w:rPr>
            </w:pPr>
            <w:r>
              <w:rPr>
                <w:rFonts w:ascii="Arial" w:cs="Arial" w:eastAsia="Arial" w:hAnsi="Arial"/>
                <w:sz w:val="10"/>
                <w:szCs w:val="10"/>
                <w:b w:val="1"/>
                <w:bCs w:val="1"/>
                <w:color w:val="auto"/>
              </w:rPr>
              <w:t>December 31,</w:t>
            </w:r>
          </w:p>
        </w:tc>
        <w:tc>
          <w:tcPr>
            <w:tcW w:w="940" w:type="dxa"/>
            <w:vAlign w:val="bottom"/>
          </w:tcPr>
          <w:p>
            <w:pPr>
              <w:jc w:val="right"/>
              <w:ind w:right="42"/>
              <w:spacing w:after="0"/>
              <w:rPr>
                <w:sz w:val="20"/>
                <w:szCs w:val="20"/>
                <w:color w:val="auto"/>
              </w:rPr>
            </w:pPr>
            <w:r>
              <w:rPr>
                <w:rFonts w:ascii="Arial" w:cs="Arial" w:eastAsia="Arial" w:hAnsi="Arial"/>
                <w:sz w:val="10"/>
                <w:szCs w:val="10"/>
                <w:b w:val="1"/>
                <w:bCs w:val="1"/>
                <w:color w:val="auto"/>
              </w:rPr>
              <w:t>September 30,</w:t>
            </w:r>
          </w:p>
        </w:tc>
        <w:tc>
          <w:tcPr>
            <w:tcW w:w="1380" w:type="dxa"/>
            <w:vAlign w:val="bottom"/>
          </w:tcPr>
          <w:p>
            <w:pPr>
              <w:jc w:val="right"/>
              <w:ind w:right="419"/>
              <w:spacing w:after="0"/>
              <w:rPr>
                <w:sz w:val="20"/>
                <w:szCs w:val="20"/>
                <w:color w:val="auto"/>
              </w:rPr>
            </w:pPr>
            <w:r>
              <w:rPr>
                <w:rFonts w:ascii="Arial" w:cs="Arial" w:eastAsia="Arial" w:hAnsi="Arial"/>
                <w:sz w:val="10"/>
                <w:szCs w:val="10"/>
                <w:b w:val="1"/>
                <w:bCs w:val="1"/>
                <w:color w:val="auto"/>
              </w:rPr>
              <w:t>June 30,</w:t>
            </w:r>
          </w:p>
        </w:tc>
        <w:tc>
          <w:tcPr>
            <w:tcW w:w="1100" w:type="dxa"/>
            <w:vAlign w:val="bottom"/>
            <w:gridSpan w:val="2"/>
          </w:tcPr>
          <w:p>
            <w:pPr>
              <w:ind w:left="260"/>
              <w:spacing w:after="0"/>
              <w:rPr>
                <w:sz w:val="20"/>
                <w:szCs w:val="20"/>
                <w:color w:val="auto"/>
              </w:rPr>
            </w:pPr>
            <w:r>
              <w:rPr>
                <w:rFonts w:ascii="Arial" w:cs="Arial" w:eastAsia="Arial" w:hAnsi="Arial"/>
                <w:sz w:val="10"/>
                <w:szCs w:val="10"/>
                <w:b w:val="1"/>
                <w:bCs w:val="1"/>
                <w:color w:val="auto"/>
              </w:rPr>
              <w:t>March 31,</w:t>
            </w:r>
          </w:p>
        </w:tc>
        <w:tc>
          <w:tcPr>
            <w:tcW w:w="1120" w:type="dxa"/>
            <w:vAlign w:val="bottom"/>
          </w:tcPr>
          <w:p>
            <w:pPr>
              <w:jc w:val="right"/>
              <w:ind w:right="262"/>
              <w:spacing w:after="0"/>
              <w:rPr>
                <w:sz w:val="20"/>
                <w:szCs w:val="20"/>
                <w:color w:val="auto"/>
              </w:rPr>
            </w:pPr>
            <w:r>
              <w:rPr>
                <w:rFonts w:ascii="Arial" w:cs="Arial" w:eastAsia="Arial" w:hAnsi="Arial"/>
                <w:sz w:val="10"/>
                <w:szCs w:val="10"/>
                <w:b w:val="1"/>
                <w:bCs w:val="1"/>
                <w:color w:val="auto"/>
              </w:rPr>
              <w:t>December 31,</w:t>
            </w:r>
          </w:p>
        </w:tc>
        <w:tc>
          <w:tcPr>
            <w:tcW w:w="940" w:type="dxa"/>
            <w:vAlign w:val="bottom"/>
          </w:tcPr>
          <w:p>
            <w:pPr>
              <w:jc w:val="right"/>
              <w:ind w:right="62"/>
              <w:spacing w:after="0"/>
              <w:rPr>
                <w:sz w:val="20"/>
                <w:szCs w:val="20"/>
                <w:color w:val="auto"/>
              </w:rPr>
            </w:pPr>
            <w:r>
              <w:rPr>
                <w:rFonts w:ascii="Arial" w:cs="Arial" w:eastAsia="Arial" w:hAnsi="Arial"/>
                <w:sz w:val="10"/>
                <w:szCs w:val="10"/>
                <w:b w:val="1"/>
                <w:bCs w:val="1"/>
                <w:color w:val="auto"/>
              </w:rPr>
              <w:t>September 30,</w:t>
            </w:r>
          </w:p>
        </w:tc>
        <w:tc>
          <w:tcPr>
            <w:tcW w:w="1360" w:type="dxa"/>
            <w:vAlign w:val="bottom"/>
          </w:tcPr>
          <w:p>
            <w:pPr>
              <w:jc w:val="right"/>
              <w:ind w:right="419"/>
              <w:spacing w:after="0"/>
              <w:rPr>
                <w:sz w:val="20"/>
                <w:szCs w:val="20"/>
                <w:color w:val="auto"/>
              </w:rPr>
            </w:pPr>
            <w:r>
              <w:rPr>
                <w:rFonts w:ascii="Arial" w:cs="Arial" w:eastAsia="Arial" w:hAnsi="Arial"/>
                <w:sz w:val="10"/>
                <w:szCs w:val="10"/>
                <w:b w:val="1"/>
                <w:bCs w:val="1"/>
                <w:color w:val="auto"/>
              </w:rPr>
              <w:t>June 30,</w:t>
            </w:r>
          </w:p>
        </w:tc>
        <w:tc>
          <w:tcPr>
            <w:tcW w:w="1000" w:type="dxa"/>
            <w:vAlign w:val="bottom"/>
          </w:tcPr>
          <w:p>
            <w:pPr>
              <w:jc w:val="right"/>
              <w:ind w:right="242"/>
              <w:spacing w:after="0"/>
              <w:rPr>
                <w:sz w:val="20"/>
                <w:szCs w:val="20"/>
                <w:color w:val="auto"/>
              </w:rPr>
            </w:pPr>
            <w:r>
              <w:rPr>
                <w:rFonts w:ascii="Arial" w:cs="Arial" w:eastAsia="Arial" w:hAnsi="Arial"/>
                <w:sz w:val="10"/>
                <w:szCs w:val="10"/>
                <w:b w:val="1"/>
                <w:bCs w:val="1"/>
                <w:color w:val="auto"/>
              </w:rPr>
              <w:t>March 31,</w:t>
            </w:r>
          </w:p>
        </w:tc>
      </w:tr>
      <w:tr>
        <w:trPr>
          <w:trHeight w:val="231"/>
        </w:trPr>
        <w:tc>
          <w:tcPr>
            <w:tcW w:w="238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3"/>
                <w:szCs w:val="13"/>
                <w:b w:val="1"/>
                <w:bCs w:val="1"/>
                <w:color w:val="auto"/>
                <w:w w:val="89"/>
              </w:rPr>
              <w:t>2019</w:t>
            </w:r>
          </w:p>
        </w:tc>
        <w:tc>
          <w:tcPr>
            <w:tcW w:w="98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3"/>
                <w:szCs w:val="13"/>
                <w:b w:val="1"/>
                <w:bCs w:val="1"/>
                <w:color w:val="auto"/>
                <w:w w:val="89"/>
              </w:rPr>
              <w:t>2018</w:t>
            </w:r>
          </w:p>
        </w:tc>
        <w:tc>
          <w:tcPr>
            <w:tcW w:w="1000" w:type="dxa"/>
            <w:vAlign w:val="bottom"/>
            <w:tcBorders>
              <w:top w:val="single" w:sz="8" w:color="auto"/>
              <w:bottom w:val="single" w:sz="8" w:color="auto"/>
            </w:tcBorders>
          </w:tcPr>
          <w:p>
            <w:pPr>
              <w:spacing w:after="0"/>
              <w:rPr>
                <w:sz w:val="20"/>
                <w:szCs w:val="20"/>
                <w:color w:val="auto"/>
              </w:rPr>
            </w:pPr>
          </w:p>
        </w:tc>
      </w:tr>
      <w:tr>
        <w:trPr>
          <w:trHeight w:val="246"/>
        </w:trPr>
        <w:tc>
          <w:tcPr>
            <w:tcW w:w="2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Law firm customers</w:t>
            </w:r>
          </w:p>
        </w:tc>
        <w:tc>
          <w:tcPr>
            <w:tcW w:w="1140" w:type="dxa"/>
            <w:vAlign w:val="bottom"/>
            <w:shd w:val="clear" w:color="auto" w:fill="CCEEFF"/>
          </w:tcPr>
          <w:p>
            <w:pPr>
              <w:jc w:val="right"/>
              <w:ind w:right="162"/>
              <w:spacing w:after="0"/>
              <w:rPr>
                <w:sz w:val="20"/>
                <w:szCs w:val="20"/>
                <w:color w:val="auto"/>
              </w:rPr>
            </w:pPr>
            <w:r>
              <w:rPr>
                <w:rFonts w:ascii="Arial" w:cs="Arial" w:eastAsia="Arial" w:hAnsi="Arial"/>
                <w:sz w:val="13"/>
                <w:szCs w:val="13"/>
                <w:color w:val="auto"/>
              </w:rPr>
              <w:t>10,971</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10,781</w:t>
            </w: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10,631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10,485</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62"/>
              <w:spacing w:after="0"/>
              <w:rPr>
                <w:sz w:val="20"/>
                <w:szCs w:val="20"/>
                <w:color w:val="auto"/>
              </w:rPr>
            </w:pPr>
            <w:r>
              <w:rPr>
                <w:rFonts w:ascii="Arial" w:cs="Arial" w:eastAsia="Arial" w:hAnsi="Arial"/>
                <w:sz w:val="13"/>
                <w:szCs w:val="13"/>
                <w:color w:val="auto"/>
              </w:rPr>
              <w:t>10,279</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10,173</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rPr>
              <w:t>10,001</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9,706</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Components of Results of Operations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Revenue</w:t>
      </w:r>
    </w:p>
    <w:p>
      <w:pPr>
        <w:spacing w:after="0" w:line="103"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color w:val="auto"/>
        </w:rPr>
        <w:t>We charge our customers on a subscription basis for our core solutions and certain of our Value+ services. Our subscription fees are designed to scale to the size of our customers’ businesses. We recognize subscription revenue over time on a straight-line basis over the contract term beginning on the date that our service is made available to the customer. We generally invoice our customers for subscription services in monthly or annual installments, typically in advance of the subscription period. Revenue from subscription services is impacted by a number of factors, including the change in the number and type of our customers, the size and needs of our customers’ businesses, our customer renewal rates, pricing for our solutions, and the level of adoption of our Value+ subscription services by new and existing customers.</w:t>
      </w:r>
    </w:p>
    <w:p>
      <w:pPr>
        <w:spacing w:after="0" w:line="114" w:lineRule="exact"/>
        <w:rPr>
          <w:sz w:val="20"/>
          <w:szCs w:val="20"/>
          <w:color w:val="auto"/>
        </w:rPr>
      </w:pPr>
    </w:p>
    <w:p>
      <w:pPr>
        <w:jc w:val="both"/>
        <w:ind w:firstLine="597"/>
        <w:spacing w:after="0" w:line="268" w:lineRule="auto"/>
        <w:rPr>
          <w:sz w:val="20"/>
          <w:szCs w:val="20"/>
          <w:color w:val="auto"/>
        </w:rPr>
      </w:pPr>
      <w:r>
        <w:rPr>
          <w:rFonts w:ascii="Arial" w:cs="Arial" w:eastAsia="Arial" w:hAnsi="Arial"/>
          <w:sz w:val="16"/>
          <w:szCs w:val="16"/>
          <w:color w:val="auto"/>
        </w:rPr>
        <w:t>We also charge our customers usage-based fees for using certain Value+ services. Certain of the usage-based fees are paid by either our customers or clients of our customers. Usage-based fees are charged on a flat fee per transaction basis with no minimum usage commitments. We recognize revenue for usage-based services in the period the service is rendered. We generally invoice our customers for usage-based services on a monthly basis for services rendered in the preceding month. Revenue from usage-based services is impacted by a number of factors, including the number of new and existing customers that adopt and utilize our Value+ services, the size and needs of our customers, and our customer renewal rates.</w:t>
      </w:r>
    </w:p>
    <w:p>
      <w:pPr>
        <w:spacing w:after="0" w:line="129"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We experience limited seasonality in our Value+ services revenue, primarily with respect to certain leasing-related services we provide to our property management customers, including our tenant screening services and new tenant applications which impact electronic payment services revenue. Our property management customers historically have processed fewer applications for new tenants during the fourth quarter. As a result of this seasonal decline in activity, we have typically experienced overall slower sequential revenue growth or a sequential decline in revenue in the fourth quarter of each of our most recent fiscal years. We expect this seasonality to continue in the foreseeable future. .</w:t>
      </w:r>
    </w:p>
    <w:p>
      <w:pPr>
        <w:spacing w:after="0" w:line="143"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We offer assistance to our customers with on-boarding to our core solutions, as well as website design services. We generally invoice our customers for these other services in advance of the services being completed. We recognize revenue for these other services upon completion of the related service. We generate revenue from RentLinx, WegoWise, and Dynasty stand-alone customers by providing services outside of our property management core solution platform. Revenue derived from customers using these services is recorded in Other revenue.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878" w:right="239" w:bottom="1440" w:gutter="0" w:footer="0" w:header="0"/>
        </w:sectPr>
      </w:pPr>
    </w:p>
    <w:bookmarkStart w:id="42" w:name="page43"/>
    <w:bookmarkEnd w:id="42"/>
    <w:p>
      <w:pPr>
        <w:ind w:left="600"/>
        <w:spacing w:after="0"/>
        <w:rPr>
          <w:sz w:val="20"/>
          <w:szCs w:val="20"/>
          <w:color w:val="auto"/>
        </w:rPr>
      </w:pPr>
      <w:r>
        <w:rPr>
          <w:rFonts w:ascii="Arial" w:cs="Arial" w:eastAsia="Arial" w:hAnsi="Arial"/>
          <w:sz w:val="17"/>
          <w:szCs w:val="17"/>
          <w:b w:val="1"/>
          <w:bCs w:val="1"/>
          <w:i w:val="1"/>
          <w:iCs w:val="1"/>
          <w:color w:val="auto"/>
        </w:rPr>
        <w:t>Costs and Operating Expenses</w:t>
      </w:r>
    </w:p>
    <w:p>
      <w:pPr>
        <w:spacing w:after="0" w:line="103" w:lineRule="exact"/>
        <w:rPr>
          <w:sz w:val="20"/>
          <w:szCs w:val="20"/>
          <w:color w:val="auto"/>
        </w:rPr>
      </w:pPr>
    </w:p>
    <w:p>
      <w:pPr>
        <w:jc w:val="both"/>
        <w:ind w:firstLine="597"/>
        <w:spacing w:after="0" w:line="285" w:lineRule="auto"/>
        <w:rPr>
          <w:sz w:val="20"/>
          <w:szCs w:val="20"/>
          <w:color w:val="auto"/>
        </w:rPr>
      </w:pPr>
      <w:r>
        <w:rPr>
          <w:rFonts w:ascii="Arial" w:cs="Arial" w:eastAsia="Arial" w:hAnsi="Arial"/>
          <w:sz w:val="15"/>
          <w:szCs w:val="15"/>
          <w:i w:val="1"/>
          <w:iCs w:val="1"/>
          <w:color w:val="auto"/>
        </w:rPr>
        <w:t>Cost of Revenue</w:t>
      </w:r>
      <w:r>
        <w:rPr>
          <w:rFonts w:ascii="Arial" w:cs="Arial" w:eastAsia="Arial" w:hAnsi="Arial"/>
          <w:sz w:val="15"/>
          <w:szCs w:val="15"/>
          <w:color w:val="auto"/>
        </w:rPr>
        <w:t>. Cost of revenue consists of fees paid to third-party service providers associated with delivering certain of our Value+ services (including legal</w:t>
      </w:r>
      <w:r>
        <w:rPr>
          <w:rFonts w:ascii="Arial" w:cs="Arial" w:eastAsia="Arial" w:hAnsi="Arial"/>
          <w:sz w:val="15"/>
          <w:szCs w:val="15"/>
          <w:i w:val="1"/>
          <w:iCs w:val="1"/>
          <w:color w:val="auto"/>
        </w:rPr>
        <w:t xml:space="preserve"> </w:t>
      </w:r>
      <w:r>
        <w:rPr>
          <w:rFonts w:ascii="Arial" w:cs="Arial" w:eastAsia="Arial" w:hAnsi="Arial"/>
          <w:sz w:val="15"/>
          <w:szCs w:val="15"/>
          <w:color w:val="auto"/>
        </w:rPr>
        <w:t>fees and costs associated with the delivery and provision of those services, as well as loss reserves and other costs associated with our legal liability to landlord insurance services), personnel-related costs (including salaries, incentive-based compensation, benefits, and stock-based compensation) for our employees focused on customer service and the support of our operations, platform infrastructure costs (such as data center operations and hosting-related costs), payment processing fees and allocated shared and other costs. Cost of revenue excludes depreciation of property and equipment, and amortization of capitalized software development costs and intangible assets. We intend to continue to invest in customer service and support, and the expansion of our technology infrastructure as we grow the number of our customers, enter new markets, and offer additional Value+ services. These investments could impact cost of revenue both in absolute dollars and as an overall percentage of revenue.</w:t>
      </w:r>
    </w:p>
    <w:p>
      <w:pPr>
        <w:spacing w:after="0" w:line="59"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Sales and marketing expense consists of personnel-related costs (including salaries, sales commissions, incentive-based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and stock-based compensation) for our employees focused on sales and marketing, costs associated with sales and marketing activities, and allocated shared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services by our new and existing customers are deferred and then amortized on a straight-line basis over a period of benefit, that we have determined to be three years. We focus our sales and marketing efforts on generating awareness of our software solutions, creating sales leads, establishing and promoting our brands, and cultivating an educated community of successful and vocal customers. We intend to continue to invest in sales and marketing to increase our customer base in new and existing markets, and increase the adoption and utilization of Value+ services by our new and existing customers.</w:t>
      </w:r>
    </w:p>
    <w:p>
      <w:pPr>
        <w:spacing w:after="0" w:line="172"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i w:val="1"/>
          <w:iCs w:val="1"/>
          <w:color w:val="auto"/>
        </w:rPr>
        <w:t xml:space="preserve">Research and Product Development. </w:t>
      </w:r>
      <w:r>
        <w:rPr>
          <w:rFonts w:ascii="Arial" w:cs="Arial" w:eastAsia="Arial" w:hAnsi="Arial"/>
          <w:sz w:val="16"/>
          <w:szCs w:val="16"/>
          <w:color w:val="auto"/>
        </w:rPr>
        <w:t>Research and product development expense consists of personnel-related costs (including salaries, incentive-based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benefits, and stock-based compensation) for our employees focused on research and product development, fees for third-party development resources, and allocated shared costs. Our research and product development efforts are focused on enhancing functionality and the ease of use of our existing software solutions by adding new core functionality, Value+ services and other improvements, as well as developing new products and services for new and existing markets. We capitalize our software development costs which meet the criteria for capitalization. Amortization of capitalized software development costs is included in depreciation and amortization expense. We intend to continue to invest in research and product development as we continue to introduce new core functionality, roll out new Value+ services, develop new products and services, and expand into adjacent markets, and new verticals.</w:t>
      </w:r>
    </w:p>
    <w:p>
      <w:pPr>
        <w:spacing w:after="0" w:line="70" w:lineRule="exact"/>
        <w:rPr>
          <w:sz w:val="20"/>
          <w:szCs w:val="20"/>
          <w:color w:val="auto"/>
        </w:rPr>
      </w:pPr>
    </w:p>
    <w:p>
      <w:pPr>
        <w:jc w:val="both"/>
        <w:ind w:firstLine="597"/>
        <w:spacing w:after="0" w:line="268"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 consists of personnel-related costs (including salaries, a majority of total incentive-based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benefits, and stock-based compensation) for employees in our executive, finance, information technology, human resources, corporate development, legal, and administrative organizations. In addition, general and administrative expense includes fees for third-party professional services (including audit, legal, tax, and consulting services), transaction costs related to business combinations, other corporate expenses, and allocated shared costs. We intend to continue to incur incremental general and administrative costs associated with supporting the growth of our business.</w:t>
      </w:r>
    </w:p>
    <w:p>
      <w:pPr>
        <w:spacing w:after="0" w:line="67" w:lineRule="exact"/>
        <w:rPr>
          <w:sz w:val="20"/>
          <w:szCs w:val="20"/>
          <w:color w:val="auto"/>
        </w:rPr>
      </w:pPr>
    </w:p>
    <w:p>
      <w:pPr>
        <w:jc w:val="both"/>
        <w:ind w:firstLine="597"/>
        <w:spacing w:after="0" w:line="285" w:lineRule="auto"/>
        <w:rPr>
          <w:sz w:val="20"/>
          <w:szCs w:val="20"/>
          <w:color w:val="auto"/>
        </w:rPr>
      </w:pPr>
      <w:r>
        <w:rPr>
          <w:rFonts w:ascii="Arial" w:cs="Arial" w:eastAsia="Arial" w:hAnsi="Arial"/>
          <w:sz w:val="15"/>
          <w:szCs w:val="15"/>
          <w:i w:val="1"/>
          <w:iCs w:val="1"/>
          <w:color w:val="auto"/>
        </w:rPr>
        <w:t xml:space="preserve">Depreciation and Amortization. </w:t>
      </w:r>
      <w:r>
        <w:rPr>
          <w:rFonts w:ascii="Arial" w:cs="Arial" w:eastAsia="Arial" w:hAnsi="Arial"/>
          <w:sz w:val="15"/>
          <w:szCs w:val="15"/>
          <w:color w:val="auto"/>
        </w:rPr>
        <w:t>Depreciation and amortization expense includes depreciation of property and equipment, amortization of capitalized software</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 As we continue to invest in our research and product development organization and the development or acquisition of new technology, we expect to have increased capitalized software development costs and incremental amortization. Further, we may incur additional amortization expense to the extent we enter into additional arrangements to acquire or invest in new technologies or markets adjacent to those we serve today or entirely new verticals. Finally, as we expand our facilities footprint and increase our base of employees, we expect to have increased property and equipment expenditures and incremental depreciation expense.</w:t>
      </w:r>
    </w:p>
    <w:p>
      <w:pPr>
        <w:spacing w:after="0" w:line="59" w:lineRule="exact"/>
        <w:rPr>
          <w:sz w:val="20"/>
          <w:szCs w:val="20"/>
          <w:color w:val="auto"/>
        </w:rPr>
      </w:pPr>
    </w:p>
    <w:p>
      <w:pPr>
        <w:jc w:val="both"/>
        <w:ind w:firstLine="597"/>
        <w:spacing w:after="0" w:line="304" w:lineRule="auto"/>
        <w:rPr>
          <w:sz w:val="20"/>
          <w:szCs w:val="20"/>
          <w:color w:val="auto"/>
        </w:rPr>
      </w:pPr>
      <w:r>
        <w:rPr>
          <w:rFonts w:ascii="Arial" w:cs="Arial" w:eastAsia="Arial" w:hAnsi="Arial"/>
          <w:sz w:val="15"/>
          <w:szCs w:val="15"/>
          <w:i w:val="1"/>
          <w:iCs w:val="1"/>
          <w:color w:val="auto"/>
        </w:rPr>
        <w:t>Interest Income (Expense), Net</w:t>
      </w:r>
      <w:r>
        <w:rPr>
          <w:rFonts w:ascii="Arial" w:cs="Arial" w:eastAsia="Arial" w:hAnsi="Arial"/>
          <w:sz w:val="15"/>
          <w:szCs w:val="15"/>
          <w:color w:val="auto"/>
        </w:rPr>
        <w:t>. Interest income includes interest earned on investment securities, amortization and accretion of the premium and discounts paid</w:t>
      </w:r>
      <w:r>
        <w:rPr>
          <w:rFonts w:ascii="Arial" w:cs="Arial" w:eastAsia="Arial" w:hAnsi="Arial"/>
          <w:sz w:val="15"/>
          <w:szCs w:val="15"/>
          <w:i w:val="1"/>
          <w:iCs w:val="1"/>
          <w:color w:val="auto"/>
        </w:rPr>
        <w:t xml:space="preserve"> </w:t>
      </w:r>
      <w:r>
        <w:rPr>
          <w:rFonts w:ascii="Arial" w:cs="Arial" w:eastAsia="Arial" w:hAnsi="Arial"/>
          <w:sz w:val="15"/>
          <w:szCs w:val="15"/>
          <w:color w:val="auto"/>
        </w:rPr>
        <w:t>from the purchase of investment securities, and interest earned on notes receivable and on cash deposited in our bank accounts. Interest expense includes interest paid on outstanding borrowings under the credit agreement with Wells Fargo, as administrative agent, and the lenders that are parties thereto, ("the Credit Agreement").</w:t>
      </w:r>
    </w:p>
    <w:p>
      <w:pPr>
        <w:spacing w:after="0" w:line="41"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i w:val="1"/>
          <w:iCs w:val="1"/>
          <w:color w:val="auto"/>
        </w:rPr>
        <w:t xml:space="preserve">Provision for (Benefit from) Income Taxes. </w:t>
      </w:r>
      <w:r>
        <w:rPr>
          <w:rFonts w:ascii="Arial" w:cs="Arial" w:eastAsia="Arial" w:hAnsi="Arial"/>
          <w:sz w:val="17"/>
          <w:szCs w:val="17"/>
          <w:color w:val="auto"/>
        </w:rPr>
        <w:t>Provision for (benefit from) income taxes consists of federal and state income taxes in the United States and a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related to the release of the valuation allowance for our deferred tax assets.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774"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Results of Operations for the Years Ended December 31, 2019 and 2018</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our results of operations for the periods presented in dollars (in thousands) and as a percentage of revenue: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3"/>
                <w:szCs w:val="13"/>
                <w:b w:val="1"/>
                <w:bCs w:val="1"/>
                <w:color w:val="auto"/>
                <w:w w:val="98"/>
              </w:rPr>
              <w:t>Year Ended December 31,</w:t>
            </w:r>
          </w:p>
        </w:tc>
        <w:tc>
          <w:tcPr>
            <w:tcW w:w="740" w:type="dxa"/>
            <w:vAlign w:val="bottom"/>
            <w:tcBorders>
              <w:bottom w:val="single" w:sz="8" w:color="auto"/>
            </w:tcBorders>
          </w:tcPr>
          <w:p>
            <w:pPr>
              <w:spacing w:after="0"/>
              <w:rPr>
                <w:sz w:val="15"/>
                <w:szCs w:val="15"/>
                <w:color w:val="auto"/>
              </w:rPr>
            </w:pPr>
          </w:p>
        </w:tc>
      </w:tr>
      <w:tr>
        <w:trPr>
          <w:trHeight w:val="241"/>
        </w:trPr>
        <w:tc>
          <w:tcPr>
            <w:tcW w:w="7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2019</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2018</w:t>
            </w:r>
          </w:p>
        </w:tc>
        <w:tc>
          <w:tcPr>
            <w:tcW w:w="740" w:type="dxa"/>
            <w:vAlign w:val="bottom"/>
            <w:tcBorders>
              <w:bottom w:val="single" w:sz="8" w:color="auto"/>
            </w:tcBorders>
          </w:tcPr>
          <w:p>
            <w:pPr>
              <w:spacing w:after="0"/>
              <w:rPr>
                <w:sz w:val="20"/>
                <w:szCs w:val="20"/>
                <w:color w:val="auto"/>
              </w:rPr>
            </w:pPr>
          </w:p>
        </w:tc>
      </w:tr>
      <w:tr>
        <w:trPr>
          <w:trHeight w:val="238"/>
        </w:trPr>
        <w:tc>
          <w:tcPr>
            <w:tcW w:w="7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rPr>
              <w:t>Amount</w:t>
            </w:r>
          </w:p>
        </w:tc>
        <w:tc>
          <w:tcPr>
            <w:tcW w:w="800" w:type="dxa"/>
            <w:vAlign w:val="bottom"/>
          </w:tcPr>
          <w:p>
            <w:pPr>
              <w:jc w:val="right"/>
              <w:ind w:right="35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3"/>
                <w:szCs w:val="13"/>
                <w:b w:val="1"/>
                <w:bCs w:val="1"/>
                <w:color w:val="auto"/>
              </w:rPr>
              <w:t>Amount</w:t>
            </w:r>
          </w:p>
        </w:tc>
        <w:tc>
          <w:tcPr>
            <w:tcW w:w="740" w:type="dxa"/>
            <w:vAlign w:val="bottom"/>
          </w:tcPr>
          <w:p>
            <w:pPr>
              <w:jc w:val="right"/>
              <w:ind w:right="338"/>
              <w:spacing w:after="0"/>
              <w:rPr>
                <w:sz w:val="20"/>
                <w:szCs w:val="20"/>
                <w:color w:val="auto"/>
              </w:rPr>
            </w:pPr>
            <w:r>
              <w:rPr>
                <w:rFonts w:ascii="Arial" w:cs="Arial" w:eastAsia="Arial" w:hAnsi="Arial"/>
                <w:sz w:val="13"/>
                <w:szCs w:val="13"/>
                <w:b w:val="1"/>
                <w:bCs w:val="1"/>
                <w:color w:val="auto"/>
              </w:rPr>
              <w:t>%</w:t>
            </w:r>
          </w:p>
        </w:tc>
      </w:tr>
      <w:tr>
        <w:trPr>
          <w:trHeight w:val="212"/>
        </w:trPr>
        <w:tc>
          <w:tcPr>
            <w:tcW w:w="7040" w:type="dxa"/>
            <w:vAlign w:val="bottom"/>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37"/>
        </w:trPr>
        <w:tc>
          <w:tcPr>
            <w:tcW w:w="7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9"/>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256,012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190,071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6"/>
        </w:trPr>
        <w:tc>
          <w:tcPr>
            <w:tcW w:w="7040" w:type="dxa"/>
            <w:vAlign w:val="bottom"/>
          </w:tcPr>
          <w:p>
            <w:pPr>
              <w:ind w:left="20"/>
              <w:spacing w:after="0"/>
              <w:rPr>
                <w:sz w:val="20"/>
                <w:szCs w:val="20"/>
                <w:color w:val="auto"/>
              </w:rPr>
            </w:pPr>
            <w:r>
              <w:rPr>
                <w:rFonts w:ascii="Arial" w:cs="Arial" w:eastAsia="Arial" w:hAnsi="Arial"/>
                <w:sz w:val="15"/>
                <w:szCs w:val="15"/>
                <w:color w:val="auto"/>
              </w:rPr>
              <w:t>Costs and operating expenses: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3"/>
        </w:trPr>
        <w:tc>
          <w:tcPr>
            <w:tcW w:w="7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9"/>
        </w:trPr>
        <w:tc>
          <w:tcPr>
            <w:tcW w:w="70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Cost of revenue (exclusive of depreciation and amortization)</w:t>
            </w:r>
            <w:r>
              <w:rPr>
                <w:rFonts w:ascii="Arial" w:cs="Arial" w:eastAsia="Arial" w:hAnsi="Arial"/>
                <w:sz w:val="19"/>
                <w:szCs w:val="19"/>
                <w:color w:val="auto"/>
                <w:vertAlign w:val="superscript"/>
              </w:rPr>
              <w:t>(1)</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101,642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39.7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73,549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38.7</w:t>
            </w:r>
          </w:p>
        </w:tc>
      </w:tr>
      <w:tr>
        <w:trPr>
          <w:trHeight w:val="249"/>
        </w:trPr>
        <w:tc>
          <w:tcPr>
            <w:tcW w:w="7040" w:type="dxa"/>
            <w:vAlign w:val="bottom"/>
          </w:tcPr>
          <w:p>
            <w:pPr>
              <w:ind w:left="340"/>
              <w:spacing w:after="0"/>
              <w:rPr>
                <w:sz w:val="20"/>
                <w:szCs w:val="20"/>
                <w:color w:val="auto"/>
              </w:rPr>
            </w:pPr>
            <w:r>
              <w:rPr>
                <w:rFonts w:ascii="Arial" w:cs="Arial" w:eastAsia="Arial" w:hAnsi="Arial"/>
                <w:sz w:val="15"/>
                <w:szCs w:val="15"/>
                <w:color w:val="auto"/>
              </w:rPr>
              <w:t>Sales and marketing</w:t>
            </w:r>
            <w:r>
              <w:rPr>
                <w:rFonts w:ascii="Arial" w:cs="Arial" w:eastAsia="Arial" w:hAnsi="Arial"/>
                <w:sz w:val="19"/>
                <w:szCs w:val="19"/>
                <w:color w:val="auto"/>
                <w:vertAlign w:val="superscript"/>
              </w:rPr>
              <w:t>(1)</w:t>
            </w:r>
          </w:p>
        </w:tc>
        <w:tc>
          <w:tcPr>
            <w:tcW w:w="20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7"/>
                <w:szCs w:val="17"/>
                <w:color w:val="auto"/>
              </w:rPr>
              <w:t>51,528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9"/>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7"/>
                <w:szCs w:val="17"/>
                <w:color w:val="auto"/>
              </w:rPr>
              <w:t>33,288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18"/>
              <w:spacing w:after="0"/>
              <w:rPr>
                <w:sz w:val="20"/>
                <w:szCs w:val="20"/>
                <w:color w:val="auto"/>
              </w:rPr>
            </w:pPr>
            <w:r>
              <w:rPr>
                <w:rFonts w:ascii="Arial" w:cs="Arial" w:eastAsia="Arial" w:hAnsi="Arial"/>
                <w:sz w:val="17"/>
                <w:szCs w:val="17"/>
                <w:color w:val="auto"/>
              </w:rPr>
              <w:t>17.5</w:t>
            </w:r>
          </w:p>
        </w:tc>
      </w:tr>
      <w:tr>
        <w:trPr>
          <w:trHeight w:val="249"/>
        </w:trPr>
        <w:tc>
          <w:tcPr>
            <w:tcW w:w="70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Research and product development</w:t>
            </w:r>
            <w:r>
              <w:rPr>
                <w:rFonts w:ascii="Arial" w:cs="Arial" w:eastAsia="Arial" w:hAnsi="Arial"/>
                <w:sz w:val="19"/>
                <w:szCs w:val="19"/>
                <w:color w:val="auto"/>
                <w:vertAlign w:val="superscript"/>
              </w:rPr>
              <w:t>(1)</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39,508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24,111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12.7</w:t>
            </w:r>
          </w:p>
        </w:tc>
      </w:tr>
      <w:tr>
        <w:trPr>
          <w:trHeight w:val="249"/>
        </w:trPr>
        <w:tc>
          <w:tcPr>
            <w:tcW w:w="7040" w:type="dxa"/>
            <w:vAlign w:val="bottom"/>
          </w:tcPr>
          <w:p>
            <w:pPr>
              <w:ind w:left="340"/>
              <w:spacing w:after="0"/>
              <w:rPr>
                <w:sz w:val="20"/>
                <w:szCs w:val="20"/>
                <w:color w:val="auto"/>
              </w:rPr>
            </w:pPr>
            <w:r>
              <w:rPr>
                <w:rFonts w:ascii="Arial" w:cs="Arial" w:eastAsia="Arial" w:hAnsi="Arial"/>
                <w:sz w:val="15"/>
                <w:szCs w:val="15"/>
                <w:color w:val="auto"/>
              </w:rPr>
              <w:t>General and administrative</w:t>
            </w:r>
            <w:r>
              <w:rPr>
                <w:rFonts w:ascii="Arial" w:cs="Arial" w:eastAsia="Arial" w:hAnsi="Arial"/>
                <w:sz w:val="19"/>
                <w:szCs w:val="19"/>
                <w:color w:val="auto"/>
                <w:vertAlign w:val="superscript"/>
              </w:rPr>
              <w:t>(1)</w:t>
            </w:r>
          </w:p>
        </w:tc>
        <w:tc>
          <w:tcPr>
            <w:tcW w:w="20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7"/>
                <w:szCs w:val="17"/>
                <w:color w:val="auto"/>
              </w:rPr>
              <w:t>34,478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39"/>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7"/>
                <w:szCs w:val="17"/>
                <w:color w:val="auto"/>
              </w:rPr>
              <w:t>24,891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18"/>
              <w:spacing w:after="0"/>
              <w:rPr>
                <w:sz w:val="20"/>
                <w:szCs w:val="20"/>
                <w:color w:val="auto"/>
              </w:rPr>
            </w:pPr>
            <w:r>
              <w:rPr>
                <w:rFonts w:ascii="Arial" w:cs="Arial" w:eastAsia="Arial" w:hAnsi="Arial"/>
                <w:sz w:val="17"/>
                <w:szCs w:val="17"/>
                <w:color w:val="auto"/>
              </w:rPr>
              <w:t>13.1</w:t>
            </w:r>
          </w:p>
        </w:tc>
      </w:tr>
      <w:tr>
        <w:trPr>
          <w:trHeight w:val="249"/>
        </w:trPr>
        <w:tc>
          <w:tcPr>
            <w:tcW w:w="7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22,395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14,576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7.7</w:t>
            </w:r>
          </w:p>
        </w:tc>
      </w:tr>
      <w:tr>
        <w:trPr>
          <w:trHeight w:val="217"/>
        </w:trPr>
        <w:tc>
          <w:tcPr>
            <w:tcW w:w="7040" w:type="dxa"/>
            <w:vAlign w:val="bottom"/>
          </w:tcPr>
          <w:p>
            <w:pPr>
              <w:ind w:left="640"/>
              <w:spacing w:after="0"/>
              <w:rPr>
                <w:sz w:val="20"/>
                <w:szCs w:val="20"/>
                <w:color w:val="auto"/>
              </w:rPr>
            </w:pPr>
            <w:r>
              <w:rPr>
                <w:rFonts w:ascii="Arial" w:cs="Arial" w:eastAsia="Arial" w:hAnsi="Arial"/>
                <w:sz w:val="15"/>
                <w:szCs w:val="15"/>
                <w:color w:val="auto"/>
              </w:rPr>
              <w:t>Total costs and operating expenses</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249,551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39"/>
              <w:spacing w:after="0"/>
              <w:rPr>
                <w:sz w:val="20"/>
                <w:szCs w:val="20"/>
                <w:color w:val="auto"/>
              </w:rPr>
            </w:pPr>
            <w:r>
              <w:rPr>
                <w:rFonts w:ascii="Arial" w:cs="Arial" w:eastAsia="Arial" w:hAnsi="Arial"/>
                <w:sz w:val="17"/>
                <w:szCs w:val="17"/>
                <w:color w:val="auto"/>
              </w:rPr>
              <w:t>97.5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170,415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18"/>
              <w:spacing w:after="0"/>
              <w:rPr>
                <w:sz w:val="20"/>
                <w:szCs w:val="20"/>
                <w:color w:val="auto"/>
              </w:rPr>
            </w:pPr>
            <w:r>
              <w:rPr>
                <w:rFonts w:ascii="Arial" w:cs="Arial" w:eastAsia="Arial" w:hAnsi="Arial"/>
                <w:sz w:val="17"/>
                <w:szCs w:val="17"/>
                <w:color w:val="auto"/>
              </w:rPr>
              <w:t>89.7</w:t>
            </w:r>
          </w:p>
        </w:tc>
      </w:tr>
      <w:tr>
        <w:trPr>
          <w:trHeight w:val="25"/>
        </w:trPr>
        <w:tc>
          <w:tcPr>
            <w:tcW w:w="7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r>
      <w:tr>
        <w:trPr>
          <w:trHeight w:val="221"/>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operations</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6,461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19,656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10.3</w:t>
            </w:r>
          </w:p>
        </w:tc>
      </w:tr>
      <w:tr>
        <w:trPr>
          <w:trHeight w:val="224"/>
        </w:trPr>
        <w:tc>
          <w:tcPr>
            <w:tcW w:w="7040" w:type="dxa"/>
            <w:vAlign w:val="bottom"/>
          </w:tcPr>
          <w:p>
            <w:pPr>
              <w:ind w:left="20"/>
              <w:spacing w:after="0"/>
              <w:rPr>
                <w:sz w:val="20"/>
                <w:szCs w:val="20"/>
                <w:color w:val="auto"/>
              </w:rPr>
            </w:pPr>
            <w:r>
              <w:rPr>
                <w:rFonts w:ascii="Arial" w:cs="Arial" w:eastAsia="Arial" w:hAnsi="Arial"/>
                <w:sz w:val="15"/>
                <w:szCs w:val="15"/>
                <w:color w:val="auto"/>
              </w:rPr>
              <w:t>Other income (expense), net</w:t>
            </w:r>
          </w:p>
        </w:tc>
        <w:tc>
          <w:tcPr>
            <w:tcW w:w="2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118"/>
              <w:spacing w:after="0"/>
              <w:rPr>
                <w:sz w:val="20"/>
                <w:szCs w:val="20"/>
                <w:color w:val="auto"/>
              </w:rPr>
            </w:pPr>
            <w:r>
              <w:rPr>
                <w:rFonts w:ascii="Arial" w:cs="Arial" w:eastAsia="Arial" w:hAnsi="Arial"/>
                <w:sz w:val="17"/>
                <w:szCs w:val="17"/>
                <w:color w:val="auto"/>
              </w:rPr>
              <w:t>—</w:t>
            </w:r>
          </w:p>
        </w:tc>
      </w:tr>
      <w:tr>
        <w:trPr>
          <w:trHeight w:val="25"/>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9"/>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0.4</w:t>
            </w:r>
          </w:p>
        </w:tc>
      </w:tr>
      <w:tr>
        <w:trPr>
          <w:trHeight w:val="217"/>
        </w:trPr>
        <w:tc>
          <w:tcPr>
            <w:tcW w:w="7040" w:type="dxa"/>
            <w:vAlign w:val="bottom"/>
          </w:tcPr>
          <w:p>
            <w:pPr>
              <w:ind w:left="340"/>
              <w:spacing w:after="0"/>
              <w:rPr>
                <w:sz w:val="20"/>
                <w:szCs w:val="20"/>
                <w:color w:val="auto"/>
              </w:rPr>
            </w:pPr>
            <w:r>
              <w:rPr>
                <w:rFonts w:ascii="Arial" w:cs="Arial" w:eastAsia="Arial" w:hAnsi="Arial"/>
                <w:sz w:val="15"/>
                <w:szCs w:val="15"/>
                <w:color w:val="auto"/>
              </w:rPr>
              <w:t>Income before provision for (benefit from) income taxes</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4,823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39"/>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20,387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18"/>
              <w:spacing w:after="0"/>
              <w:rPr>
                <w:sz w:val="20"/>
                <w:szCs w:val="20"/>
                <w:color w:val="auto"/>
              </w:rPr>
            </w:pPr>
            <w:r>
              <w:rPr>
                <w:rFonts w:ascii="Arial" w:cs="Arial" w:eastAsia="Arial" w:hAnsi="Arial"/>
                <w:sz w:val="17"/>
                <w:szCs w:val="17"/>
                <w:color w:val="auto"/>
              </w:rPr>
              <w:t>10.7</w:t>
            </w:r>
          </w:p>
        </w:tc>
      </w:tr>
      <w:tr>
        <w:trPr>
          <w:trHeight w:val="25"/>
        </w:trPr>
        <w:tc>
          <w:tcPr>
            <w:tcW w:w="7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r>
      <w:tr>
        <w:trPr>
          <w:trHeight w:val="241"/>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(benefit from)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(31,459)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7"/>
                <w:szCs w:val="17"/>
                <w:color w:val="auto"/>
              </w:rPr>
              <w:t>0.2</w:t>
            </w:r>
          </w:p>
        </w:tc>
      </w:tr>
      <w:tr>
        <w:trPr>
          <w:trHeight w:val="235"/>
        </w:trPr>
        <w:tc>
          <w:tcPr>
            <w:tcW w:w="70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color w:val="auto"/>
              </w:rPr>
              <w:t>36,282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14.2 %</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19,967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10.5 %</w:t>
            </w:r>
          </w:p>
        </w:tc>
      </w:tr>
      <w:tr>
        <w:trPr>
          <w:trHeight w:val="20"/>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63" w:lineRule="exact"/>
        <w:rPr>
          <w:sz w:val="20"/>
          <w:szCs w:val="20"/>
          <w:color w:val="auto"/>
        </w:rPr>
      </w:pPr>
    </w:p>
    <w:p>
      <w:pPr>
        <w:ind w:left="540" w:hanging="167"/>
        <w:spacing w:after="0"/>
        <w:tabs>
          <w:tab w:leader="none" w:pos="540" w:val="left"/>
        </w:tabs>
        <w:numPr>
          <w:ilvl w:val="0"/>
          <w:numId w:val="21"/>
        </w:numPr>
        <w:rPr>
          <w:rFonts w:ascii="Arial" w:cs="Arial" w:eastAsia="Arial" w:hAnsi="Arial"/>
          <w:sz w:val="20"/>
          <w:szCs w:val="20"/>
          <w:color w:val="auto"/>
          <w:vertAlign w:val="superscript"/>
        </w:rPr>
      </w:pPr>
      <w:r>
        <w:rPr>
          <w:rFonts w:ascii="Arial" w:cs="Arial" w:eastAsia="Arial" w:hAnsi="Arial"/>
          <w:sz w:val="13"/>
          <w:szCs w:val="13"/>
          <w:color w:val="auto"/>
        </w:rPr>
        <w:t>The following table presents stock-based compensation expense included in each respective expense category: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3"/>
                <w:szCs w:val="13"/>
                <w:b w:val="1"/>
                <w:bCs w:val="1"/>
                <w:color w:val="auto"/>
                <w:w w:val="98"/>
              </w:rPr>
              <w:t>Year Ended December 31,</w:t>
            </w:r>
          </w:p>
        </w:tc>
      </w:tr>
      <w:tr>
        <w:trPr>
          <w:trHeight w:val="241"/>
        </w:trPr>
        <w:tc>
          <w:tcPr>
            <w:tcW w:w="9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2018</w:t>
            </w:r>
          </w:p>
        </w:tc>
      </w:tr>
      <w:tr>
        <w:trPr>
          <w:trHeight w:val="226"/>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Stock-based compensation expense included in costs and operating expenses: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224"/>
        </w:trPr>
        <w:tc>
          <w:tcPr>
            <w:tcW w:w="9260" w:type="dxa"/>
            <w:vAlign w:val="bottom"/>
          </w:tcPr>
          <w:p>
            <w:pPr>
              <w:ind w:left="240"/>
              <w:spacing w:after="0"/>
              <w:rPr>
                <w:sz w:val="20"/>
                <w:szCs w:val="20"/>
                <w:color w:val="auto"/>
              </w:rPr>
            </w:pPr>
            <w:r>
              <w:rPr>
                <w:rFonts w:ascii="Arial" w:cs="Arial" w:eastAsia="Arial" w:hAnsi="Arial"/>
                <w:sz w:val="17"/>
                <w:szCs w:val="17"/>
                <w:color w:val="auto"/>
              </w:rPr>
              <w:t>Cost of revenue (exclusive of depreciation and amortization)</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42"/>
              <w:spacing w:after="0"/>
              <w:rPr>
                <w:sz w:val="20"/>
                <w:szCs w:val="20"/>
                <w:color w:val="auto"/>
              </w:rPr>
            </w:pPr>
            <w:r>
              <w:rPr>
                <w:rFonts w:ascii="Arial" w:cs="Arial" w:eastAsia="Arial" w:hAnsi="Arial"/>
                <w:sz w:val="17"/>
                <w:szCs w:val="17"/>
                <w:color w:val="auto"/>
              </w:rPr>
              <w:t>1,466</w:t>
            </w:r>
          </w:p>
        </w:tc>
        <w:tc>
          <w:tcPr>
            <w:tcW w:w="10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0"/>
              <w:spacing w:after="0"/>
              <w:rPr>
                <w:sz w:val="20"/>
                <w:szCs w:val="20"/>
                <w:color w:val="auto"/>
              </w:rPr>
            </w:pPr>
            <w:r>
              <w:rPr>
                <w:rFonts w:ascii="Arial" w:cs="Arial" w:eastAsia="Arial" w:hAnsi="Arial"/>
                <w:sz w:val="17"/>
                <w:szCs w:val="17"/>
                <w:color w:val="auto"/>
              </w:rPr>
              <w:t>1,103</w:t>
            </w:r>
          </w:p>
        </w:tc>
      </w:tr>
      <w:tr>
        <w:trPr>
          <w:trHeight w:val="25"/>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9"/>
        </w:trPr>
        <w:tc>
          <w:tcPr>
            <w:tcW w:w="9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Sales and marketing</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1,271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1,034</w:t>
            </w:r>
          </w:p>
        </w:tc>
      </w:tr>
      <w:tr>
        <w:trPr>
          <w:trHeight w:val="224"/>
        </w:trPr>
        <w:tc>
          <w:tcPr>
            <w:tcW w:w="9260" w:type="dxa"/>
            <w:vAlign w:val="bottom"/>
          </w:tcPr>
          <w:p>
            <w:pPr>
              <w:ind w:left="240"/>
              <w:spacing w:after="0"/>
              <w:rPr>
                <w:sz w:val="20"/>
                <w:szCs w:val="20"/>
                <w:color w:val="auto"/>
              </w:rPr>
            </w:pPr>
            <w:r>
              <w:rPr>
                <w:rFonts w:ascii="Arial" w:cs="Arial" w:eastAsia="Arial" w:hAnsi="Arial"/>
                <w:sz w:val="17"/>
                <w:szCs w:val="17"/>
                <w:color w:val="auto"/>
              </w:rPr>
              <w:t>Research and product development</w:t>
            </w:r>
          </w:p>
        </w:tc>
        <w:tc>
          <w:tcPr>
            <w:tcW w:w="24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Arial" w:cs="Arial" w:eastAsia="Arial" w:hAnsi="Arial"/>
                <w:sz w:val="17"/>
                <w:szCs w:val="17"/>
                <w:color w:val="auto"/>
              </w:rPr>
              <w:t>1,411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7"/>
                <w:szCs w:val="17"/>
                <w:color w:val="auto"/>
              </w:rPr>
              <w:t>1,079</w:t>
            </w:r>
          </w:p>
        </w:tc>
      </w:tr>
      <w:tr>
        <w:trPr>
          <w:trHeight w:val="25"/>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9"/>
        </w:trPr>
        <w:tc>
          <w:tcPr>
            <w:tcW w:w="9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3,121</w:t>
            </w:r>
          </w:p>
        </w:tc>
      </w:tr>
      <w:tr>
        <w:trPr>
          <w:trHeight w:val="235"/>
        </w:trPr>
        <w:tc>
          <w:tcPr>
            <w:tcW w:w="9260" w:type="dxa"/>
            <w:vAlign w:val="bottom"/>
          </w:tcPr>
          <w:p>
            <w:pPr>
              <w:ind w:left="20"/>
              <w:spacing w:after="0"/>
              <w:rPr>
                <w:sz w:val="20"/>
                <w:szCs w:val="20"/>
                <w:color w:val="auto"/>
              </w:rPr>
            </w:pPr>
            <w:r>
              <w:rPr>
                <w:rFonts w:ascii="Arial" w:cs="Arial" w:eastAsia="Arial" w:hAnsi="Arial"/>
                <w:sz w:val="17"/>
                <w:szCs w:val="17"/>
                <w:color w:val="auto"/>
              </w:rPr>
              <w:t>Total stock-based compensation expense</w:t>
            </w:r>
          </w:p>
        </w:tc>
        <w:tc>
          <w:tcPr>
            <w:tcW w:w="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7"/>
                <w:szCs w:val="17"/>
                <w:color w:val="auto"/>
              </w:rPr>
              <w:t>7,309</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6,337</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919" w:right="239" w:bottom="1440" w:gutter="0" w:footer="0" w:header="0"/>
        </w:sectPr>
      </w:pPr>
    </w:p>
    <w:bookmarkStart w:id="44" w:name="page45"/>
    <w:bookmarkEnd w:id="44"/>
    <w:p>
      <w:pPr>
        <w:ind w:left="600"/>
        <w:spacing w:after="0"/>
        <w:rPr>
          <w:sz w:val="20"/>
          <w:szCs w:val="20"/>
          <w:color w:val="auto"/>
        </w:rPr>
      </w:pPr>
      <w:r>
        <w:rPr>
          <w:rFonts w:ascii="Arial" w:cs="Arial" w:eastAsia="Arial" w:hAnsi="Arial"/>
          <w:sz w:val="17"/>
          <w:szCs w:val="17"/>
          <w:b w:val="1"/>
          <w:bCs w:val="1"/>
          <w:i w:val="1"/>
          <w:iCs w:val="1"/>
          <w:color w:val="auto"/>
        </w:rPr>
        <w:t>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Year Ended December 31,</w:t>
            </w:r>
          </w:p>
        </w:tc>
        <w:tc>
          <w:tcPr>
            <w:tcW w:w="1180" w:type="dxa"/>
            <w:vAlign w:val="bottom"/>
            <w:vMerge w:val="restart"/>
          </w:tcPr>
          <w:p>
            <w:pPr>
              <w:jc w:val="right"/>
              <w:ind w:right="83"/>
              <w:spacing w:after="0"/>
              <w:rPr>
                <w:sz w:val="20"/>
                <w:szCs w:val="20"/>
                <w:color w:val="auto"/>
              </w:rPr>
            </w:pPr>
            <w:r>
              <w:rPr>
                <w:rFonts w:ascii="Arial" w:cs="Arial" w:eastAsia="Arial" w:hAnsi="Arial"/>
                <w:sz w:val="13"/>
                <w:szCs w:val="13"/>
                <w:b w:val="1"/>
                <w:bCs w:val="1"/>
                <w:color w:val="auto"/>
              </w:rPr>
              <w:t>2019 to 2018 %</w:t>
            </w:r>
          </w:p>
        </w:tc>
        <w:tc>
          <w:tcPr>
            <w:tcW w:w="0" w:type="dxa"/>
            <w:vAlign w:val="bottom"/>
          </w:tcPr>
          <w:p>
            <w:pPr>
              <w:spacing w:after="0"/>
              <w:rPr>
                <w:sz w:val="1"/>
                <w:szCs w:val="1"/>
                <w:color w:val="auto"/>
              </w:rPr>
            </w:pPr>
          </w:p>
        </w:tc>
      </w:tr>
      <w:tr>
        <w:trPr>
          <w:trHeight w:val="64"/>
        </w:trPr>
        <w:tc>
          <w:tcPr>
            <w:tcW w:w="774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vMerge w:val="restart"/>
          </w:tcPr>
          <w:p>
            <w:pPr>
              <w:jc w:val="right"/>
              <w:ind w:right="364"/>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60" w:type="dxa"/>
            <w:vAlign w:val="bottom"/>
            <w:tcBorders>
              <w:top w:val="single" w:sz="8" w:color="auto"/>
            </w:tcBorders>
            <w:vMerge w:val="restart"/>
          </w:tcPr>
          <w:p>
            <w:pPr>
              <w:jc w:val="right"/>
              <w:ind w:right="36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41"/>
        </w:trPr>
        <w:tc>
          <w:tcPr>
            <w:tcW w:w="7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5"/>
          </w:tcPr>
          <w:p>
            <w:pPr>
              <w:ind w:left="320"/>
              <w:spacing w:after="0"/>
              <w:rPr>
                <w:sz w:val="20"/>
                <w:szCs w:val="20"/>
                <w:color w:val="auto"/>
              </w:rPr>
            </w:pPr>
            <w:r>
              <w:rPr>
                <w:rFonts w:ascii="Arial" w:cs="Arial" w:eastAsia="Arial" w:hAnsi="Arial"/>
                <w:sz w:val="13"/>
                <w:szCs w:val="13"/>
                <w:b w:val="1"/>
                <w:bCs w:val="1"/>
                <w:color w:val="auto"/>
              </w:rPr>
              <w:t>(dollars in thousands)</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Core solutions</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88,581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70,549</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7"/>
                <w:szCs w:val="17"/>
                <w:color w:val="auto"/>
              </w:rPr>
              <w:t>Value+ services</w:t>
            </w:r>
          </w:p>
        </w:tc>
        <w:tc>
          <w:tcPr>
            <w:tcW w:w="28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7"/>
                <w:szCs w:val="17"/>
                <w:color w:val="auto"/>
              </w:rPr>
              <w:t>153,994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7"/>
                <w:szCs w:val="17"/>
                <w:color w:val="auto"/>
              </w:rPr>
              <w:t>113,072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5"/>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13,437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6,450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17"/>
        </w:trPr>
        <w:tc>
          <w:tcPr>
            <w:tcW w:w="774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28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44"/>
              <w:spacing w:after="0"/>
              <w:rPr>
                <w:sz w:val="20"/>
                <w:szCs w:val="20"/>
                <w:color w:val="auto"/>
              </w:rPr>
            </w:pPr>
            <w:r>
              <w:rPr>
                <w:rFonts w:ascii="Arial" w:cs="Arial" w:eastAsia="Arial" w:hAnsi="Arial"/>
                <w:sz w:val="17"/>
                <w:szCs w:val="17"/>
                <w:color w:val="auto"/>
              </w:rPr>
              <w:t>256,012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190,071</w:t>
            </w:r>
          </w:p>
        </w:tc>
        <w:tc>
          <w:tcPr>
            <w:tcW w:w="1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5"/>
        </w:trPr>
        <w:tc>
          <w:tcPr>
            <w:tcW w:w="7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jc w:val="both"/>
        <w:ind w:firstLine="597"/>
        <w:spacing w:after="0" w:line="331" w:lineRule="auto"/>
        <w:rPr>
          <w:sz w:val="20"/>
          <w:szCs w:val="20"/>
          <w:color w:val="auto"/>
        </w:rPr>
      </w:pPr>
      <w:r>
        <w:rPr>
          <w:rFonts w:ascii="Arial" w:cs="Arial" w:eastAsia="Arial" w:hAnsi="Arial"/>
          <w:sz w:val="15"/>
          <w:szCs w:val="15"/>
          <w:color w:val="auto"/>
        </w:rPr>
        <w:t>In each of the fiscal years presented above, we derived over 90% of our annual revenue directly and indirectly from the software solutions, services and data analytics we offer to our real estate market customers. The significant majority of our customers in the real estate market use our property management solutions.</w:t>
      </w:r>
    </w:p>
    <w:p>
      <w:pPr>
        <w:spacing w:after="0" w:line="121"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Total revenue was $256.0 million for fiscal 2019, compared to $190.1 million for the fiscal year ended December 31, 2018, or fiscal 2018, an increase of $65.9 million, or 35%. Core solutions revenue was $88.6 million for fiscal 2019 compared to $70.5 million for fiscal 2018, an increase of $18.1 million, or 26%. Value+ services revenue was $154.0 million for fiscal 2019 compared to $113.1 million for fiscal 2018, an increase of $40.9 million, or 36%. Other revenue was $13.4 million for fiscal 2019, compared to $6.5 million for fiscal 2018, an increase of $6.9 million or 108%.</w:t>
      </w:r>
    </w:p>
    <w:p>
      <w:pPr>
        <w:spacing w:after="0" w:line="180"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6"/>
          <w:szCs w:val="16"/>
          <w:color w:val="auto"/>
        </w:rPr>
        <w:t>The majority of our revenue is derived from our property management core solutions and Value+ services utilized by property managers, residents, applicants and owners. The increase in core solutions and Value+ services revenue was mainly attributed to a growing base of property management customers. During this period, we experienced a 19% year over year increase in the number of property management units under management resulting from a 10% year over year increase in the number of property management customers. In addition, our property managers, residents, applicants and owners increased their usage of our Value+ services. A significant majority of our Value+ services revenue comes directly and indirectly from our customers' use of our Electronic Payment Services, Tenant Screening Services, and Insurance Services. During the period, we also introduced new Value+ services and expanded the functionality of others, which enables new revenue streams. The increase in Other revenue was primarily attributed to revenue generated from our real estate-related acquisitions and from an increase in fees associated with our property management customers upgrading to a new website hosting platform.</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Cost of Revenue (Exclusive of Depreciation and Amortization)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118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2019 to 2018 %</w:t>
            </w:r>
          </w:p>
        </w:tc>
        <w:tc>
          <w:tcPr>
            <w:tcW w:w="0" w:type="dxa"/>
            <w:vAlign w:val="bottom"/>
          </w:tcPr>
          <w:p>
            <w:pPr>
              <w:spacing w:after="0"/>
              <w:rPr>
                <w:sz w:val="1"/>
                <w:szCs w:val="1"/>
                <w:color w:val="auto"/>
              </w:rPr>
            </w:pPr>
          </w:p>
        </w:tc>
      </w:tr>
      <w:tr>
        <w:trPr>
          <w:trHeight w:val="64"/>
        </w:trPr>
        <w:tc>
          <w:tcPr>
            <w:tcW w:w="7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restart"/>
          </w:tcPr>
          <w:p>
            <w:pPr>
              <w:jc w:val="right"/>
              <w:ind w:right="425"/>
              <w:spacing w:after="0"/>
              <w:rPr>
                <w:sz w:val="20"/>
                <w:szCs w:val="20"/>
                <w:color w:val="auto"/>
              </w:rPr>
            </w:pPr>
            <w:r>
              <w:rPr>
                <w:rFonts w:ascii="Arial" w:cs="Arial" w:eastAsia="Arial" w:hAnsi="Arial"/>
                <w:sz w:val="13"/>
                <w:szCs w:val="13"/>
                <w:b w:val="1"/>
                <w:bCs w:val="1"/>
                <w:color w:val="auto"/>
              </w:rPr>
              <w:t>2019</w:t>
            </w:r>
          </w:p>
        </w:tc>
        <w:tc>
          <w:tcPr>
            <w:tcW w:w="360" w:type="dxa"/>
            <w:vAlign w:val="bottom"/>
          </w:tcPr>
          <w:p>
            <w:pPr>
              <w:spacing w:after="0"/>
              <w:rPr>
                <w:sz w:val="5"/>
                <w:szCs w:val="5"/>
                <w:color w:val="auto"/>
              </w:rPr>
            </w:pPr>
          </w:p>
        </w:tc>
        <w:tc>
          <w:tcPr>
            <w:tcW w:w="900" w:type="dxa"/>
            <w:vAlign w:val="bottom"/>
            <w:vMerge w:val="restart"/>
          </w:tcPr>
          <w:p>
            <w:pPr>
              <w:jc w:val="right"/>
              <w:ind w:right="38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41"/>
        </w:trPr>
        <w:tc>
          <w:tcPr>
            <w:tcW w:w="7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3"/>
          </w:tcPr>
          <w:p>
            <w:pPr>
              <w:jc w:val="right"/>
              <w:ind w:right="541"/>
              <w:spacing w:after="0"/>
              <w:rPr>
                <w:sz w:val="20"/>
                <w:szCs w:val="20"/>
                <w:color w:val="auto"/>
              </w:rPr>
            </w:pPr>
            <w:r>
              <w:rPr>
                <w:rFonts w:ascii="Arial" w:cs="Arial" w:eastAsia="Arial" w:hAnsi="Arial"/>
                <w:sz w:val="13"/>
                <w:szCs w:val="13"/>
                <w:b w:val="1"/>
                <w:bCs w:val="1"/>
                <w:color w:val="auto"/>
              </w:rPr>
              <w:t>(dollars in thousands)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shd w:val="clear" w:color="auto" w:fill="CCEEFF"/>
              </w:rPr>
              <w:t>Cost of revenue (exclusive of depreciation and amortization)</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7"/>
                <w:szCs w:val="17"/>
                <w:color w:val="auto"/>
              </w:rPr>
              <w:t>101,642</w:t>
            </w:r>
          </w:p>
        </w:tc>
        <w:tc>
          <w:tcPr>
            <w:tcW w:w="3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7"/>
                <w:szCs w:val="17"/>
                <w:color w:val="auto"/>
              </w:rPr>
              <w:t>73,549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4"/>
        </w:trPr>
        <w:tc>
          <w:tcPr>
            <w:tcW w:w="762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80" w:type="dxa"/>
            <w:vAlign w:val="bottom"/>
          </w:tcPr>
          <w:p>
            <w:pPr>
              <w:spacing w:after="0"/>
              <w:rPr>
                <w:sz w:val="19"/>
                <w:szCs w:val="19"/>
                <w:color w:val="auto"/>
              </w:rPr>
            </w:pPr>
          </w:p>
        </w:tc>
        <w:tc>
          <w:tcPr>
            <w:tcW w:w="960" w:type="dxa"/>
            <w:vAlign w:val="bottom"/>
          </w:tcPr>
          <w:p>
            <w:pPr>
              <w:jc w:val="right"/>
              <w:ind w:right="5"/>
              <w:spacing w:after="0"/>
              <w:rPr>
                <w:sz w:val="20"/>
                <w:szCs w:val="20"/>
                <w:color w:val="auto"/>
              </w:rPr>
            </w:pPr>
            <w:r>
              <w:rPr>
                <w:rFonts w:ascii="Arial" w:cs="Arial" w:eastAsia="Arial" w:hAnsi="Arial"/>
                <w:sz w:val="17"/>
                <w:szCs w:val="17"/>
                <w:color w:val="auto"/>
              </w:rPr>
              <w:t>39.7%</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38.7%</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included above</w:t>
            </w: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45"/>
              <w:spacing w:after="0"/>
              <w:rPr>
                <w:sz w:val="20"/>
                <w:szCs w:val="20"/>
                <w:color w:val="auto"/>
              </w:rPr>
            </w:pPr>
            <w:r>
              <w:rPr>
                <w:rFonts w:ascii="Arial" w:cs="Arial" w:eastAsia="Arial" w:hAnsi="Arial"/>
                <w:sz w:val="17"/>
                <w:szCs w:val="17"/>
                <w:color w:val="auto"/>
              </w:rPr>
              <w:t>1,466</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1,103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5"/>
        </w:trPr>
        <w:tc>
          <w:tcPr>
            <w:tcW w:w="7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597"/>
        <w:spacing w:after="0" w:line="331" w:lineRule="auto"/>
        <w:rPr>
          <w:sz w:val="20"/>
          <w:szCs w:val="20"/>
          <w:color w:val="auto"/>
        </w:rPr>
      </w:pPr>
      <w:r>
        <w:rPr>
          <w:rFonts w:ascii="Arial" w:cs="Arial" w:eastAsia="Arial" w:hAnsi="Arial"/>
          <w:sz w:val="15"/>
          <w:szCs w:val="15"/>
          <w:color w:val="auto"/>
        </w:rPr>
        <w:t>Cost of revenue (exclusive of depreciation and amortization) was $101.6 million for fiscal 2019, compared to $73.5 million for fiscal 2018, an increase of $28.1 million, or 38%. This increase in cost of revenue (exclusive of depreciation and amortization) was primarily attributed to the 35% increase in revenue over the same period.</w:t>
      </w:r>
    </w:p>
    <w:p>
      <w:pPr>
        <w:spacing w:after="0" w:line="121" w:lineRule="exact"/>
        <w:rPr>
          <w:sz w:val="20"/>
          <w:szCs w:val="20"/>
          <w:color w:val="auto"/>
        </w:rPr>
      </w:pPr>
    </w:p>
    <w:p>
      <w:pPr>
        <w:jc w:val="both"/>
        <w:ind w:firstLine="597"/>
        <w:spacing w:after="0" w:line="284" w:lineRule="auto"/>
        <w:rPr>
          <w:sz w:val="20"/>
          <w:szCs w:val="20"/>
          <w:color w:val="auto"/>
        </w:rPr>
      </w:pPr>
      <w:r>
        <w:rPr>
          <w:rFonts w:ascii="Arial" w:cs="Arial" w:eastAsia="Arial" w:hAnsi="Arial"/>
          <w:sz w:val="15"/>
          <w:szCs w:val="15"/>
          <w:color w:val="auto"/>
        </w:rPr>
        <w:t>Expenditures to third-party service providers, related to the delivery of our Value+ services, increased $13.1 million directly associated with the increased adoption and utilization of our Value+ services, as evidenced by the 36% increase in Value+ services revenue. Our third-party service provider expenses include costs associated with the delivery and provision of Value+ services, as well as loss reserves, legal fees and other costs associated with our insurance services. There was also an increase in personnel-related costs of $11.5 million, related to increased headcount to support the increased number of customers, including those acquired in our recent acquisitions and investments made for the future growth of our business. Allocated and other costs increased by $3.5 million primarily driven by an increase in facilities, platform infrastructure, payment processing related to customer receivables and other costs incurred in support of our overall growth, as well as costs associated with the delivery and provision of our Value+ services. This increase in allocated and other costs was partially offset by a decrease in legal fees and costs associated with settling a litigation matter, net of expected insurance proceeds of $1.1 million which was included in cost of revenue (exclusive of depreciation and amortization) in fiscal 2018.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674" w:right="239" w:bottom="1440" w:gutter="0" w:footer="0" w:header="0"/>
        </w:sectPr>
      </w:pPr>
    </w:p>
    <w:bookmarkStart w:id="45" w:name="page46"/>
    <w:bookmarkEnd w:id="45"/>
    <w:p>
      <w:pPr>
        <w:jc w:val="both"/>
        <w:ind w:firstLine="597"/>
        <w:spacing w:after="0" w:line="271" w:lineRule="auto"/>
        <w:rPr>
          <w:sz w:val="20"/>
          <w:szCs w:val="20"/>
          <w:color w:val="auto"/>
        </w:rPr>
      </w:pPr>
      <w:r>
        <w:rPr>
          <w:rFonts w:ascii="Arial" w:cs="Arial" w:eastAsia="Arial" w:hAnsi="Arial"/>
          <w:sz w:val="16"/>
          <w:szCs w:val="16"/>
          <w:color w:val="auto"/>
        </w:rPr>
        <w:t>As a percentage of revenue, cost of revenue (exclusive of depreciation and amortization) fluctuates primarily based on the mix and prices of Value+ services in the period, and investments made in advance of expected revenue generation. For fiscal 2019 compared to fiscal 2018, cost of revenue (exclusive of depreciation and amortization), as a percentage of revenue, increased to 39.7% from 38.7%. This increase in cost as a percentage of revenue was primarily due to increased personnel-related investments made in advance of expected revenue generation associated with growth initiatives.</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118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2019 to 2018 %</w:t>
            </w:r>
          </w:p>
        </w:tc>
        <w:tc>
          <w:tcPr>
            <w:tcW w:w="0" w:type="dxa"/>
            <w:vAlign w:val="bottom"/>
          </w:tcPr>
          <w:p>
            <w:pPr>
              <w:spacing w:after="0"/>
              <w:rPr>
                <w:sz w:val="1"/>
                <w:szCs w:val="1"/>
                <w:color w:val="auto"/>
              </w:rPr>
            </w:pPr>
          </w:p>
        </w:tc>
      </w:tr>
      <w:tr>
        <w:trPr>
          <w:trHeight w:val="64"/>
        </w:trPr>
        <w:tc>
          <w:tcPr>
            <w:tcW w:w="7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restart"/>
          </w:tcPr>
          <w:p>
            <w:pPr>
              <w:jc w:val="right"/>
              <w:ind w:right="425"/>
              <w:spacing w:after="0"/>
              <w:rPr>
                <w:sz w:val="20"/>
                <w:szCs w:val="20"/>
                <w:color w:val="auto"/>
              </w:rPr>
            </w:pPr>
            <w:r>
              <w:rPr>
                <w:rFonts w:ascii="Arial" w:cs="Arial" w:eastAsia="Arial" w:hAnsi="Arial"/>
                <w:sz w:val="13"/>
                <w:szCs w:val="13"/>
                <w:b w:val="1"/>
                <w:bCs w:val="1"/>
                <w:color w:val="auto"/>
              </w:rPr>
              <w:t>2019</w:t>
            </w:r>
          </w:p>
        </w:tc>
        <w:tc>
          <w:tcPr>
            <w:tcW w:w="360" w:type="dxa"/>
            <w:vAlign w:val="bottom"/>
          </w:tcPr>
          <w:p>
            <w:pPr>
              <w:spacing w:after="0"/>
              <w:rPr>
                <w:sz w:val="5"/>
                <w:szCs w:val="5"/>
                <w:color w:val="auto"/>
              </w:rPr>
            </w:pPr>
          </w:p>
        </w:tc>
        <w:tc>
          <w:tcPr>
            <w:tcW w:w="900" w:type="dxa"/>
            <w:vAlign w:val="bottom"/>
            <w:vMerge w:val="restart"/>
          </w:tcPr>
          <w:p>
            <w:pPr>
              <w:jc w:val="right"/>
              <w:ind w:right="38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41"/>
        </w:trPr>
        <w:tc>
          <w:tcPr>
            <w:tcW w:w="7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3"/>
          </w:tcPr>
          <w:p>
            <w:pPr>
              <w:jc w:val="right"/>
              <w:ind w:right="541"/>
              <w:spacing w:after="0"/>
              <w:rPr>
                <w:sz w:val="20"/>
                <w:szCs w:val="20"/>
                <w:color w:val="auto"/>
              </w:rPr>
            </w:pPr>
            <w:r>
              <w:rPr>
                <w:rFonts w:ascii="Arial" w:cs="Arial" w:eastAsia="Arial" w:hAnsi="Arial"/>
                <w:sz w:val="13"/>
                <w:szCs w:val="13"/>
                <w:b w:val="1"/>
                <w:bCs w:val="1"/>
                <w:color w:val="auto"/>
              </w:rPr>
              <w:t>(dollars in thousands)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7"/>
                <w:szCs w:val="17"/>
                <w:color w:val="auto"/>
              </w:rPr>
              <w:t>51,528</w:t>
            </w:r>
          </w:p>
        </w:tc>
        <w:tc>
          <w:tcPr>
            <w:tcW w:w="3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7"/>
                <w:szCs w:val="17"/>
                <w:color w:val="auto"/>
              </w:rPr>
              <w:t>33,288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24"/>
        </w:trPr>
        <w:tc>
          <w:tcPr>
            <w:tcW w:w="762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80" w:type="dxa"/>
            <w:vAlign w:val="bottom"/>
          </w:tcPr>
          <w:p>
            <w:pPr>
              <w:spacing w:after="0"/>
              <w:rPr>
                <w:sz w:val="19"/>
                <w:szCs w:val="19"/>
                <w:color w:val="auto"/>
              </w:rPr>
            </w:pPr>
          </w:p>
        </w:tc>
        <w:tc>
          <w:tcPr>
            <w:tcW w:w="960" w:type="dxa"/>
            <w:vAlign w:val="bottom"/>
          </w:tcPr>
          <w:p>
            <w:pPr>
              <w:jc w:val="right"/>
              <w:ind w:right="5"/>
              <w:spacing w:after="0"/>
              <w:rPr>
                <w:sz w:val="20"/>
                <w:szCs w:val="20"/>
                <w:color w:val="auto"/>
              </w:rPr>
            </w:pPr>
            <w:r>
              <w:rPr>
                <w:rFonts w:ascii="Arial" w:cs="Arial" w:eastAsia="Arial" w:hAnsi="Arial"/>
                <w:sz w:val="17"/>
                <w:szCs w:val="17"/>
                <w:color w:val="auto"/>
              </w:rPr>
              <w:t>20.1%</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included above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5"/>
              <w:spacing w:after="0"/>
              <w:rPr>
                <w:sz w:val="20"/>
                <w:szCs w:val="20"/>
                <w:color w:val="auto"/>
              </w:rPr>
            </w:pPr>
            <w:r>
              <w:rPr>
                <w:rFonts w:ascii="Arial" w:cs="Arial" w:eastAsia="Arial" w:hAnsi="Arial"/>
                <w:sz w:val="17"/>
                <w:szCs w:val="17"/>
                <w:color w:val="auto"/>
              </w:rPr>
              <w:t>1,271</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1,034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5"/>
        </w:trPr>
        <w:tc>
          <w:tcPr>
            <w:tcW w:w="7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6"/>
          <w:szCs w:val="16"/>
          <w:color w:val="auto"/>
        </w:rPr>
        <w:t xml:space="preserve">Sales and marketing expense was $51.5 million for fiscal 2019, compared to $33.3 million for fiscal 2018, an increase of $18.2 million, or 55%. This increase was primarily due to an increase in personnel-related costs of $13.0 million driven by an increase in the average headcount to support our growth, the impact of adoption of Accounting Standards Update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and an increase in investments made in advance of expected revenue generation. Under ASU 2014-09, sales commissions and other incremental costs to acquire customers are deferred and then amortized on a straight-line basis over a period of benefit that we have determined to be three years. Given we are in the second year of adoption, we have higher expense associated with sales commissions when compared to the prior period. There was also an increase in advertising and promotion costs of $2.4 million related to our new and expanding service offerings. In addition, there was an increase in allocated and other costs of $2.8 million driven by an increase in consulting services, IT and other costs incurred in support of our overall growth in personnel.</w:t>
      </w:r>
    </w:p>
    <w:p>
      <w:pPr>
        <w:spacing w:after="0" w:line="172"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As a percentage of revenue, sales and marketing expense increased to 20.1% from 17.5% for fiscal 2019 compared to fiscal 2018. This increase was primarily driven by personnel-related investments, the expense impact related to being in our second year of adoption of ASU 2014-09, and investments made in advance of expected revenue generation from growth initiatives in the business.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Research and Product Development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118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2019 to 2018 %</w:t>
            </w:r>
          </w:p>
        </w:tc>
        <w:tc>
          <w:tcPr>
            <w:tcW w:w="0" w:type="dxa"/>
            <w:vAlign w:val="bottom"/>
          </w:tcPr>
          <w:p>
            <w:pPr>
              <w:spacing w:after="0"/>
              <w:rPr>
                <w:sz w:val="1"/>
                <w:szCs w:val="1"/>
                <w:color w:val="auto"/>
              </w:rPr>
            </w:pPr>
          </w:p>
        </w:tc>
      </w:tr>
      <w:tr>
        <w:trPr>
          <w:trHeight w:val="64"/>
        </w:trPr>
        <w:tc>
          <w:tcPr>
            <w:tcW w:w="7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restart"/>
          </w:tcPr>
          <w:p>
            <w:pPr>
              <w:jc w:val="right"/>
              <w:ind w:right="425"/>
              <w:spacing w:after="0"/>
              <w:rPr>
                <w:sz w:val="20"/>
                <w:szCs w:val="20"/>
                <w:color w:val="auto"/>
              </w:rPr>
            </w:pPr>
            <w:r>
              <w:rPr>
                <w:rFonts w:ascii="Arial" w:cs="Arial" w:eastAsia="Arial" w:hAnsi="Arial"/>
                <w:sz w:val="13"/>
                <w:szCs w:val="13"/>
                <w:b w:val="1"/>
                <w:bCs w:val="1"/>
                <w:color w:val="auto"/>
              </w:rPr>
              <w:t>2019</w:t>
            </w:r>
          </w:p>
        </w:tc>
        <w:tc>
          <w:tcPr>
            <w:tcW w:w="360" w:type="dxa"/>
            <w:vAlign w:val="bottom"/>
          </w:tcPr>
          <w:p>
            <w:pPr>
              <w:spacing w:after="0"/>
              <w:rPr>
                <w:sz w:val="5"/>
                <w:szCs w:val="5"/>
                <w:color w:val="auto"/>
              </w:rPr>
            </w:pPr>
          </w:p>
        </w:tc>
        <w:tc>
          <w:tcPr>
            <w:tcW w:w="900" w:type="dxa"/>
            <w:vAlign w:val="bottom"/>
            <w:vMerge w:val="restart"/>
          </w:tcPr>
          <w:p>
            <w:pPr>
              <w:jc w:val="right"/>
              <w:ind w:right="38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41"/>
        </w:trPr>
        <w:tc>
          <w:tcPr>
            <w:tcW w:w="7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3"/>
          </w:tcPr>
          <w:p>
            <w:pPr>
              <w:jc w:val="right"/>
              <w:ind w:right="541"/>
              <w:spacing w:after="0"/>
              <w:rPr>
                <w:sz w:val="20"/>
                <w:szCs w:val="20"/>
                <w:color w:val="auto"/>
              </w:rPr>
            </w:pPr>
            <w:r>
              <w:rPr>
                <w:rFonts w:ascii="Arial" w:cs="Arial" w:eastAsia="Arial" w:hAnsi="Arial"/>
                <w:sz w:val="13"/>
                <w:szCs w:val="13"/>
                <w:b w:val="1"/>
                <w:bCs w:val="1"/>
                <w:color w:val="auto"/>
              </w:rPr>
              <w:t>(dollars in thousands)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product development</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7"/>
                <w:szCs w:val="17"/>
                <w:color w:val="auto"/>
              </w:rPr>
              <w:t>39,508</w:t>
            </w:r>
          </w:p>
        </w:tc>
        <w:tc>
          <w:tcPr>
            <w:tcW w:w="3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7"/>
                <w:szCs w:val="17"/>
                <w:color w:val="auto"/>
              </w:rPr>
              <w:t>24,111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24"/>
        </w:trPr>
        <w:tc>
          <w:tcPr>
            <w:tcW w:w="762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80" w:type="dxa"/>
            <w:vAlign w:val="bottom"/>
          </w:tcPr>
          <w:p>
            <w:pPr>
              <w:spacing w:after="0"/>
              <w:rPr>
                <w:sz w:val="19"/>
                <w:szCs w:val="19"/>
                <w:color w:val="auto"/>
              </w:rPr>
            </w:pPr>
          </w:p>
        </w:tc>
        <w:tc>
          <w:tcPr>
            <w:tcW w:w="960" w:type="dxa"/>
            <w:vAlign w:val="bottom"/>
          </w:tcPr>
          <w:p>
            <w:pPr>
              <w:jc w:val="right"/>
              <w:ind w:right="5"/>
              <w:spacing w:after="0"/>
              <w:rPr>
                <w:sz w:val="20"/>
                <w:szCs w:val="20"/>
                <w:color w:val="auto"/>
              </w:rPr>
            </w:pPr>
            <w:r>
              <w:rPr>
                <w:rFonts w:ascii="Arial" w:cs="Arial" w:eastAsia="Arial" w:hAnsi="Arial"/>
                <w:sz w:val="17"/>
                <w:szCs w:val="17"/>
                <w:color w:val="auto"/>
              </w:rPr>
              <w:t>15.4%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included above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5"/>
              <w:spacing w:after="0"/>
              <w:rPr>
                <w:sz w:val="20"/>
                <w:szCs w:val="20"/>
                <w:color w:val="auto"/>
              </w:rPr>
            </w:pPr>
            <w:r>
              <w:rPr>
                <w:rFonts w:ascii="Arial" w:cs="Arial" w:eastAsia="Arial" w:hAnsi="Arial"/>
                <w:sz w:val="17"/>
                <w:szCs w:val="17"/>
                <w:color w:val="auto"/>
              </w:rPr>
              <w:t>1,411</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1,079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5"/>
        </w:trPr>
        <w:tc>
          <w:tcPr>
            <w:tcW w:w="7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Research and product development expense was $39.5 million for fiscal 2019, compared to $24.1 million for fiscal 2018, an increase of $15.4 million, or 64%. This increase was the result of an increase in personnel-related costs, net of capitalized software development costs, of $10.5 million due to investments in headcount growth within our research and product development organization, and an increase in allocated and other costs of $4.9 million driven by an increase in facilities, IT and other costs incurred in support of our overall growth in personnel.</w:t>
      </w:r>
    </w:p>
    <w:p>
      <w:pPr>
        <w:spacing w:after="0" w:line="180"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We intend to continue to invest in research and product development as we continue to introduce additional functionality into our software solutions, services and data offerings, develop or integrate acquired Value+ services to attract new customers and expand offerings to existing customers, develop new products to serve new or existing customers and expand into adjacent markets or new verticals.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774" w:right="239" w:bottom="1440" w:gutter="0" w:footer="0" w:header="0"/>
        </w:sectPr>
      </w:pPr>
    </w:p>
    <w:bookmarkStart w:id="46" w:name="page47"/>
    <w:bookmarkEnd w:id="46"/>
    <w:p>
      <w:pPr>
        <w:ind w:left="60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118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2019 to 2018 %</w:t>
            </w:r>
          </w:p>
        </w:tc>
        <w:tc>
          <w:tcPr>
            <w:tcW w:w="0" w:type="dxa"/>
            <w:vAlign w:val="bottom"/>
          </w:tcPr>
          <w:p>
            <w:pPr>
              <w:spacing w:after="0"/>
              <w:rPr>
                <w:sz w:val="1"/>
                <w:szCs w:val="1"/>
                <w:color w:val="auto"/>
              </w:rPr>
            </w:pPr>
          </w:p>
        </w:tc>
      </w:tr>
      <w:tr>
        <w:trPr>
          <w:trHeight w:val="64"/>
        </w:trPr>
        <w:tc>
          <w:tcPr>
            <w:tcW w:w="7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restart"/>
          </w:tcPr>
          <w:p>
            <w:pPr>
              <w:jc w:val="right"/>
              <w:ind w:right="425"/>
              <w:spacing w:after="0"/>
              <w:rPr>
                <w:sz w:val="20"/>
                <w:szCs w:val="20"/>
                <w:color w:val="auto"/>
              </w:rPr>
            </w:pPr>
            <w:r>
              <w:rPr>
                <w:rFonts w:ascii="Arial" w:cs="Arial" w:eastAsia="Arial" w:hAnsi="Arial"/>
                <w:sz w:val="13"/>
                <w:szCs w:val="13"/>
                <w:b w:val="1"/>
                <w:bCs w:val="1"/>
                <w:color w:val="auto"/>
              </w:rPr>
              <w:t>2019</w:t>
            </w:r>
          </w:p>
        </w:tc>
        <w:tc>
          <w:tcPr>
            <w:tcW w:w="360" w:type="dxa"/>
            <w:vAlign w:val="bottom"/>
          </w:tcPr>
          <w:p>
            <w:pPr>
              <w:spacing w:after="0"/>
              <w:rPr>
                <w:sz w:val="5"/>
                <w:szCs w:val="5"/>
                <w:color w:val="auto"/>
              </w:rPr>
            </w:pPr>
          </w:p>
        </w:tc>
        <w:tc>
          <w:tcPr>
            <w:tcW w:w="900" w:type="dxa"/>
            <w:vAlign w:val="bottom"/>
            <w:vMerge w:val="restart"/>
          </w:tcPr>
          <w:p>
            <w:pPr>
              <w:jc w:val="right"/>
              <w:ind w:right="38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41"/>
        </w:trPr>
        <w:tc>
          <w:tcPr>
            <w:tcW w:w="7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3"/>
          </w:tcPr>
          <w:p>
            <w:pPr>
              <w:jc w:val="right"/>
              <w:ind w:right="541"/>
              <w:spacing w:after="0"/>
              <w:rPr>
                <w:sz w:val="20"/>
                <w:szCs w:val="20"/>
                <w:color w:val="auto"/>
              </w:rPr>
            </w:pPr>
            <w:r>
              <w:rPr>
                <w:rFonts w:ascii="Arial" w:cs="Arial" w:eastAsia="Arial" w:hAnsi="Arial"/>
                <w:sz w:val="13"/>
                <w:szCs w:val="13"/>
                <w:b w:val="1"/>
                <w:bCs w:val="1"/>
                <w:color w:val="auto"/>
              </w:rPr>
              <w:t>(dollars in thousands)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7"/>
                <w:szCs w:val="17"/>
                <w:color w:val="auto"/>
              </w:rPr>
              <w:t>34,478</w:t>
            </w:r>
          </w:p>
        </w:tc>
        <w:tc>
          <w:tcPr>
            <w:tcW w:w="3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7"/>
                <w:szCs w:val="17"/>
                <w:color w:val="auto"/>
              </w:rPr>
              <w:t>24,891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4"/>
        </w:trPr>
        <w:tc>
          <w:tcPr>
            <w:tcW w:w="762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80" w:type="dxa"/>
            <w:vAlign w:val="bottom"/>
          </w:tcPr>
          <w:p>
            <w:pPr>
              <w:spacing w:after="0"/>
              <w:rPr>
                <w:sz w:val="19"/>
                <w:szCs w:val="19"/>
                <w:color w:val="auto"/>
              </w:rPr>
            </w:pPr>
          </w:p>
        </w:tc>
        <w:tc>
          <w:tcPr>
            <w:tcW w:w="960" w:type="dxa"/>
            <w:vAlign w:val="bottom"/>
          </w:tcPr>
          <w:p>
            <w:pPr>
              <w:jc w:val="right"/>
              <w:ind w:right="5"/>
              <w:spacing w:after="0"/>
              <w:rPr>
                <w:sz w:val="20"/>
                <w:szCs w:val="20"/>
                <w:color w:val="auto"/>
              </w:rPr>
            </w:pPr>
            <w:r>
              <w:rPr>
                <w:rFonts w:ascii="Arial" w:cs="Arial" w:eastAsia="Arial" w:hAnsi="Arial"/>
                <w:sz w:val="17"/>
                <w:szCs w:val="17"/>
                <w:color w:val="auto"/>
              </w:rPr>
              <w:t>13.5%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included above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5"/>
              <w:spacing w:after="0"/>
              <w:rPr>
                <w:sz w:val="20"/>
                <w:szCs w:val="20"/>
                <w:color w:val="auto"/>
              </w:rPr>
            </w:pPr>
            <w:r>
              <w:rPr>
                <w:rFonts w:ascii="Arial" w:cs="Arial" w:eastAsia="Arial" w:hAnsi="Arial"/>
                <w:sz w:val="17"/>
                <w:szCs w:val="17"/>
                <w:color w:val="auto"/>
              </w:rPr>
              <w:t>3,161</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3,121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
        </w:trPr>
        <w:tc>
          <w:tcPr>
            <w:tcW w:w="7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General and administrative expense was $34.5 million for fiscal 2019, compared to $24.9 million for fiscal 2018, an increase of $9.6 million, or 39%. This increase was primarily due to an increase in personnel-related costs of $6.9 million, and an increase in professional services fees and allocated and other costs of $2.6 million related to expanded audit services, legal and other services fees associated with compliance with Section 404(b) of SOX, increased leasing activities, due diligence and acquisition related activities, as well as other costs incurred to support our growth. The increase in personnel-related costs was primarily due to headcount growth.</w:t>
      </w:r>
    </w:p>
    <w:p>
      <w:pPr>
        <w:spacing w:after="0" w:line="147"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We expect equity denominated performance-based compensation will continue to decrease for certain executives with the introduction of a Long-Term Cash Bonus Plan, adopted in fiscal 2018. No accrual has yet been made under this plan as a result of the high level of uncertainty regarding potential future payments under the plan.</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2019 to 2018 %</w:t>
            </w:r>
          </w:p>
        </w:tc>
        <w:tc>
          <w:tcPr>
            <w:tcW w:w="0" w:type="dxa"/>
            <w:vAlign w:val="bottom"/>
          </w:tcPr>
          <w:p>
            <w:pPr>
              <w:spacing w:after="0"/>
              <w:rPr>
                <w:sz w:val="1"/>
                <w:szCs w:val="1"/>
                <w:color w:val="auto"/>
              </w:rPr>
            </w:pPr>
          </w:p>
        </w:tc>
      </w:tr>
      <w:tr>
        <w:trPr>
          <w:trHeight w:val="64"/>
        </w:trPr>
        <w:tc>
          <w:tcPr>
            <w:tcW w:w="7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restart"/>
          </w:tcPr>
          <w:p>
            <w:pPr>
              <w:jc w:val="right"/>
              <w:ind w:right="427"/>
              <w:spacing w:after="0"/>
              <w:rPr>
                <w:sz w:val="20"/>
                <w:szCs w:val="20"/>
                <w:color w:val="auto"/>
              </w:rPr>
            </w:pPr>
            <w:r>
              <w:rPr>
                <w:rFonts w:ascii="Arial" w:cs="Arial" w:eastAsia="Arial" w:hAnsi="Arial"/>
                <w:sz w:val="13"/>
                <w:szCs w:val="13"/>
                <w:b w:val="1"/>
                <w:bCs w:val="1"/>
                <w:color w:val="auto"/>
              </w:rPr>
              <w:t>2019</w:t>
            </w:r>
          </w:p>
        </w:tc>
        <w:tc>
          <w:tcPr>
            <w:tcW w:w="360" w:type="dxa"/>
            <w:vAlign w:val="bottom"/>
          </w:tcPr>
          <w:p>
            <w:pPr>
              <w:spacing w:after="0"/>
              <w:rPr>
                <w:sz w:val="5"/>
                <w:szCs w:val="5"/>
                <w:color w:val="auto"/>
              </w:rPr>
            </w:pPr>
          </w:p>
        </w:tc>
        <w:tc>
          <w:tcPr>
            <w:tcW w:w="900" w:type="dxa"/>
            <w:vAlign w:val="bottom"/>
            <w:vMerge w:val="restart"/>
          </w:tcPr>
          <w:p>
            <w:pPr>
              <w:jc w:val="right"/>
              <w:ind w:right="383"/>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7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Change</w:t>
            </w:r>
          </w:p>
        </w:tc>
        <w:tc>
          <w:tcPr>
            <w:tcW w:w="0" w:type="dxa"/>
            <w:vAlign w:val="bottom"/>
          </w:tcPr>
          <w:p>
            <w:pPr>
              <w:spacing w:after="0"/>
              <w:rPr>
                <w:sz w:val="1"/>
                <w:szCs w:val="1"/>
                <w:color w:val="auto"/>
              </w:rPr>
            </w:pPr>
          </w:p>
        </w:tc>
      </w:tr>
      <w:tr>
        <w:trPr>
          <w:trHeight w:val="241"/>
        </w:trPr>
        <w:tc>
          <w:tcPr>
            <w:tcW w:w="7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3"/>
          </w:tcPr>
          <w:p>
            <w:pPr>
              <w:jc w:val="right"/>
              <w:ind w:right="543"/>
              <w:spacing w:after="0"/>
              <w:rPr>
                <w:sz w:val="20"/>
                <w:szCs w:val="20"/>
                <w:color w:val="auto"/>
              </w:rPr>
            </w:pPr>
            <w:r>
              <w:rPr>
                <w:rFonts w:ascii="Arial" w:cs="Arial" w:eastAsia="Arial" w:hAnsi="Arial"/>
                <w:sz w:val="13"/>
                <w:szCs w:val="13"/>
                <w:b w:val="1"/>
                <w:bCs w:val="1"/>
                <w:color w:val="auto"/>
              </w:rPr>
              <w:t>(dollars in thousands)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7"/>
                <w:szCs w:val="17"/>
                <w:color w:val="auto"/>
              </w:rPr>
              <w:t>22,395</w:t>
            </w:r>
          </w:p>
        </w:tc>
        <w:tc>
          <w:tcPr>
            <w:tcW w:w="3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14,576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4"/>
        </w:trPr>
        <w:tc>
          <w:tcPr>
            <w:tcW w:w="762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80" w:type="dxa"/>
            <w:vAlign w:val="bottom"/>
          </w:tcPr>
          <w:p>
            <w:pPr>
              <w:spacing w:after="0"/>
              <w:rPr>
                <w:sz w:val="19"/>
                <w:szCs w:val="19"/>
                <w:color w:val="auto"/>
              </w:rPr>
            </w:pPr>
          </w:p>
        </w:tc>
        <w:tc>
          <w:tcPr>
            <w:tcW w:w="960" w:type="dxa"/>
            <w:vAlign w:val="bottom"/>
          </w:tcPr>
          <w:p>
            <w:pPr>
              <w:jc w:val="right"/>
              <w:ind w:right="7"/>
              <w:spacing w:after="0"/>
              <w:rPr>
                <w:sz w:val="20"/>
                <w:szCs w:val="20"/>
                <w:color w:val="auto"/>
              </w:rPr>
            </w:pPr>
            <w:r>
              <w:rPr>
                <w:rFonts w:ascii="Arial" w:cs="Arial" w:eastAsia="Arial" w:hAnsi="Arial"/>
                <w:sz w:val="17"/>
                <w:szCs w:val="17"/>
                <w:color w:val="auto"/>
              </w:rPr>
              <w:t>8.7%</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Depreciation and amortization expense was $22.4 million for fiscal 2019, compared to $14.6 million for fiscal 2018, an increase of $7.8 million, or 54%. This increase was primarily due to increased amortization expense associated with intangible assets acquired from WegoWise and Dynasty, and increased amortization expense associated with higher accumulated capitalized software development balances.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Interest Income (Expense), net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center"/>
              <w:ind w:left="107"/>
              <w:spacing w:after="0"/>
              <w:rPr>
                <w:sz w:val="20"/>
                <w:szCs w:val="20"/>
                <w:color w:val="auto"/>
              </w:rPr>
            </w:pPr>
            <w:r>
              <w:rPr>
                <w:rFonts w:ascii="Arial" w:cs="Arial" w:eastAsia="Arial" w:hAnsi="Arial"/>
                <w:sz w:val="13"/>
                <w:szCs w:val="13"/>
                <w:b w:val="1"/>
                <w:bCs w:val="1"/>
                <w:color w:val="auto"/>
                <w:w w:val="92"/>
              </w:rPr>
              <w:t>Year Ended December 31,</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2019 to 2018 %</w:t>
            </w:r>
          </w:p>
        </w:tc>
        <w:tc>
          <w:tcPr>
            <w:tcW w:w="0" w:type="dxa"/>
            <w:vAlign w:val="bottom"/>
          </w:tcPr>
          <w:p>
            <w:pPr>
              <w:spacing w:after="0"/>
              <w:rPr>
                <w:sz w:val="1"/>
                <w:szCs w:val="1"/>
                <w:color w:val="auto"/>
              </w:rPr>
            </w:pPr>
          </w:p>
        </w:tc>
      </w:tr>
      <w:tr>
        <w:trPr>
          <w:trHeight w:val="64"/>
        </w:trPr>
        <w:tc>
          <w:tcPr>
            <w:tcW w:w="7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restart"/>
          </w:tcPr>
          <w:p>
            <w:pPr>
              <w:jc w:val="right"/>
              <w:ind w:right="467"/>
              <w:spacing w:after="0"/>
              <w:rPr>
                <w:sz w:val="20"/>
                <w:szCs w:val="20"/>
                <w:color w:val="auto"/>
              </w:rPr>
            </w:pPr>
            <w:r>
              <w:rPr>
                <w:rFonts w:ascii="Arial" w:cs="Arial" w:eastAsia="Arial" w:hAnsi="Arial"/>
                <w:sz w:val="13"/>
                <w:szCs w:val="13"/>
                <w:b w:val="1"/>
                <w:bCs w:val="1"/>
                <w:color w:val="auto"/>
              </w:rPr>
              <w:t>2019</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7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241"/>
        </w:trPr>
        <w:tc>
          <w:tcPr>
            <w:tcW w:w="7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jc w:val="center"/>
              <w:ind w:left="107"/>
              <w:spacing w:after="0"/>
              <w:rPr>
                <w:sz w:val="20"/>
                <w:szCs w:val="20"/>
                <w:color w:val="auto"/>
              </w:rPr>
            </w:pPr>
            <w:r>
              <w:rPr>
                <w:rFonts w:ascii="Arial" w:cs="Arial" w:eastAsia="Arial" w:hAnsi="Arial"/>
                <w:sz w:val="13"/>
                <w:szCs w:val="13"/>
                <w:b w:val="1"/>
                <w:bCs w:val="1"/>
                <w:color w:val="auto"/>
                <w:w w:val="91"/>
              </w:rPr>
              <w:t>(dollars in thousands)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7"/>
                <w:szCs w:val="17"/>
                <w:color w:val="auto"/>
              </w:rPr>
              <w:t>(1,654)</w:t>
            </w:r>
          </w:p>
        </w:tc>
        <w:tc>
          <w:tcPr>
            <w:tcW w:w="800" w:type="dxa"/>
            <w:vAlign w:val="bottom"/>
            <w:tcBorders>
              <w:bottom w:val="single" w:sz="8" w:color="CCEEFF"/>
            </w:tcBorders>
            <w:shd w:val="clear" w:color="auto" w:fill="CCEEFF"/>
          </w:tcPr>
          <w:p>
            <w:pPr>
              <w:jc w:val="right"/>
              <w:ind w:right="54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91"/>
              </w:rPr>
              <w:t>787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24"/>
        </w:trPr>
        <w:tc>
          <w:tcPr>
            <w:tcW w:w="756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300" w:type="dxa"/>
            <w:vAlign w:val="bottom"/>
          </w:tcPr>
          <w:p>
            <w:pPr>
              <w:spacing w:after="0"/>
              <w:rPr>
                <w:sz w:val="19"/>
                <w:szCs w:val="19"/>
                <w:color w:val="auto"/>
              </w:rPr>
            </w:pPr>
          </w:p>
        </w:tc>
        <w:tc>
          <w:tcPr>
            <w:tcW w:w="980" w:type="dxa"/>
            <w:vAlign w:val="bottom"/>
          </w:tcPr>
          <w:p>
            <w:pPr>
              <w:jc w:val="right"/>
              <w:ind w:right="7"/>
              <w:spacing w:after="0"/>
              <w:rPr>
                <w:sz w:val="20"/>
                <w:szCs w:val="20"/>
                <w:color w:val="auto"/>
              </w:rPr>
            </w:pPr>
            <w:r>
              <w:rPr>
                <w:rFonts w:ascii="Arial" w:cs="Arial" w:eastAsia="Arial" w:hAnsi="Arial"/>
                <w:sz w:val="17"/>
                <w:szCs w:val="17"/>
                <w:color w:val="auto"/>
              </w:rPr>
              <w:t>(0.6)%</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7"/>
              </w:rPr>
              <w:t>0.4%</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Interest expense, net was $1.7 million for fiscal 2019, compared to interest income, net of $0.8 million for fiscal 2018, an increase of $2.5 million, due to an increase in interest expense associated with increased borrowings under the Credit Agreement and a decrease in interest income due to lower investment security balances in fiscal 2019.</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center"/>
              <w:ind w:left="87"/>
              <w:spacing w:after="0"/>
              <w:rPr>
                <w:sz w:val="20"/>
                <w:szCs w:val="20"/>
                <w:color w:val="auto"/>
              </w:rPr>
            </w:pPr>
            <w:r>
              <w:rPr>
                <w:rFonts w:ascii="Arial" w:cs="Arial" w:eastAsia="Arial" w:hAnsi="Arial"/>
                <w:sz w:val="13"/>
                <w:szCs w:val="13"/>
                <w:b w:val="1"/>
                <w:bCs w:val="1"/>
                <w:color w:val="auto"/>
                <w:w w:val="92"/>
              </w:rPr>
              <w:t>Year Ended December 31,</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2019 to 2018 %</w:t>
            </w:r>
          </w:p>
        </w:tc>
        <w:tc>
          <w:tcPr>
            <w:tcW w:w="0" w:type="dxa"/>
            <w:vAlign w:val="bottom"/>
          </w:tcPr>
          <w:p>
            <w:pPr>
              <w:spacing w:after="0"/>
              <w:rPr>
                <w:sz w:val="1"/>
                <w:szCs w:val="1"/>
                <w:color w:val="auto"/>
              </w:rPr>
            </w:pPr>
          </w:p>
        </w:tc>
      </w:tr>
      <w:tr>
        <w:trPr>
          <w:trHeight w:val="64"/>
        </w:trPr>
        <w:tc>
          <w:tcPr>
            <w:tcW w:w="4200" w:type="dxa"/>
            <w:vAlign w:val="bottom"/>
          </w:tcPr>
          <w:p>
            <w:pPr>
              <w:spacing w:after="0"/>
              <w:rPr>
                <w:sz w:val="5"/>
                <w:szCs w:val="5"/>
                <w:color w:val="auto"/>
              </w:rPr>
            </w:pPr>
          </w:p>
        </w:tc>
        <w:tc>
          <w:tcPr>
            <w:tcW w:w="3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vMerge w:val="restart"/>
          </w:tcPr>
          <w:p>
            <w:pPr>
              <w:jc w:val="right"/>
              <w:ind w:right="487"/>
              <w:spacing w:after="0"/>
              <w:rPr>
                <w:sz w:val="20"/>
                <w:szCs w:val="20"/>
                <w:color w:val="auto"/>
              </w:rPr>
            </w:pPr>
            <w:r>
              <w:rPr>
                <w:rFonts w:ascii="Arial" w:cs="Arial" w:eastAsia="Arial" w:hAnsi="Arial"/>
                <w:sz w:val="13"/>
                <w:szCs w:val="13"/>
                <w:b w:val="1"/>
                <w:bCs w:val="1"/>
                <w:color w:val="auto"/>
              </w:rPr>
              <w:t>2019</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2"/>
          </w:tcPr>
          <w:p>
            <w:pPr>
              <w:jc w:val="center"/>
              <w:ind w:left="87"/>
              <w:spacing w:after="0"/>
              <w:rPr>
                <w:sz w:val="20"/>
                <w:szCs w:val="20"/>
                <w:color w:val="auto"/>
              </w:rPr>
            </w:pPr>
            <w:r>
              <w:rPr>
                <w:rFonts w:ascii="Arial" w:cs="Arial" w:eastAsia="Arial" w:hAnsi="Arial"/>
                <w:sz w:val="13"/>
                <w:szCs w:val="13"/>
                <w:b w:val="1"/>
                <w:bCs w:val="1"/>
                <w:color w:val="auto"/>
                <w:w w:val="91"/>
              </w:rPr>
              <w:t>(dollars in thousands)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3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7"/>
                <w:szCs w:val="17"/>
                <w:color w:val="auto"/>
              </w:rPr>
              <w:t>(31,459)</w:t>
            </w:r>
          </w:p>
        </w:tc>
        <w:tc>
          <w:tcPr>
            <w:tcW w:w="800" w:type="dxa"/>
            <w:vAlign w:val="bottom"/>
            <w:tcBorders>
              <w:bottom w:val="single" w:sz="8" w:color="CCEEFF"/>
            </w:tcBorders>
            <w:shd w:val="clear" w:color="auto" w:fill="CCEEFF"/>
          </w:tcPr>
          <w:p>
            <w:pPr>
              <w:jc w:val="right"/>
              <w:ind w:right="56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91"/>
              </w:rPr>
              <w:t>420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420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27"/>
              <w:spacing w:after="0"/>
              <w:rPr>
                <w:sz w:val="20"/>
                <w:szCs w:val="20"/>
                <w:color w:val="auto"/>
              </w:rPr>
            </w:pPr>
            <w:r>
              <w:rPr>
                <w:rFonts w:ascii="Arial" w:cs="Arial" w:eastAsia="Arial" w:hAnsi="Arial"/>
                <w:sz w:val="17"/>
                <w:szCs w:val="17"/>
                <w:color w:val="auto"/>
              </w:rPr>
              <w:t>(12.3)%</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7"/>
              </w:rPr>
              <w:t>0.2%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200" w:type="dxa"/>
            <w:vAlign w:val="bottom"/>
          </w:tcPr>
          <w:p>
            <w:pPr>
              <w:spacing w:after="0"/>
              <w:rPr>
                <w:sz w:val="20"/>
                <w:szCs w:val="20"/>
                <w:color w:val="auto"/>
              </w:rPr>
            </w:pPr>
            <w:r>
              <w:rPr>
                <w:rFonts w:ascii="Arial" w:cs="Arial" w:eastAsia="Arial" w:hAnsi="Arial"/>
                <w:sz w:val="17"/>
                <w:szCs w:val="17"/>
                <w:color w:val="auto"/>
              </w:rPr>
              <w:t>* Not meaningful</w:t>
            </w:r>
          </w:p>
        </w:tc>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200" w:type="dxa"/>
            <w:vAlign w:val="bottom"/>
          </w:tcPr>
          <w:p>
            <w:pPr>
              <w:spacing w:after="0"/>
              <w:rPr>
                <w:sz w:val="24"/>
                <w:szCs w:val="24"/>
                <w:color w:val="auto"/>
              </w:rPr>
            </w:pPr>
          </w:p>
        </w:tc>
        <w:tc>
          <w:tcPr>
            <w:tcW w:w="3440" w:type="dxa"/>
            <w:vAlign w:val="bottom"/>
          </w:tcPr>
          <w:p>
            <w:pPr>
              <w:jc w:val="right"/>
              <w:ind w:right="1757"/>
              <w:spacing w:after="0"/>
              <w:rPr>
                <w:sz w:val="20"/>
                <w:szCs w:val="20"/>
                <w:color w:val="auto"/>
              </w:rPr>
            </w:pPr>
            <w:r>
              <w:rPr>
                <w:rFonts w:ascii="Arial" w:cs="Arial" w:eastAsia="Arial" w:hAnsi="Arial"/>
                <w:sz w:val="17"/>
                <w:szCs w:val="17"/>
                <w:color w:val="auto"/>
              </w:rPr>
              <w:t>44</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4" w:right="239" w:bottom="1440" w:gutter="0" w:footer="0" w:header="0"/>
        </w:sectPr>
      </w:pPr>
    </w:p>
    <w:bookmarkStart w:id="47" w:name="page48"/>
    <w:bookmarkEnd w:id="47"/>
    <w:p>
      <w:pPr>
        <w:jc w:val="both"/>
        <w:ind w:firstLine="597"/>
        <w:spacing w:after="0" w:line="254" w:lineRule="auto"/>
        <w:rPr>
          <w:sz w:val="20"/>
          <w:szCs w:val="20"/>
          <w:color w:val="auto"/>
        </w:rPr>
      </w:pPr>
      <w:r>
        <w:rPr>
          <w:rFonts w:ascii="Arial" w:cs="Arial" w:eastAsia="Arial" w:hAnsi="Arial"/>
          <w:sz w:val="17"/>
          <w:szCs w:val="17"/>
          <w:color w:val="auto"/>
        </w:rPr>
        <w:t xml:space="preserve">The benefit from income taxes was $31.5 million for fiscal 2019, compared to a provision for income taxes of $0.4 million for fiscal 2018. The change in the provision for income taxes was primarily due to the release of the valuation allowance during the second quarter of 2019 as further described in Note 13,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of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w:t>
      </w:r>
    </w:p>
    <w:p>
      <w:pPr>
        <w:spacing w:after="0" w:line="107"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color w:val="auto"/>
        </w:rPr>
        <w:t>The following table presents selected unaudited quarterly consolidated statements of operations data for each of the eight quarters during the years ended December 31, 2019 and December 31, 2018. We have prepared the unaudited quarterly consolidated statements of operations data on a basis consistent with the audited annual Consolidated Financial Statements included elsewhere in this Annual Report. In management's opinion, the financial information in this table reflects all normal and recurring adjustments necessary for the fair statement of this data. This information should be read in conjunction with the Consolidated Financial Statements and related notes included elsewhere in this Annual Report. The results of historical periods are not necessarily indicative of the results for any future periods.</w:t>
      </w:r>
    </w:p>
    <w:p>
      <w:pPr>
        <w:spacing w:after="0" w:line="256" w:lineRule="exact"/>
        <w:rPr>
          <w:sz w:val="20"/>
          <w:szCs w:val="20"/>
          <w:color w:val="auto"/>
        </w:rPr>
      </w:pPr>
    </w:p>
    <w:p>
      <w:pPr>
        <w:jc w:val="center"/>
        <w:ind w:left="3120"/>
        <w:spacing w:after="0"/>
        <w:rPr>
          <w:sz w:val="20"/>
          <w:szCs w:val="20"/>
          <w:color w:val="auto"/>
        </w:rPr>
      </w:pPr>
      <w:r>
        <w:rPr>
          <w:rFonts w:ascii="Arial" w:cs="Arial" w:eastAsia="Arial" w:hAnsi="Arial"/>
          <w:sz w:val="13"/>
          <w:szCs w:val="13"/>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1965960</wp:posOffset>
            </wp:positionH>
            <wp:positionV relativeFrom="paragraph">
              <wp:posOffset>20320</wp:posOffset>
            </wp:positionV>
            <wp:extent cx="5290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90820" cy="7620"/>
                    </a:xfrm>
                    <a:prstGeom prst="rect">
                      <a:avLst/>
                    </a:prstGeom>
                    <a:noFill/>
                  </pic:spPr>
                </pic:pic>
              </a:graphicData>
            </a:graphic>
          </wp:anchor>
        </w:drawing>
      </w:r>
    </w:p>
    <w:p>
      <w:pPr>
        <w:spacing w:after="0" w:line="125" w:lineRule="exact"/>
        <w:rPr>
          <w:sz w:val="20"/>
          <w:szCs w:val="20"/>
          <w:color w:val="auto"/>
        </w:rPr>
      </w:pPr>
    </w:p>
    <w:p>
      <w:pPr>
        <w:ind w:left="3280"/>
        <w:spacing w:after="0"/>
        <w:tabs>
          <w:tab w:leader="none" w:pos="4360" w:val="left"/>
          <w:tab w:leader="none" w:pos="5560" w:val="left"/>
          <w:tab w:leader="none" w:pos="6540" w:val="left"/>
          <w:tab w:leader="none" w:pos="7500" w:val="left"/>
          <w:tab w:leader="none" w:pos="8560" w:val="left"/>
          <w:tab w:leader="none" w:pos="9760" w:val="left"/>
          <w:tab w:leader="none" w:pos="10740" w:val="left"/>
        </w:tabs>
        <w:rPr>
          <w:sz w:val="20"/>
          <w:szCs w:val="20"/>
          <w:color w:val="auto"/>
        </w:rPr>
      </w:pPr>
      <w:r>
        <w:rPr>
          <w:rFonts w:ascii="Arial" w:cs="Arial" w:eastAsia="Arial" w:hAnsi="Arial"/>
          <w:sz w:val="10"/>
          <w:szCs w:val="10"/>
          <w:b w:val="1"/>
          <w:bCs w:val="1"/>
          <w:color w:val="auto"/>
        </w:rPr>
        <w:t>December 31,</w:t>
      </w:r>
      <w:r>
        <w:rPr>
          <w:sz w:val="20"/>
          <w:szCs w:val="20"/>
          <w:color w:val="auto"/>
        </w:rPr>
        <w:tab/>
      </w:r>
      <w:r>
        <w:rPr>
          <w:rFonts w:ascii="Arial" w:cs="Arial" w:eastAsia="Arial" w:hAnsi="Arial"/>
          <w:sz w:val="10"/>
          <w:szCs w:val="10"/>
          <w:b w:val="1"/>
          <w:bCs w:val="1"/>
          <w:color w:val="auto"/>
        </w:rPr>
        <w:t>September 30,</w:t>
      </w:r>
      <w:r>
        <w:rPr>
          <w:sz w:val="20"/>
          <w:szCs w:val="20"/>
          <w:color w:val="auto"/>
        </w:rPr>
        <w:tab/>
      </w:r>
      <w:r>
        <w:rPr>
          <w:rFonts w:ascii="Arial" w:cs="Arial" w:eastAsia="Arial" w:hAnsi="Arial"/>
          <w:sz w:val="10"/>
          <w:szCs w:val="10"/>
          <w:b w:val="1"/>
          <w:bCs w:val="1"/>
          <w:color w:val="auto"/>
        </w:rPr>
        <w:t>June 30,</w:t>
      </w:r>
      <w:r>
        <w:rPr>
          <w:sz w:val="20"/>
          <w:szCs w:val="20"/>
          <w:color w:val="auto"/>
        </w:rPr>
        <w:tab/>
      </w:r>
      <w:r>
        <w:rPr>
          <w:rFonts w:ascii="Arial" w:cs="Arial" w:eastAsia="Arial" w:hAnsi="Arial"/>
          <w:sz w:val="10"/>
          <w:szCs w:val="10"/>
          <w:b w:val="1"/>
          <w:bCs w:val="1"/>
          <w:color w:val="auto"/>
        </w:rPr>
        <w:t>March 31,</w:t>
      </w:r>
      <w:r>
        <w:rPr>
          <w:sz w:val="20"/>
          <w:szCs w:val="20"/>
          <w:color w:val="auto"/>
        </w:rPr>
        <w:tab/>
      </w:r>
      <w:r>
        <w:rPr>
          <w:rFonts w:ascii="Arial" w:cs="Arial" w:eastAsia="Arial" w:hAnsi="Arial"/>
          <w:sz w:val="10"/>
          <w:szCs w:val="10"/>
          <w:b w:val="1"/>
          <w:bCs w:val="1"/>
          <w:color w:val="auto"/>
        </w:rPr>
        <w:t>December 31,</w:t>
      </w:r>
      <w:r>
        <w:rPr>
          <w:sz w:val="20"/>
          <w:szCs w:val="20"/>
          <w:color w:val="auto"/>
        </w:rPr>
        <w:tab/>
      </w:r>
      <w:r>
        <w:rPr>
          <w:rFonts w:ascii="Arial" w:cs="Arial" w:eastAsia="Arial" w:hAnsi="Arial"/>
          <w:sz w:val="10"/>
          <w:szCs w:val="10"/>
          <w:b w:val="1"/>
          <w:bCs w:val="1"/>
          <w:color w:val="auto"/>
        </w:rPr>
        <w:t>September 30,</w:t>
      </w:r>
      <w:r>
        <w:rPr>
          <w:sz w:val="20"/>
          <w:szCs w:val="20"/>
          <w:color w:val="auto"/>
        </w:rPr>
        <w:tab/>
      </w:r>
      <w:r>
        <w:rPr>
          <w:rFonts w:ascii="Arial" w:cs="Arial" w:eastAsia="Arial" w:hAnsi="Arial"/>
          <w:sz w:val="10"/>
          <w:szCs w:val="10"/>
          <w:b w:val="1"/>
          <w:bCs w:val="1"/>
          <w:color w:val="auto"/>
        </w:rPr>
        <w:t>June 30,</w:t>
      </w:r>
      <w:r>
        <w:rPr>
          <w:sz w:val="20"/>
          <w:szCs w:val="20"/>
          <w:color w:val="auto"/>
        </w:rPr>
        <w:tab/>
      </w:r>
      <w:r>
        <w:rPr>
          <w:rFonts w:ascii="Arial" w:cs="Arial" w:eastAsia="Arial" w:hAnsi="Arial"/>
          <w:sz w:val="9"/>
          <w:szCs w:val="9"/>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1965960</wp:posOffset>
            </wp:positionH>
            <wp:positionV relativeFrom="paragraph">
              <wp:posOffset>20955</wp:posOffset>
            </wp:positionV>
            <wp:extent cx="52908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0820" cy="762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Consolidated Statements of Operations Data:</w:t>
      </w:r>
    </w:p>
    <w:p>
      <w:pPr>
        <w:spacing w:after="0" w:line="103" w:lineRule="exact"/>
        <w:rPr>
          <w:sz w:val="20"/>
          <w:szCs w:val="20"/>
          <w:color w:val="auto"/>
        </w:rPr>
      </w:pPr>
    </w:p>
    <w:p>
      <w:pPr>
        <w:ind w:left="20"/>
        <w:spacing w:after="0"/>
        <w:tabs>
          <w:tab w:leader="none" w:pos="3100" w:val="left"/>
        </w:tabs>
        <w:rPr>
          <w:sz w:val="20"/>
          <w:szCs w:val="20"/>
          <w:color w:val="auto"/>
        </w:rPr>
      </w:pPr>
      <w:r>
        <w:rPr>
          <w:rFonts w:ascii="Arial" w:cs="Arial" w:eastAsia="Arial" w:hAnsi="Arial"/>
          <w:sz w:val="10"/>
          <w:szCs w:val="10"/>
          <w:color w:val="auto"/>
        </w:rPr>
        <w:t>Revenue</w:t>
      </w:r>
      <w:r>
        <w:rPr>
          <w:sz w:val="20"/>
          <w:szCs w:val="20"/>
          <w:color w:val="auto"/>
        </w:rPr>
        <w:tab/>
      </w:r>
      <w:r>
        <w:rPr>
          <w:rFonts w:ascii="Arial" w:cs="Arial" w:eastAsia="Arial" w:hAnsi="Arial"/>
          <w:sz w:val="10"/>
          <w:szCs w:val="10"/>
          <w:color w:val="auto"/>
        </w:rPr>
        <w:t>$</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Costs and operating expenses:</w:t>
      </w:r>
    </w:p>
    <w:p>
      <w:pPr>
        <w:spacing w:after="0" w:line="37" w:lineRule="exact"/>
        <w:rPr>
          <w:sz w:val="20"/>
          <w:szCs w:val="20"/>
          <w:color w:val="auto"/>
        </w:rPr>
      </w:pPr>
    </w:p>
    <w:p>
      <w:pPr>
        <w:ind w:left="340" w:right="360"/>
        <w:spacing w:after="0" w:line="249" w:lineRule="auto"/>
        <w:rPr>
          <w:sz w:val="20"/>
          <w:szCs w:val="20"/>
          <w:color w:val="auto"/>
        </w:rPr>
      </w:pPr>
      <w:r>
        <w:rPr>
          <w:rFonts w:ascii="Arial" w:cs="Arial" w:eastAsia="Arial" w:hAnsi="Arial"/>
          <w:sz w:val="13"/>
          <w:szCs w:val="13"/>
          <w:color w:val="auto"/>
        </w:rPr>
        <w:t>Cost of revenue (exclusive of depreciation and amortization) (1)</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Sales and marketing (1)</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Research and product development (1)</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General and administrative (1)</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Depreciation and amortization</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Total costs and operating expenses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Income (loss) from operations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income (expense), net</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Interest income (expense), net</w:t>
      </w:r>
    </w:p>
    <w:p>
      <w:pPr>
        <w:spacing w:after="0" w:line="37" w:lineRule="exact"/>
        <w:rPr>
          <w:sz w:val="20"/>
          <w:szCs w:val="20"/>
          <w:color w:val="auto"/>
        </w:rPr>
      </w:pPr>
    </w:p>
    <w:p>
      <w:pPr>
        <w:ind w:left="20" w:right="140"/>
        <w:spacing w:after="0" w:line="249" w:lineRule="auto"/>
        <w:rPr>
          <w:sz w:val="20"/>
          <w:szCs w:val="20"/>
          <w:color w:val="auto"/>
        </w:rPr>
      </w:pPr>
      <w:r>
        <w:rPr>
          <w:rFonts w:ascii="Arial" w:cs="Arial" w:eastAsia="Arial" w:hAnsi="Arial"/>
          <w:sz w:val="13"/>
          <w:szCs w:val="13"/>
          <w:color w:val="auto"/>
        </w:rPr>
        <w:t>Income (loss) before provision for (benefit from) income taxes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Provision for (benefit from) income taxes</w:t>
      </w:r>
    </w:p>
    <w:p>
      <w:pPr>
        <w:spacing w:after="0" w:line="87" w:lineRule="exact"/>
        <w:rPr>
          <w:sz w:val="20"/>
          <w:szCs w:val="20"/>
          <w:color w:val="auto"/>
        </w:rPr>
      </w:pPr>
    </w:p>
    <w:p>
      <w:pPr>
        <w:ind w:left="20"/>
        <w:spacing w:after="0"/>
        <w:tabs>
          <w:tab w:leader="none" w:pos="3100" w:val="left"/>
        </w:tabs>
        <w:rPr>
          <w:sz w:val="20"/>
          <w:szCs w:val="20"/>
          <w:color w:val="auto"/>
        </w:rPr>
      </w:pPr>
      <w:r>
        <w:rPr>
          <w:rFonts w:ascii="Arial" w:cs="Arial" w:eastAsia="Arial" w:hAnsi="Arial"/>
          <w:sz w:val="13"/>
          <w:szCs w:val="13"/>
          <w:color w:val="auto"/>
        </w:rPr>
        <w:t>Net income</w:t>
      </w:r>
      <w:r>
        <w:rPr>
          <w:sz w:val="20"/>
          <w:szCs w:val="20"/>
          <w:color w:val="auto"/>
        </w:rPr>
        <w:tab/>
      </w:r>
      <w:r>
        <w:rPr>
          <w:rFonts w:ascii="Arial" w:cs="Arial" w:eastAsia="Arial" w:hAnsi="Arial"/>
          <w:sz w:val="10"/>
          <w:szCs w:val="10"/>
          <w:color w:val="auto"/>
        </w:rPr>
        <w:t>$</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 per common share:</w:t>
      </w:r>
    </w:p>
    <w:p>
      <w:pPr>
        <w:spacing w:after="0" w:line="99" w:lineRule="exact"/>
        <w:rPr>
          <w:sz w:val="20"/>
          <w:szCs w:val="20"/>
          <w:color w:val="auto"/>
        </w:rPr>
      </w:pPr>
    </w:p>
    <w:p>
      <w:pPr>
        <w:jc w:val="both"/>
        <w:ind w:left="340"/>
        <w:spacing w:after="0"/>
        <w:tabs>
          <w:tab w:leader="none" w:pos="3100" w:val="left"/>
        </w:tabs>
        <w:rPr>
          <w:sz w:val="20"/>
          <w:szCs w:val="20"/>
          <w:color w:val="auto"/>
        </w:rPr>
      </w:pPr>
      <w:r>
        <w:rPr>
          <w:rFonts w:ascii="Arial" w:cs="Arial" w:eastAsia="Arial" w:hAnsi="Arial"/>
          <w:sz w:val="13"/>
          <w:szCs w:val="13"/>
          <w:color w:val="auto"/>
        </w:rPr>
        <w:t>Basic</w:t>
      </w:r>
      <w:r>
        <w:rPr>
          <w:sz w:val="20"/>
          <w:szCs w:val="20"/>
          <w:color w:val="auto"/>
        </w:rPr>
        <w:tab/>
      </w:r>
      <w:r>
        <w:rPr>
          <w:rFonts w:ascii="Arial" w:cs="Arial" w:eastAsia="Arial" w:hAnsi="Arial"/>
          <w:sz w:val="13"/>
          <w:szCs w:val="13"/>
          <w:color w:val="auto"/>
        </w:rPr>
        <w:t>$</w:t>
      </w:r>
    </w:p>
    <w:p>
      <w:pPr>
        <w:spacing w:after="0" w:line="99" w:lineRule="exact"/>
        <w:rPr>
          <w:sz w:val="20"/>
          <w:szCs w:val="20"/>
          <w:color w:val="auto"/>
        </w:rPr>
      </w:pPr>
    </w:p>
    <w:p>
      <w:pPr>
        <w:jc w:val="both"/>
        <w:ind w:left="340"/>
        <w:spacing w:after="0"/>
        <w:tabs>
          <w:tab w:leader="none" w:pos="3100" w:val="left"/>
        </w:tabs>
        <w:rPr>
          <w:sz w:val="20"/>
          <w:szCs w:val="20"/>
          <w:color w:val="auto"/>
        </w:rPr>
      </w:pPr>
      <w:r>
        <w:rPr>
          <w:rFonts w:ascii="Arial" w:cs="Arial" w:eastAsia="Arial" w:hAnsi="Arial"/>
          <w:sz w:val="13"/>
          <w:szCs w:val="13"/>
          <w:color w:val="auto"/>
        </w:rPr>
        <w:t>Diluted</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3"/>
          </w:tcPr>
          <w:p>
            <w:pPr>
              <w:jc w:val="right"/>
              <w:ind w:right="154"/>
              <w:spacing w:after="0"/>
              <w:rPr>
                <w:sz w:val="20"/>
                <w:szCs w:val="20"/>
                <w:color w:val="auto"/>
              </w:rPr>
            </w:pPr>
            <w:r>
              <w:rPr>
                <w:rFonts w:ascii="Arial" w:cs="Arial" w:eastAsia="Arial" w:hAnsi="Arial"/>
                <w:sz w:val="13"/>
                <w:szCs w:val="13"/>
                <w:b w:val="1"/>
                <w:bCs w:val="1"/>
                <w:color w:val="auto"/>
              </w:rPr>
              <w:t>2018</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49"/>
        </w:trPr>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40" w:type="dxa"/>
            <w:vAlign w:val="bottom"/>
            <w:gridSpan w:val="7"/>
          </w:tcPr>
          <w:p>
            <w:pPr>
              <w:ind w:left="20"/>
              <w:spacing w:after="0"/>
              <w:rPr>
                <w:sz w:val="20"/>
                <w:szCs w:val="20"/>
                <w:color w:val="auto"/>
              </w:rPr>
            </w:pPr>
            <w:r>
              <w:rPr>
                <w:rFonts w:ascii="Arial" w:cs="Arial" w:eastAsia="Arial" w:hAnsi="Arial"/>
                <w:sz w:val="13"/>
                <w:szCs w:val="13"/>
                <w:b w:val="1"/>
                <w:bCs w:val="1"/>
                <w:color w:val="auto"/>
                <w:w w:val="91"/>
              </w:rPr>
              <w:t>(in thousands, except per share data)</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497"/>
        </w:trPr>
        <w:tc>
          <w:tcPr>
            <w:tcW w:w="600" w:type="dxa"/>
            <w:vAlign w:val="bottom"/>
          </w:tcPr>
          <w:p>
            <w:pPr>
              <w:jc w:val="right"/>
              <w:ind w:right="174"/>
              <w:spacing w:after="0"/>
              <w:rPr>
                <w:sz w:val="20"/>
                <w:szCs w:val="20"/>
                <w:color w:val="auto"/>
              </w:rPr>
            </w:pPr>
            <w:r>
              <w:rPr>
                <w:rFonts w:ascii="Arial" w:cs="Arial" w:eastAsia="Arial" w:hAnsi="Arial"/>
                <w:sz w:val="13"/>
                <w:szCs w:val="13"/>
                <w:color w:val="auto"/>
                <w:w w:val="85"/>
              </w:rPr>
              <w:t>67,362</w:t>
            </w:r>
          </w:p>
        </w:tc>
        <w:tc>
          <w:tcPr>
            <w:tcW w:w="3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67,935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63,624</w:t>
            </w: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57,091</w:t>
            </w:r>
          </w:p>
        </w:tc>
        <w:tc>
          <w:tcPr>
            <w:tcW w:w="100" w:type="dxa"/>
            <w:vAlign w:val="bottom"/>
          </w:tcPr>
          <w:p>
            <w:pPr>
              <w:spacing w:after="0"/>
              <w:rPr>
                <w:sz w:val="24"/>
                <w:szCs w:val="24"/>
                <w:color w:val="auto"/>
              </w:rPr>
            </w:pPr>
          </w:p>
        </w:tc>
        <w:tc>
          <w:tcPr>
            <w:tcW w:w="2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50,365</w:t>
            </w:r>
          </w:p>
        </w:tc>
        <w:tc>
          <w:tcPr>
            <w:tcW w:w="100" w:type="dxa"/>
            <w:vAlign w:val="bottom"/>
          </w:tcPr>
          <w:p>
            <w:pPr>
              <w:spacing w:after="0"/>
              <w:rPr>
                <w:sz w:val="24"/>
                <w:szCs w:val="24"/>
                <w:color w:val="auto"/>
              </w:rPr>
            </w:pPr>
          </w:p>
        </w:tc>
        <w:tc>
          <w:tcPr>
            <w:tcW w:w="3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50,126</w:t>
            </w:r>
          </w:p>
        </w:tc>
        <w:tc>
          <w:tcPr>
            <w:tcW w:w="120" w:type="dxa"/>
            <w:vAlign w:val="bottom"/>
          </w:tcPr>
          <w:p>
            <w:pPr>
              <w:spacing w:after="0"/>
              <w:rPr>
                <w:sz w:val="24"/>
                <w:szCs w:val="24"/>
                <w:color w:val="auto"/>
              </w:rPr>
            </w:pP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47,240</w:t>
            </w:r>
          </w:p>
        </w:tc>
        <w:tc>
          <w:tcPr>
            <w:tcW w:w="120" w:type="dxa"/>
            <w:vAlign w:val="bottom"/>
          </w:tcPr>
          <w:p>
            <w:pPr>
              <w:spacing w:after="0"/>
              <w:rPr>
                <w:sz w:val="24"/>
                <w:szCs w:val="24"/>
                <w:color w:val="auto"/>
              </w:rPr>
            </w:pP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42,340</w:t>
            </w:r>
          </w:p>
        </w:tc>
      </w:tr>
      <w:tr>
        <w:trPr>
          <w:trHeight w:val="572"/>
        </w:trPr>
        <w:tc>
          <w:tcPr>
            <w:tcW w:w="600" w:type="dxa"/>
            <w:vAlign w:val="bottom"/>
          </w:tcPr>
          <w:p>
            <w:pPr>
              <w:jc w:val="right"/>
              <w:ind w:right="174"/>
              <w:spacing w:after="0"/>
              <w:rPr>
                <w:sz w:val="20"/>
                <w:szCs w:val="20"/>
                <w:color w:val="auto"/>
              </w:rPr>
            </w:pPr>
            <w:r>
              <w:rPr>
                <w:rFonts w:ascii="Arial" w:cs="Arial" w:eastAsia="Arial" w:hAnsi="Arial"/>
                <w:sz w:val="13"/>
                <w:szCs w:val="13"/>
                <w:color w:val="auto"/>
                <w:w w:val="85"/>
              </w:rPr>
              <w:t>26,403</w:t>
            </w:r>
          </w:p>
        </w:tc>
        <w:tc>
          <w:tcPr>
            <w:tcW w:w="320" w:type="dxa"/>
            <w:vAlign w:val="bottom"/>
          </w:tcPr>
          <w:p>
            <w:pPr>
              <w:spacing w:after="0"/>
              <w:rPr>
                <w:sz w:val="24"/>
                <w:szCs w:val="24"/>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25,930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25,128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24,181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19,925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19,282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17,729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16,613</w:t>
            </w:r>
          </w:p>
        </w:tc>
      </w:tr>
      <w:tr>
        <w:trPr>
          <w:trHeight w:val="249"/>
        </w:trPr>
        <w:tc>
          <w:tcPr>
            <w:tcW w:w="600" w:type="dxa"/>
            <w:vAlign w:val="bottom"/>
          </w:tcPr>
          <w:p>
            <w:pPr>
              <w:jc w:val="right"/>
              <w:ind w:right="174"/>
              <w:spacing w:after="0"/>
              <w:rPr>
                <w:sz w:val="20"/>
                <w:szCs w:val="20"/>
                <w:color w:val="auto"/>
              </w:rPr>
            </w:pPr>
            <w:r>
              <w:rPr>
                <w:rFonts w:ascii="Arial" w:cs="Arial" w:eastAsia="Arial" w:hAnsi="Arial"/>
                <w:sz w:val="13"/>
                <w:szCs w:val="13"/>
                <w:color w:val="auto"/>
                <w:w w:val="85"/>
              </w:rPr>
              <w:t>14,441</w:t>
            </w:r>
          </w:p>
        </w:tc>
        <w:tc>
          <w:tcPr>
            <w:tcW w:w="320" w:type="dxa"/>
            <w:vAlign w:val="bottom"/>
          </w:tcPr>
          <w:p>
            <w:pPr>
              <w:spacing w:after="0"/>
              <w:rPr>
                <w:sz w:val="21"/>
                <w:szCs w:val="21"/>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12,636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13,232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11,219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9,577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8,681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7,625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7,405</w:t>
            </w:r>
          </w:p>
        </w:tc>
      </w:tr>
      <w:tr>
        <w:trPr>
          <w:trHeight w:val="249"/>
        </w:trPr>
        <w:tc>
          <w:tcPr>
            <w:tcW w:w="600" w:type="dxa"/>
            <w:vAlign w:val="bottom"/>
          </w:tcPr>
          <w:p>
            <w:pPr>
              <w:jc w:val="right"/>
              <w:ind w:right="174"/>
              <w:spacing w:after="0"/>
              <w:rPr>
                <w:sz w:val="20"/>
                <w:szCs w:val="20"/>
                <w:color w:val="auto"/>
              </w:rPr>
            </w:pPr>
            <w:r>
              <w:rPr>
                <w:rFonts w:ascii="Arial" w:cs="Arial" w:eastAsia="Arial" w:hAnsi="Arial"/>
                <w:sz w:val="13"/>
                <w:szCs w:val="13"/>
                <w:color w:val="auto"/>
                <w:w w:val="85"/>
              </w:rPr>
              <w:t>11,086</w:t>
            </w:r>
          </w:p>
        </w:tc>
        <w:tc>
          <w:tcPr>
            <w:tcW w:w="320" w:type="dxa"/>
            <w:vAlign w:val="bottom"/>
          </w:tcPr>
          <w:p>
            <w:pPr>
              <w:spacing w:after="0"/>
              <w:rPr>
                <w:sz w:val="21"/>
                <w:szCs w:val="21"/>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10,602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9,339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8,481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6,588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6,440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5,750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5,333</w:t>
            </w:r>
          </w:p>
        </w:tc>
      </w:tr>
      <w:tr>
        <w:trPr>
          <w:trHeight w:val="249"/>
        </w:trPr>
        <w:tc>
          <w:tcPr>
            <w:tcW w:w="600" w:type="dxa"/>
            <w:vAlign w:val="bottom"/>
          </w:tcPr>
          <w:p>
            <w:pPr>
              <w:jc w:val="right"/>
              <w:ind w:right="174"/>
              <w:spacing w:after="0"/>
              <w:rPr>
                <w:sz w:val="20"/>
                <w:szCs w:val="20"/>
                <w:color w:val="auto"/>
              </w:rPr>
            </w:pPr>
            <w:r>
              <w:rPr>
                <w:rFonts w:ascii="Arial" w:cs="Arial" w:eastAsia="Arial" w:hAnsi="Arial"/>
                <w:sz w:val="13"/>
                <w:szCs w:val="13"/>
                <w:color w:val="auto"/>
              </w:rPr>
              <w:t>9,117</w:t>
            </w:r>
          </w:p>
        </w:tc>
        <w:tc>
          <w:tcPr>
            <w:tcW w:w="320" w:type="dxa"/>
            <w:vAlign w:val="bottom"/>
          </w:tcPr>
          <w:p>
            <w:pPr>
              <w:spacing w:after="0"/>
              <w:rPr>
                <w:sz w:val="21"/>
                <w:szCs w:val="21"/>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8,955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8,214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8,192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7,786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6,541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5,248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5,316</w:t>
            </w:r>
          </w:p>
        </w:tc>
      </w:tr>
      <w:tr>
        <w:trPr>
          <w:trHeight w:val="254"/>
        </w:trPr>
        <w:tc>
          <w:tcPr>
            <w:tcW w:w="600" w:type="dxa"/>
            <w:vAlign w:val="bottom"/>
          </w:tcPr>
          <w:p>
            <w:pPr>
              <w:jc w:val="right"/>
              <w:ind w:right="174"/>
              <w:spacing w:after="0"/>
              <w:rPr>
                <w:sz w:val="20"/>
                <w:szCs w:val="20"/>
                <w:color w:val="auto"/>
              </w:rPr>
            </w:pPr>
            <w:r>
              <w:rPr>
                <w:rFonts w:ascii="Arial" w:cs="Arial" w:eastAsia="Arial" w:hAnsi="Arial"/>
                <w:sz w:val="13"/>
                <w:szCs w:val="13"/>
                <w:color w:val="auto"/>
              </w:rPr>
              <w:t>6,226</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5,678</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5,415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5,076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3,792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3,705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3,579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3,500</w:t>
            </w:r>
          </w:p>
        </w:tc>
      </w:tr>
      <w:tr>
        <w:trPr>
          <w:trHeight w:val="229"/>
        </w:trPr>
        <w:tc>
          <w:tcPr>
            <w:tcW w:w="600" w:type="dxa"/>
            <w:vAlign w:val="bottom"/>
          </w:tcPr>
          <w:p>
            <w:pPr>
              <w:jc w:val="right"/>
              <w:ind w:right="174"/>
              <w:spacing w:after="0"/>
              <w:rPr>
                <w:sz w:val="20"/>
                <w:szCs w:val="20"/>
                <w:color w:val="auto"/>
              </w:rPr>
            </w:pPr>
            <w:r>
              <w:rPr>
                <w:rFonts w:ascii="Arial" w:cs="Arial" w:eastAsia="Arial" w:hAnsi="Arial"/>
                <w:sz w:val="13"/>
                <w:szCs w:val="13"/>
                <w:color w:val="auto"/>
                <w:w w:val="85"/>
              </w:rPr>
              <w:t>67,273</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63,801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61,328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57,149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47,668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44,649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39,931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38,167</w:t>
            </w:r>
          </w:p>
        </w:tc>
      </w:tr>
      <w:tr>
        <w:trPr>
          <w:trHeight w:val="224"/>
        </w:trPr>
        <w:tc>
          <w:tcPr>
            <w:tcW w:w="600" w:type="dxa"/>
            <w:vAlign w:val="bottom"/>
          </w:tcPr>
          <w:p>
            <w:pPr>
              <w:jc w:val="right"/>
              <w:ind w:right="174"/>
              <w:spacing w:after="0"/>
              <w:rPr>
                <w:sz w:val="20"/>
                <w:szCs w:val="20"/>
                <w:color w:val="auto"/>
              </w:rPr>
            </w:pPr>
            <w:r>
              <w:rPr>
                <w:rFonts w:ascii="Arial" w:cs="Arial" w:eastAsia="Arial" w:hAnsi="Arial"/>
                <w:sz w:val="13"/>
                <w:szCs w:val="13"/>
                <w:color w:val="auto"/>
              </w:rPr>
              <w:t>89</w:t>
            </w:r>
          </w:p>
        </w:tc>
        <w:tc>
          <w:tcPr>
            <w:tcW w:w="320" w:type="dxa"/>
            <w:vAlign w:val="bottom"/>
          </w:tcPr>
          <w:p>
            <w:pPr>
              <w:spacing w:after="0"/>
              <w:rPr>
                <w:sz w:val="19"/>
                <w:szCs w:val="19"/>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4,134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2,296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2,697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5,477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7,309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4,173</w:t>
            </w:r>
          </w:p>
        </w:tc>
      </w:tr>
      <w:tr>
        <w:trPr>
          <w:trHeight w:val="249"/>
        </w:trPr>
        <w:tc>
          <w:tcPr>
            <w:tcW w:w="600" w:type="dxa"/>
            <w:vAlign w:val="bottom"/>
          </w:tcPr>
          <w:p>
            <w:pPr>
              <w:jc w:val="right"/>
              <w:ind w:right="174"/>
              <w:spacing w:after="0"/>
              <w:rPr>
                <w:sz w:val="20"/>
                <w:szCs w:val="20"/>
                <w:color w:val="auto"/>
              </w:rPr>
            </w:pPr>
            <w:r>
              <w:rPr>
                <w:rFonts w:ascii="Arial" w:cs="Arial" w:eastAsia="Arial" w:hAnsi="Arial"/>
                <w:sz w:val="13"/>
                <w:szCs w:val="13"/>
                <w:color w:val="auto"/>
              </w:rPr>
              <w:t>84</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54"/>
        </w:trPr>
        <w:tc>
          <w:tcPr>
            <w:tcW w:w="600" w:type="dxa"/>
            <w:vAlign w:val="bottom"/>
          </w:tcPr>
          <w:p>
            <w:pPr>
              <w:jc w:val="right"/>
              <w:ind w:right="134"/>
              <w:spacing w:after="0"/>
              <w:rPr>
                <w:sz w:val="20"/>
                <w:szCs w:val="20"/>
                <w:color w:val="auto"/>
              </w:rPr>
            </w:pPr>
            <w:r>
              <w:rPr>
                <w:rFonts w:ascii="Arial" w:cs="Arial" w:eastAsia="Arial" w:hAnsi="Arial"/>
                <w:sz w:val="13"/>
                <w:szCs w:val="13"/>
                <w:color w:val="auto"/>
              </w:rPr>
              <w:t>(330)</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(427)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(497)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176</w:t>
            </w:r>
          </w:p>
        </w:tc>
      </w:tr>
      <w:tr>
        <w:trPr>
          <w:trHeight w:val="298"/>
        </w:trPr>
        <w:tc>
          <w:tcPr>
            <w:tcW w:w="600" w:type="dxa"/>
            <w:vAlign w:val="bottom"/>
          </w:tcPr>
          <w:p>
            <w:pPr>
              <w:jc w:val="right"/>
              <w:ind w:right="134"/>
              <w:spacing w:after="0"/>
              <w:rPr>
                <w:sz w:val="20"/>
                <w:szCs w:val="20"/>
                <w:color w:val="auto"/>
              </w:rPr>
            </w:pPr>
            <w:r>
              <w:rPr>
                <w:rFonts w:ascii="Arial" w:cs="Arial" w:eastAsia="Arial" w:hAnsi="Arial"/>
                <w:sz w:val="13"/>
                <w:szCs w:val="13"/>
                <w:color w:val="auto"/>
              </w:rPr>
              <w:t>(157)</w:t>
            </w:r>
          </w:p>
        </w:tc>
        <w:tc>
          <w:tcPr>
            <w:tcW w:w="320" w:type="dxa"/>
            <w:vAlign w:val="bottom"/>
          </w:tcPr>
          <w:p>
            <w:pPr>
              <w:spacing w:after="0"/>
              <w:rPr>
                <w:sz w:val="24"/>
                <w:szCs w:val="24"/>
                <w:color w:val="auto"/>
              </w:rPr>
            </w:pP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3,723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1,813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(556)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2,817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5,707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7,517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4,346</w:t>
            </w:r>
          </w:p>
        </w:tc>
      </w:tr>
      <w:tr>
        <w:trPr>
          <w:trHeight w:val="254"/>
        </w:trPr>
        <w:tc>
          <w:tcPr>
            <w:tcW w:w="600" w:type="dxa"/>
            <w:vAlign w:val="bottom"/>
          </w:tcPr>
          <w:p>
            <w:pPr>
              <w:jc w:val="right"/>
              <w:ind w:right="134"/>
              <w:spacing w:after="0"/>
              <w:rPr>
                <w:sz w:val="20"/>
                <w:szCs w:val="20"/>
                <w:color w:val="auto"/>
              </w:rPr>
            </w:pPr>
            <w:r>
              <w:rPr>
                <w:rFonts w:ascii="Arial" w:cs="Arial" w:eastAsia="Arial" w:hAnsi="Arial"/>
                <w:sz w:val="13"/>
                <w:szCs w:val="13"/>
                <w:color w:val="auto"/>
                <w:w w:val="92"/>
              </w:rPr>
              <w:t>(4,585)</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(1,255)</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(21,338)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(4,281)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26</w:t>
            </w:r>
          </w:p>
        </w:tc>
      </w:tr>
      <w:tr>
        <w:trPr>
          <w:trHeight w:val="216"/>
        </w:trPr>
        <w:tc>
          <w:tcPr>
            <w:tcW w:w="600" w:type="dxa"/>
            <w:vAlign w:val="bottom"/>
          </w:tcPr>
          <w:p>
            <w:pPr>
              <w:jc w:val="right"/>
              <w:ind w:right="174"/>
              <w:spacing w:after="0"/>
              <w:rPr>
                <w:sz w:val="20"/>
                <w:szCs w:val="20"/>
                <w:color w:val="auto"/>
              </w:rPr>
            </w:pPr>
            <w:r>
              <w:rPr>
                <w:rFonts w:ascii="Arial" w:cs="Arial" w:eastAsia="Arial" w:hAnsi="Arial"/>
                <w:sz w:val="13"/>
                <w:szCs w:val="13"/>
                <w:color w:val="auto"/>
              </w:rPr>
              <w:t>4,428</w:t>
            </w:r>
          </w:p>
        </w:tc>
        <w:tc>
          <w:tcPr>
            <w:tcW w:w="3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4,978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23,151</w:t>
            </w: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3,725</w:t>
            </w:r>
          </w:p>
        </w:tc>
        <w:tc>
          <w:tcPr>
            <w:tcW w:w="100" w:type="dxa"/>
            <w:vAlign w:val="bottom"/>
          </w:tcPr>
          <w:p>
            <w:pPr>
              <w:spacing w:after="0"/>
              <w:rPr>
                <w:sz w:val="18"/>
                <w:szCs w:val="18"/>
                <w:color w:val="auto"/>
              </w:rPr>
            </w:pPr>
          </w:p>
        </w:tc>
        <w:tc>
          <w:tcPr>
            <w:tcW w:w="2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2,649</w:t>
            </w:r>
          </w:p>
        </w:tc>
        <w:tc>
          <w:tcPr>
            <w:tcW w:w="100" w:type="dxa"/>
            <w:vAlign w:val="bottom"/>
          </w:tcPr>
          <w:p>
            <w:pPr>
              <w:spacing w:after="0"/>
              <w:rPr>
                <w:sz w:val="18"/>
                <w:szCs w:val="18"/>
                <w:color w:val="auto"/>
              </w:rPr>
            </w:pPr>
          </w:p>
        </w:tc>
        <w:tc>
          <w:tcPr>
            <w:tcW w:w="3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5,524</w:t>
            </w:r>
          </w:p>
        </w:tc>
        <w:tc>
          <w:tcPr>
            <w:tcW w:w="120" w:type="dxa"/>
            <w:vAlign w:val="bottom"/>
          </w:tcPr>
          <w:p>
            <w:pPr>
              <w:spacing w:after="0"/>
              <w:rPr>
                <w:sz w:val="18"/>
                <w:szCs w:val="18"/>
                <w:color w:val="auto"/>
              </w:rPr>
            </w:pP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7,474</w:t>
            </w:r>
          </w:p>
        </w:tc>
        <w:tc>
          <w:tcPr>
            <w:tcW w:w="120" w:type="dxa"/>
            <w:vAlign w:val="bottom"/>
          </w:tcPr>
          <w:p>
            <w:pPr>
              <w:spacing w:after="0"/>
              <w:rPr>
                <w:sz w:val="18"/>
                <w:szCs w:val="18"/>
                <w:color w:val="auto"/>
              </w:rPr>
            </w:pP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4,320</w:t>
            </w:r>
          </w:p>
        </w:tc>
      </w:tr>
      <w:tr>
        <w:trPr>
          <w:trHeight w:val="20"/>
        </w:trPr>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470"/>
        </w:trPr>
        <w:tc>
          <w:tcPr>
            <w:tcW w:w="600" w:type="dxa"/>
            <w:vAlign w:val="bottom"/>
          </w:tcPr>
          <w:p>
            <w:pPr>
              <w:jc w:val="right"/>
              <w:ind w:right="174"/>
              <w:spacing w:after="0"/>
              <w:rPr>
                <w:sz w:val="20"/>
                <w:szCs w:val="20"/>
                <w:color w:val="auto"/>
              </w:rPr>
            </w:pPr>
            <w:r>
              <w:rPr>
                <w:rFonts w:ascii="Arial" w:cs="Arial" w:eastAsia="Arial" w:hAnsi="Arial"/>
                <w:sz w:val="13"/>
                <w:szCs w:val="13"/>
                <w:color w:val="auto"/>
              </w:rPr>
              <w:t>0.13</w:t>
            </w:r>
          </w:p>
        </w:tc>
        <w:tc>
          <w:tcPr>
            <w:tcW w:w="3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0.68</w:t>
            </w: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0.11</w:t>
            </w:r>
          </w:p>
        </w:tc>
        <w:tc>
          <w:tcPr>
            <w:tcW w:w="100" w:type="dxa"/>
            <w:vAlign w:val="bottom"/>
          </w:tcPr>
          <w:p>
            <w:pPr>
              <w:spacing w:after="0"/>
              <w:rPr>
                <w:sz w:val="24"/>
                <w:szCs w:val="24"/>
                <w:color w:val="auto"/>
              </w:rPr>
            </w:pPr>
          </w:p>
        </w:tc>
        <w:tc>
          <w:tcPr>
            <w:tcW w:w="2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0.08</w:t>
            </w:r>
          </w:p>
        </w:tc>
        <w:tc>
          <w:tcPr>
            <w:tcW w:w="100" w:type="dxa"/>
            <w:vAlign w:val="bottom"/>
          </w:tcPr>
          <w:p>
            <w:pPr>
              <w:spacing w:after="0"/>
              <w:rPr>
                <w:sz w:val="24"/>
                <w:szCs w:val="24"/>
                <w:color w:val="auto"/>
              </w:rPr>
            </w:pPr>
          </w:p>
        </w:tc>
        <w:tc>
          <w:tcPr>
            <w:tcW w:w="3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0.16</w:t>
            </w:r>
          </w:p>
        </w:tc>
        <w:tc>
          <w:tcPr>
            <w:tcW w:w="120" w:type="dxa"/>
            <w:vAlign w:val="bottom"/>
          </w:tcPr>
          <w:p>
            <w:pPr>
              <w:spacing w:after="0"/>
              <w:rPr>
                <w:sz w:val="24"/>
                <w:szCs w:val="24"/>
                <w:color w:val="auto"/>
              </w:rPr>
            </w:pP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0.22</w:t>
            </w:r>
          </w:p>
        </w:tc>
        <w:tc>
          <w:tcPr>
            <w:tcW w:w="120" w:type="dxa"/>
            <w:vAlign w:val="bottom"/>
          </w:tcPr>
          <w:p>
            <w:pPr>
              <w:spacing w:after="0"/>
              <w:rPr>
                <w:sz w:val="24"/>
                <w:szCs w:val="24"/>
                <w:color w:val="auto"/>
              </w:rPr>
            </w:pP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0.13</w:t>
            </w:r>
          </w:p>
        </w:tc>
      </w:tr>
      <w:tr>
        <w:trPr>
          <w:trHeight w:val="249"/>
        </w:trPr>
        <w:tc>
          <w:tcPr>
            <w:tcW w:w="600" w:type="dxa"/>
            <w:vAlign w:val="bottom"/>
          </w:tcPr>
          <w:p>
            <w:pPr>
              <w:jc w:val="right"/>
              <w:ind w:right="174"/>
              <w:spacing w:after="0"/>
              <w:rPr>
                <w:sz w:val="20"/>
                <w:szCs w:val="20"/>
                <w:color w:val="auto"/>
              </w:rPr>
            </w:pPr>
            <w:r>
              <w:rPr>
                <w:rFonts w:ascii="Arial" w:cs="Arial" w:eastAsia="Arial" w:hAnsi="Arial"/>
                <w:sz w:val="13"/>
                <w:szCs w:val="13"/>
                <w:color w:val="auto"/>
              </w:rPr>
              <w:t>0.12</w:t>
            </w:r>
          </w:p>
        </w:tc>
        <w:tc>
          <w:tcPr>
            <w:tcW w:w="3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4"/>
              <w:spacing w:after="0"/>
              <w:rPr>
                <w:sz w:val="20"/>
                <w:szCs w:val="20"/>
                <w:color w:val="auto"/>
              </w:rPr>
            </w:pPr>
            <w:r>
              <w:rPr>
                <w:rFonts w:ascii="Arial" w:cs="Arial" w:eastAsia="Arial" w:hAnsi="Arial"/>
                <w:sz w:val="13"/>
                <w:szCs w:val="13"/>
                <w:color w:val="auto"/>
              </w:rPr>
              <w:t>0.14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0.65</w:t>
            </w: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0.11</w:t>
            </w:r>
          </w:p>
        </w:tc>
        <w:tc>
          <w:tcPr>
            <w:tcW w:w="100" w:type="dxa"/>
            <w:vAlign w:val="bottom"/>
          </w:tcPr>
          <w:p>
            <w:pPr>
              <w:spacing w:after="0"/>
              <w:rPr>
                <w:sz w:val="21"/>
                <w:szCs w:val="21"/>
                <w:color w:val="auto"/>
              </w:rPr>
            </w:pPr>
          </w:p>
        </w:tc>
        <w:tc>
          <w:tcPr>
            <w:tcW w:w="2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0.07</w:t>
            </w:r>
          </w:p>
        </w:tc>
        <w:tc>
          <w:tcPr>
            <w:tcW w:w="100" w:type="dxa"/>
            <w:vAlign w:val="bottom"/>
          </w:tcPr>
          <w:p>
            <w:pPr>
              <w:spacing w:after="0"/>
              <w:rPr>
                <w:sz w:val="21"/>
                <w:szCs w:val="21"/>
                <w:color w:val="auto"/>
              </w:rPr>
            </w:pPr>
          </w:p>
        </w:tc>
        <w:tc>
          <w:tcPr>
            <w:tcW w:w="3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4"/>
              <w:spacing w:after="0"/>
              <w:rPr>
                <w:sz w:val="20"/>
                <w:szCs w:val="20"/>
                <w:color w:val="auto"/>
              </w:rPr>
            </w:pPr>
            <w:r>
              <w:rPr>
                <w:rFonts w:ascii="Arial" w:cs="Arial" w:eastAsia="Arial" w:hAnsi="Arial"/>
                <w:sz w:val="13"/>
                <w:szCs w:val="13"/>
                <w:color w:val="auto"/>
              </w:rPr>
              <w:t>0.16</w:t>
            </w:r>
          </w:p>
        </w:tc>
        <w:tc>
          <w:tcPr>
            <w:tcW w:w="120" w:type="dxa"/>
            <w:vAlign w:val="bottom"/>
          </w:tcPr>
          <w:p>
            <w:pPr>
              <w:spacing w:after="0"/>
              <w:rPr>
                <w:sz w:val="21"/>
                <w:szCs w:val="21"/>
                <w:color w:val="auto"/>
              </w:rPr>
            </w:pP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0.21</w:t>
            </w:r>
          </w:p>
        </w:tc>
        <w:tc>
          <w:tcPr>
            <w:tcW w:w="120" w:type="dxa"/>
            <w:vAlign w:val="bottom"/>
          </w:tcPr>
          <w:p>
            <w:pPr>
              <w:spacing w:after="0"/>
              <w:rPr>
                <w:sz w:val="21"/>
                <w:szCs w:val="21"/>
                <w:color w:val="auto"/>
              </w:rPr>
            </w:pP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-2788920</wp:posOffset>
            </wp:positionV>
            <wp:extent cx="7257415" cy="158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158115"/>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-2472690</wp:posOffset>
            </wp:positionV>
            <wp:extent cx="7257415" cy="205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5105"/>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-2109470</wp:posOffset>
            </wp:positionV>
            <wp:extent cx="7257415" cy="158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158115"/>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-1793875</wp:posOffset>
            </wp:positionV>
            <wp:extent cx="7257415" cy="1800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1800225"/>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-3104515</wp:posOffset>
            </wp:positionV>
            <wp:extent cx="52908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9082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380"/>
            <w:col w:w="7860"/>
          </w:cols>
          <w:pgMar w:left="240" w:top="774" w:right="239" w:bottom="1440" w:gutter="0" w:footer="0" w:header="0"/>
          <w:type w:val="continuous"/>
        </w:sectPr>
      </w:pPr>
    </w:p>
    <w:p>
      <w:pPr>
        <w:spacing w:after="0" w:line="70" w:lineRule="exact"/>
        <w:rPr>
          <w:sz w:val="20"/>
          <w:szCs w:val="20"/>
          <w:color w:val="auto"/>
        </w:rPr>
      </w:pPr>
    </w:p>
    <w:p>
      <w:pPr>
        <w:ind w:left="1160" w:hanging="153"/>
        <w:spacing w:after="0"/>
        <w:tabs>
          <w:tab w:leader="none" w:pos="1160" w:val="left"/>
        </w:tabs>
        <w:numPr>
          <w:ilvl w:val="0"/>
          <w:numId w:val="22"/>
        </w:numPr>
        <w:rPr>
          <w:rFonts w:ascii="Arial" w:cs="Arial" w:eastAsia="Arial" w:hAnsi="Arial"/>
          <w:sz w:val="18"/>
          <w:szCs w:val="18"/>
          <w:color w:val="auto"/>
          <w:vertAlign w:val="superscript"/>
        </w:rPr>
      </w:pPr>
      <w:r>
        <w:rPr>
          <w:rFonts w:ascii="Arial" w:cs="Arial" w:eastAsia="Arial" w:hAnsi="Arial"/>
          <w:sz w:val="13"/>
          <w:szCs w:val="13"/>
          <w:color w:val="auto"/>
        </w:rPr>
        <w:t>The following table presents stock-based compensation expense included in each respective expense category: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3"/>
                <w:szCs w:val="13"/>
                <w:b w:val="1"/>
                <w:bCs w:val="1"/>
                <w:color w:val="auto"/>
                <w:w w:val="95"/>
              </w:rPr>
              <w:t>Quarter Ended</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238"/>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0"/>
                <w:szCs w:val="10"/>
                <w:b w:val="1"/>
                <w:bCs w:val="1"/>
                <w:color w:val="auto"/>
              </w:rPr>
              <w:t>December 31,</w:t>
            </w:r>
          </w:p>
        </w:tc>
        <w:tc>
          <w:tcPr>
            <w:tcW w:w="160" w:type="dxa"/>
            <w:vAlign w:val="bottom"/>
          </w:tcPr>
          <w:p>
            <w:pPr>
              <w:spacing w:after="0"/>
              <w:rPr>
                <w:sz w:val="20"/>
                <w:szCs w:val="20"/>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w w:val="93"/>
              </w:rPr>
              <w:t>September 30,</w:t>
            </w: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0"/>
                <w:szCs w:val="10"/>
                <w:b w:val="1"/>
                <w:bCs w:val="1"/>
                <w:color w:val="auto"/>
              </w:rPr>
              <w:t>June 30,</w:t>
            </w:r>
          </w:p>
        </w:tc>
        <w:tc>
          <w:tcPr>
            <w:tcW w:w="18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0"/>
                <w:szCs w:val="10"/>
                <w:b w:val="1"/>
                <w:bCs w:val="1"/>
                <w:color w:val="auto"/>
              </w:rPr>
              <w:t>March 31,</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0"/>
                <w:szCs w:val="10"/>
                <w:b w:val="1"/>
                <w:bCs w:val="1"/>
                <w:color w:val="auto"/>
              </w:rPr>
              <w:t>December 31,</w:t>
            </w:r>
          </w:p>
        </w:tc>
        <w:tc>
          <w:tcPr>
            <w:tcW w:w="1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w:t>
            </w:r>
          </w:p>
        </w:tc>
        <w:tc>
          <w:tcPr>
            <w:tcW w:w="180" w:type="dxa"/>
            <w:vAlign w:val="bottom"/>
          </w:tcPr>
          <w:p>
            <w:pPr>
              <w:spacing w:after="0"/>
              <w:rPr>
                <w:sz w:val="20"/>
                <w:szCs w:val="20"/>
                <w:color w:val="auto"/>
              </w:rPr>
            </w:pPr>
          </w:p>
        </w:tc>
        <w:tc>
          <w:tcPr>
            <w:tcW w:w="840" w:type="dxa"/>
            <w:vAlign w:val="bottom"/>
            <w:gridSpan w:val="2"/>
          </w:tcPr>
          <w:p>
            <w:pPr>
              <w:ind w:left="100"/>
              <w:spacing w:after="0"/>
              <w:rPr>
                <w:sz w:val="20"/>
                <w:szCs w:val="20"/>
                <w:color w:val="auto"/>
              </w:rPr>
            </w:pPr>
            <w:r>
              <w:rPr>
                <w:rFonts w:ascii="Arial" w:cs="Arial" w:eastAsia="Arial" w:hAnsi="Arial"/>
                <w:sz w:val="10"/>
                <w:szCs w:val="10"/>
                <w:b w:val="1"/>
                <w:bCs w:val="1"/>
                <w:color w:val="auto"/>
              </w:rPr>
              <w:t>June 30,</w:t>
            </w:r>
          </w:p>
        </w:tc>
        <w:tc>
          <w:tcPr>
            <w:tcW w:w="160" w:type="dxa"/>
            <w:vAlign w:val="bottom"/>
          </w:tcPr>
          <w:p>
            <w:pPr>
              <w:spacing w:after="0"/>
              <w:rPr>
                <w:sz w:val="20"/>
                <w:szCs w:val="20"/>
                <w:color w:val="auto"/>
              </w:rPr>
            </w:pPr>
          </w:p>
        </w:tc>
        <w:tc>
          <w:tcPr>
            <w:tcW w:w="740" w:type="dxa"/>
            <w:vAlign w:val="bottom"/>
          </w:tcPr>
          <w:p>
            <w:pPr>
              <w:jc w:val="right"/>
              <w:ind w:right="156"/>
              <w:spacing w:after="0"/>
              <w:rPr>
                <w:sz w:val="20"/>
                <w:szCs w:val="20"/>
                <w:color w:val="auto"/>
              </w:rPr>
            </w:pPr>
            <w:r>
              <w:rPr>
                <w:rFonts w:ascii="Arial" w:cs="Arial" w:eastAsia="Arial" w:hAnsi="Arial"/>
                <w:sz w:val="10"/>
                <w:szCs w:val="10"/>
                <w:b w:val="1"/>
                <w:bCs w:val="1"/>
                <w:color w:val="auto"/>
              </w:rPr>
              <w:t>March 31,</w:t>
            </w:r>
          </w:p>
        </w:tc>
      </w:tr>
      <w:tr>
        <w:trPr>
          <w:trHeight w:val="231"/>
        </w:trPr>
        <w:tc>
          <w:tcPr>
            <w:tcW w:w="3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gridSpan w:val="3"/>
          </w:tcPr>
          <w:p>
            <w:pPr>
              <w:jc w:val="right"/>
              <w:ind w:right="74"/>
              <w:spacing w:after="0"/>
              <w:rPr>
                <w:sz w:val="20"/>
                <w:szCs w:val="20"/>
                <w:color w:val="auto"/>
              </w:rPr>
            </w:pPr>
            <w:r>
              <w:rPr>
                <w:rFonts w:ascii="Arial" w:cs="Arial" w:eastAsia="Arial" w:hAnsi="Arial"/>
                <w:sz w:val="13"/>
                <w:szCs w:val="13"/>
                <w:b w:val="1"/>
                <w:bCs w:val="1"/>
                <w:color w:val="auto"/>
              </w:rPr>
              <w:t>2018</w:t>
            </w:r>
          </w:p>
        </w:tc>
        <w:tc>
          <w:tcPr>
            <w:tcW w:w="7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r>
      <w:tr>
        <w:trPr>
          <w:trHeight w:val="224"/>
        </w:trPr>
        <w:tc>
          <w:tcPr>
            <w:tcW w:w="3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51"/>
        </w:trPr>
        <w:tc>
          <w:tcPr>
            <w:tcW w:w="3100" w:type="dxa"/>
            <w:vAlign w:val="bottom"/>
          </w:tcPr>
          <w:p>
            <w:pPr>
              <w:ind w:left="20"/>
              <w:spacing w:after="0"/>
              <w:rPr>
                <w:sz w:val="20"/>
                <w:szCs w:val="20"/>
                <w:color w:val="auto"/>
              </w:rPr>
            </w:pPr>
            <w:r>
              <w:rPr>
                <w:rFonts w:ascii="Arial" w:cs="Arial" w:eastAsia="Arial" w:hAnsi="Arial"/>
                <w:sz w:val="13"/>
                <w:szCs w:val="13"/>
                <w:b w:val="1"/>
                <w:bCs w:val="1"/>
                <w:color w:val="auto"/>
                <w:w w:val="91"/>
              </w:rPr>
              <w:t>Stock-based compensation expense included in costs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7"/>
        </w:trPr>
        <w:tc>
          <w:tcPr>
            <w:tcW w:w="3100" w:type="dxa"/>
            <w:vAlign w:val="bottom"/>
          </w:tcPr>
          <w:p>
            <w:pPr>
              <w:ind w:left="20"/>
              <w:spacing w:after="0"/>
              <w:rPr>
                <w:sz w:val="20"/>
                <w:szCs w:val="20"/>
                <w:color w:val="auto"/>
              </w:rPr>
            </w:pPr>
            <w:r>
              <w:rPr>
                <w:rFonts w:ascii="Arial" w:cs="Arial" w:eastAsia="Arial" w:hAnsi="Arial"/>
                <w:sz w:val="13"/>
                <w:szCs w:val="13"/>
                <w:b w:val="1"/>
                <w:bCs w:val="1"/>
                <w:color w:val="auto"/>
              </w:rPr>
              <w:t>and operating expenses: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50"/>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 (exclusive of depreciation and</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78"/>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393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334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250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220</w:t>
            </w:r>
          </w:p>
        </w:tc>
      </w:tr>
      <w:tr>
        <w:trPr>
          <w:trHeight w:val="244"/>
        </w:trPr>
        <w:tc>
          <w:tcPr>
            <w:tcW w:w="310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140" w:type="dxa"/>
            <w:vAlign w:val="bottom"/>
          </w:tcPr>
          <w:p>
            <w:pPr>
              <w:spacing w:after="0"/>
              <w:rPr>
                <w:sz w:val="21"/>
                <w:szCs w:val="21"/>
                <w:color w:val="auto"/>
              </w:rPr>
            </w:pPr>
          </w:p>
        </w:tc>
        <w:tc>
          <w:tcPr>
            <w:tcW w:w="800" w:type="dxa"/>
            <w:vAlign w:val="bottom"/>
          </w:tcPr>
          <w:p>
            <w:pPr>
              <w:jc w:val="right"/>
              <w:ind w:right="56"/>
              <w:spacing w:after="0"/>
              <w:rPr>
                <w:sz w:val="20"/>
                <w:szCs w:val="20"/>
                <w:color w:val="auto"/>
              </w:rPr>
            </w:pPr>
            <w:r>
              <w:rPr>
                <w:rFonts w:ascii="Arial" w:cs="Arial" w:eastAsia="Arial" w:hAnsi="Arial"/>
                <w:sz w:val="13"/>
                <w:szCs w:val="13"/>
                <w:color w:val="auto"/>
              </w:rPr>
              <w:t>367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56"/>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248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210</w:t>
            </w:r>
          </w:p>
        </w:tc>
      </w:tr>
      <w:tr>
        <w:trPr>
          <w:trHeight w:val="254"/>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product development</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287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225</w:t>
            </w:r>
          </w:p>
        </w:tc>
      </w:tr>
      <w:tr>
        <w:trPr>
          <w:trHeight w:val="244"/>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731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1,151</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607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672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892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994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572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663</w:t>
            </w:r>
          </w:p>
        </w:tc>
      </w:tr>
      <w:tr>
        <w:trPr>
          <w:trHeight w:val="221"/>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1,878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2,192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1,687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1,552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1,918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1,764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1,337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1,318</w:t>
            </w: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774" w:right="2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3"/>
          <w:szCs w:val="13"/>
          <w:color w:val="auto"/>
        </w:rPr>
        <w:t>The following table presents selected consolidated statements of operations data for the specified periods as a percentage of our revenue for those periods:</w:t>
      </w:r>
    </w:p>
    <w:p>
      <w:pPr>
        <w:spacing w:after="0" w:line="253" w:lineRule="exact"/>
        <w:rPr>
          <w:sz w:val="20"/>
          <w:szCs w:val="20"/>
          <w:color w:val="auto"/>
        </w:rPr>
      </w:pPr>
    </w:p>
    <w:p>
      <w:pPr>
        <w:ind w:left="6700"/>
        <w:spacing w:after="0"/>
        <w:rPr>
          <w:sz w:val="20"/>
          <w:szCs w:val="20"/>
          <w:color w:val="auto"/>
        </w:rPr>
      </w:pPr>
      <w:r>
        <w:rPr>
          <w:rFonts w:ascii="Arial" w:cs="Arial" w:eastAsia="Arial" w:hAnsi="Arial"/>
          <w:sz w:val="13"/>
          <w:szCs w:val="13"/>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20320</wp:posOffset>
            </wp:positionV>
            <wp:extent cx="547243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72430" cy="762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Consolidated Statements of Operations Data:</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Revenue</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Costs and operating expenses:</w:t>
      </w:r>
    </w:p>
    <w:p>
      <w:pPr>
        <w:spacing w:after="0" w:line="99" w:lineRule="exact"/>
        <w:rPr>
          <w:sz w:val="20"/>
          <w:szCs w:val="20"/>
          <w:color w:val="auto"/>
        </w:rPr>
      </w:pPr>
    </w:p>
    <w:p>
      <w:pPr>
        <w:ind w:left="340" w:right="20"/>
        <w:spacing w:after="0" w:line="249" w:lineRule="auto"/>
        <w:rPr>
          <w:sz w:val="20"/>
          <w:szCs w:val="20"/>
          <w:color w:val="auto"/>
        </w:rPr>
      </w:pPr>
      <w:r>
        <w:rPr>
          <w:rFonts w:ascii="Arial" w:cs="Arial" w:eastAsia="Arial" w:hAnsi="Arial"/>
          <w:sz w:val="13"/>
          <w:szCs w:val="13"/>
          <w:color w:val="auto"/>
        </w:rPr>
        <w:t>Cost of revenue (exclusive of depreciation and amortization)</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Sales and marketing</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Research and product development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General and administrative</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Depreciation and amortization</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2"/>
          <w:szCs w:val="12"/>
          <w:color w:val="auto"/>
        </w:rPr>
        <w:t>Total costs and operating expenses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Income (loss) from operations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income (expense), net</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Interest income (expense), net</w:t>
      </w:r>
    </w:p>
    <w:p>
      <w:pPr>
        <w:spacing w:after="0" w:line="99" w:lineRule="exact"/>
        <w:rPr>
          <w:sz w:val="20"/>
          <w:szCs w:val="20"/>
          <w:color w:val="auto"/>
        </w:rPr>
      </w:pPr>
    </w:p>
    <w:p>
      <w:pPr>
        <w:ind w:left="20"/>
        <w:spacing w:after="0" w:line="249" w:lineRule="auto"/>
        <w:rPr>
          <w:sz w:val="20"/>
          <w:szCs w:val="20"/>
          <w:color w:val="auto"/>
        </w:rPr>
      </w:pPr>
      <w:r>
        <w:rPr>
          <w:rFonts w:ascii="Arial" w:cs="Arial" w:eastAsia="Arial" w:hAnsi="Arial"/>
          <w:sz w:val="13"/>
          <w:szCs w:val="13"/>
          <w:color w:val="auto"/>
        </w:rPr>
        <w:t>Income (loss) before provision for (benefit from) income taxes</w:t>
      </w:r>
    </w:p>
    <w:p>
      <w:pPr>
        <w:spacing w:after="0" w:line="13" w:lineRule="exact"/>
        <w:rPr>
          <w:sz w:val="20"/>
          <w:szCs w:val="20"/>
          <w:color w:val="auto"/>
        </w:rPr>
      </w:pPr>
    </w:p>
    <w:p>
      <w:pPr>
        <w:ind w:left="20" w:right="400"/>
        <w:spacing w:after="0" w:line="429" w:lineRule="auto"/>
        <w:rPr>
          <w:sz w:val="20"/>
          <w:szCs w:val="20"/>
          <w:color w:val="auto"/>
        </w:rPr>
      </w:pPr>
      <w:r>
        <w:rPr>
          <w:rFonts w:ascii="Arial" w:cs="Arial" w:eastAsia="Arial" w:hAnsi="Arial"/>
          <w:sz w:val="13"/>
          <w:szCs w:val="13"/>
          <w:color w:val="auto"/>
        </w:rPr>
        <w:t>Provision for (benefit from) income taxes Net income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1"/>
        </w:trPr>
        <w:tc>
          <w:tcPr>
            <w:tcW w:w="10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December 31,</w:t>
            </w:r>
          </w:p>
        </w:tc>
        <w:tc>
          <w:tcPr>
            <w:tcW w:w="1300" w:type="dxa"/>
            <w:vAlign w:val="bottom"/>
            <w:tcBorders>
              <w:bottom w:val="single" w:sz="8" w:color="auto"/>
            </w:tcBorders>
          </w:tcPr>
          <w:p>
            <w:pPr>
              <w:jc w:val="right"/>
              <w:ind w:right="455"/>
              <w:spacing w:after="0"/>
              <w:rPr>
                <w:sz w:val="20"/>
                <w:szCs w:val="20"/>
                <w:color w:val="auto"/>
              </w:rPr>
            </w:pPr>
            <w:r>
              <w:rPr>
                <w:rFonts w:ascii="Arial" w:cs="Arial" w:eastAsia="Arial" w:hAnsi="Arial"/>
                <w:sz w:val="10"/>
                <w:szCs w:val="10"/>
                <w:b w:val="1"/>
                <w:bCs w:val="1"/>
                <w:color w:val="auto"/>
              </w:rPr>
              <w:t>September 30,</w:t>
            </w: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0"/>
                <w:szCs w:val="10"/>
                <w:b w:val="1"/>
                <w:bCs w:val="1"/>
                <w:color w:val="auto"/>
              </w:rPr>
              <w:t>June 30,</w:t>
            </w:r>
          </w:p>
        </w:tc>
        <w:tc>
          <w:tcPr>
            <w:tcW w:w="88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March 31,</w:t>
            </w:r>
          </w:p>
        </w:tc>
      </w:tr>
      <w:tr>
        <w:trPr>
          <w:trHeight w:val="231"/>
        </w:trPr>
        <w:tc>
          <w:tcPr>
            <w:tcW w:w="10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2019</w:t>
            </w:r>
          </w:p>
        </w:tc>
        <w:tc>
          <w:tcPr>
            <w:tcW w:w="9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485"/>
        </w:trPr>
        <w:tc>
          <w:tcPr>
            <w:tcW w:w="1080" w:type="dxa"/>
            <w:vAlign w:val="bottom"/>
          </w:tcPr>
          <w:p>
            <w:pPr>
              <w:jc w:val="right"/>
              <w:ind w:right="115"/>
              <w:spacing w:after="0"/>
              <w:rPr>
                <w:sz w:val="20"/>
                <w:szCs w:val="20"/>
                <w:color w:val="auto"/>
              </w:rPr>
            </w:pPr>
            <w:r>
              <w:rPr>
                <w:rFonts w:ascii="Arial" w:cs="Arial" w:eastAsia="Arial" w:hAnsi="Arial"/>
                <w:sz w:val="13"/>
                <w:szCs w:val="13"/>
                <w:color w:val="auto"/>
              </w:rPr>
              <w:t>100.0 %</w:t>
            </w:r>
          </w:p>
        </w:tc>
        <w:tc>
          <w:tcPr>
            <w:tcW w:w="1300" w:type="dxa"/>
            <w:vAlign w:val="bottom"/>
          </w:tcPr>
          <w:p>
            <w:pPr>
              <w:jc w:val="right"/>
              <w:ind w:right="255"/>
              <w:spacing w:after="0"/>
              <w:rPr>
                <w:sz w:val="20"/>
                <w:szCs w:val="20"/>
                <w:color w:val="auto"/>
              </w:rPr>
            </w:pPr>
            <w:r>
              <w:rPr>
                <w:rFonts w:ascii="Arial" w:cs="Arial" w:eastAsia="Arial" w:hAnsi="Arial"/>
                <w:sz w:val="13"/>
                <w:szCs w:val="13"/>
                <w:color w:val="auto"/>
              </w:rPr>
              <w:t>100.0 %</w:t>
            </w:r>
          </w:p>
        </w:tc>
        <w:tc>
          <w:tcPr>
            <w:tcW w:w="940" w:type="dxa"/>
            <w:vAlign w:val="bottom"/>
          </w:tcPr>
          <w:p>
            <w:pPr>
              <w:jc w:val="right"/>
              <w:ind w:right="135"/>
              <w:spacing w:after="0"/>
              <w:rPr>
                <w:sz w:val="20"/>
                <w:szCs w:val="20"/>
                <w:color w:val="auto"/>
              </w:rPr>
            </w:pPr>
            <w:r>
              <w:rPr>
                <w:rFonts w:ascii="Arial" w:cs="Arial" w:eastAsia="Arial" w:hAnsi="Arial"/>
                <w:sz w:val="13"/>
                <w:szCs w:val="13"/>
                <w:color w:val="auto"/>
              </w:rPr>
              <w:t>100.0 %</w:t>
            </w:r>
          </w:p>
        </w:tc>
        <w:tc>
          <w:tcPr>
            <w:tcW w:w="880" w:type="dxa"/>
            <w:vAlign w:val="bottom"/>
          </w:tcPr>
          <w:p>
            <w:pPr>
              <w:jc w:val="right"/>
              <w:spacing w:after="0"/>
              <w:rPr>
                <w:sz w:val="20"/>
                <w:szCs w:val="20"/>
                <w:color w:val="auto"/>
              </w:rPr>
            </w:pPr>
            <w:r>
              <w:rPr>
                <w:rFonts w:ascii="Arial" w:cs="Arial" w:eastAsia="Arial" w:hAnsi="Arial"/>
                <w:sz w:val="13"/>
                <w:szCs w:val="13"/>
                <w:color w:val="auto"/>
              </w:rPr>
              <w:t>100.0 %</w:t>
            </w:r>
          </w:p>
        </w:tc>
      </w:tr>
      <w:tr>
        <w:trPr>
          <w:trHeight w:val="572"/>
        </w:trPr>
        <w:tc>
          <w:tcPr>
            <w:tcW w:w="1080" w:type="dxa"/>
            <w:vAlign w:val="bottom"/>
          </w:tcPr>
          <w:p>
            <w:pPr>
              <w:jc w:val="right"/>
              <w:ind w:right="275"/>
              <w:spacing w:after="0"/>
              <w:rPr>
                <w:sz w:val="20"/>
                <w:szCs w:val="20"/>
                <w:color w:val="auto"/>
              </w:rPr>
            </w:pPr>
            <w:r>
              <w:rPr>
                <w:rFonts w:ascii="Arial" w:cs="Arial" w:eastAsia="Arial" w:hAnsi="Arial"/>
                <w:sz w:val="13"/>
                <w:szCs w:val="13"/>
                <w:color w:val="auto"/>
              </w:rPr>
              <w:t>39.2</w:t>
            </w:r>
          </w:p>
        </w:tc>
        <w:tc>
          <w:tcPr>
            <w:tcW w:w="1300" w:type="dxa"/>
            <w:vAlign w:val="bottom"/>
          </w:tcPr>
          <w:p>
            <w:pPr>
              <w:jc w:val="right"/>
              <w:ind w:right="395"/>
              <w:spacing w:after="0"/>
              <w:rPr>
                <w:sz w:val="20"/>
                <w:szCs w:val="20"/>
                <w:color w:val="auto"/>
              </w:rPr>
            </w:pPr>
            <w:r>
              <w:rPr>
                <w:rFonts w:ascii="Arial" w:cs="Arial" w:eastAsia="Arial" w:hAnsi="Arial"/>
                <w:sz w:val="13"/>
                <w:szCs w:val="13"/>
                <w:color w:val="auto"/>
              </w:rPr>
              <w:t>38.2</w:t>
            </w:r>
          </w:p>
        </w:tc>
        <w:tc>
          <w:tcPr>
            <w:tcW w:w="940" w:type="dxa"/>
            <w:vAlign w:val="bottom"/>
          </w:tcPr>
          <w:p>
            <w:pPr>
              <w:jc w:val="right"/>
              <w:ind w:right="275"/>
              <w:spacing w:after="0"/>
              <w:rPr>
                <w:sz w:val="20"/>
                <w:szCs w:val="20"/>
                <w:color w:val="auto"/>
              </w:rPr>
            </w:pPr>
            <w:r>
              <w:rPr>
                <w:rFonts w:ascii="Arial" w:cs="Arial" w:eastAsia="Arial" w:hAnsi="Arial"/>
                <w:sz w:val="13"/>
                <w:szCs w:val="13"/>
                <w:color w:val="auto"/>
              </w:rPr>
              <w:t>39.5</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42.4</w:t>
            </w:r>
          </w:p>
        </w:tc>
      </w:tr>
      <w:tr>
        <w:trPr>
          <w:trHeight w:val="249"/>
        </w:trPr>
        <w:tc>
          <w:tcPr>
            <w:tcW w:w="1080" w:type="dxa"/>
            <w:vAlign w:val="bottom"/>
          </w:tcPr>
          <w:p>
            <w:pPr>
              <w:jc w:val="right"/>
              <w:ind w:right="275"/>
              <w:spacing w:after="0"/>
              <w:rPr>
                <w:sz w:val="20"/>
                <w:szCs w:val="20"/>
                <w:color w:val="auto"/>
              </w:rPr>
            </w:pPr>
            <w:r>
              <w:rPr>
                <w:rFonts w:ascii="Arial" w:cs="Arial" w:eastAsia="Arial" w:hAnsi="Arial"/>
                <w:sz w:val="13"/>
                <w:szCs w:val="13"/>
                <w:color w:val="auto"/>
              </w:rPr>
              <w:t>21.4</w:t>
            </w:r>
          </w:p>
        </w:tc>
        <w:tc>
          <w:tcPr>
            <w:tcW w:w="1300" w:type="dxa"/>
            <w:vAlign w:val="bottom"/>
          </w:tcPr>
          <w:p>
            <w:pPr>
              <w:jc w:val="right"/>
              <w:ind w:right="395"/>
              <w:spacing w:after="0"/>
              <w:rPr>
                <w:sz w:val="20"/>
                <w:szCs w:val="20"/>
                <w:color w:val="auto"/>
              </w:rPr>
            </w:pPr>
            <w:r>
              <w:rPr>
                <w:rFonts w:ascii="Arial" w:cs="Arial" w:eastAsia="Arial" w:hAnsi="Arial"/>
                <w:sz w:val="13"/>
                <w:szCs w:val="13"/>
                <w:color w:val="auto"/>
              </w:rPr>
              <w:t>18.6</w:t>
            </w:r>
          </w:p>
        </w:tc>
        <w:tc>
          <w:tcPr>
            <w:tcW w:w="940" w:type="dxa"/>
            <w:vAlign w:val="bottom"/>
          </w:tcPr>
          <w:p>
            <w:pPr>
              <w:jc w:val="right"/>
              <w:ind w:right="275"/>
              <w:spacing w:after="0"/>
              <w:rPr>
                <w:sz w:val="20"/>
                <w:szCs w:val="20"/>
                <w:color w:val="auto"/>
              </w:rPr>
            </w:pPr>
            <w:r>
              <w:rPr>
                <w:rFonts w:ascii="Arial" w:cs="Arial" w:eastAsia="Arial" w:hAnsi="Arial"/>
                <w:sz w:val="13"/>
                <w:szCs w:val="13"/>
                <w:color w:val="auto"/>
              </w:rPr>
              <w:t>20.8</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19.7</w:t>
            </w:r>
          </w:p>
        </w:tc>
      </w:tr>
      <w:tr>
        <w:trPr>
          <w:trHeight w:val="249"/>
        </w:trPr>
        <w:tc>
          <w:tcPr>
            <w:tcW w:w="1080" w:type="dxa"/>
            <w:vAlign w:val="bottom"/>
          </w:tcPr>
          <w:p>
            <w:pPr>
              <w:jc w:val="right"/>
              <w:ind w:right="275"/>
              <w:spacing w:after="0"/>
              <w:rPr>
                <w:sz w:val="20"/>
                <w:szCs w:val="20"/>
                <w:color w:val="auto"/>
              </w:rPr>
            </w:pPr>
            <w:r>
              <w:rPr>
                <w:rFonts w:ascii="Arial" w:cs="Arial" w:eastAsia="Arial" w:hAnsi="Arial"/>
                <w:sz w:val="13"/>
                <w:szCs w:val="13"/>
                <w:color w:val="auto"/>
              </w:rPr>
              <w:t>16.5</w:t>
            </w:r>
          </w:p>
        </w:tc>
        <w:tc>
          <w:tcPr>
            <w:tcW w:w="1300" w:type="dxa"/>
            <w:vAlign w:val="bottom"/>
          </w:tcPr>
          <w:p>
            <w:pPr>
              <w:jc w:val="right"/>
              <w:ind w:right="395"/>
              <w:spacing w:after="0"/>
              <w:rPr>
                <w:sz w:val="20"/>
                <w:szCs w:val="20"/>
                <w:color w:val="auto"/>
              </w:rPr>
            </w:pPr>
            <w:r>
              <w:rPr>
                <w:rFonts w:ascii="Arial" w:cs="Arial" w:eastAsia="Arial" w:hAnsi="Arial"/>
                <w:sz w:val="13"/>
                <w:szCs w:val="13"/>
                <w:color w:val="auto"/>
              </w:rPr>
              <w:t>15.6</w:t>
            </w:r>
          </w:p>
        </w:tc>
        <w:tc>
          <w:tcPr>
            <w:tcW w:w="940" w:type="dxa"/>
            <w:vAlign w:val="bottom"/>
          </w:tcPr>
          <w:p>
            <w:pPr>
              <w:jc w:val="right"/>
              <w:ind w:right="275"/>
              <w:spacing w:after="0"/>
              <w:rPr>
                <w:sz w:val="20"/>
                <w:szCs w:val="20"/>
                <w:color w:val="auto"/>
              </w:rPr>
            </w:pPr>
            <w:r>
              <w:rPr>
                <w:rFonts w:ascii="Arial" w:cs="Arial" w:eastAsia="Arial" w:hAnsi="Arial"/>
                <w:sz w:val="13"/>
                <w:szCs w:val="13"/>
                <w:color w:val="auto"/>
              </w:rPr>
              <w:t>14.7</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14.9</w:t>
            </w:r>
          </w:p>
        </w:tc>
      </w:tr>
      <w:tr>
        <w:trPr>
          <w:trHeight w:val="249"/>
        </w:trPr>
        <w:tc>
          <w:tcPr>
            <w:tcW w:w="1080" w:type="dxa"/>
            <w:vAlign w:val="bottom"/>
          </w:tcPr>
          <w:p>
            <w:pPr>
              <w:jc w:val="right"/>
              <w:ind w:right="275"/>
              <w:spacing w:after="0"/>
              <w:rPr>
                <w:sz w:val="20"/>
                <w:szCs w:val="20"/>
                <w:color w:val="auto"/>
              </w:rPr>
            </w:pPr>
            <w:r>
              <w:rPr>
                <w:rFonts w:ascii="Arial" w:cs="Arial" w:eastAsia="Arial" w:hAnsi="Arial"/>
                <w:sz w:val="13"/>
                <w:szCs w:val="13"/>
                <w:color w:val="auto"/>
              </w:rPr>
              <w:t>13.5</w:t>
            </w:r>
          </w:p>
        </w:tc>
        <w:tc>
          <w:tcPr>
            <w:tcW w:w="1300" w:type="dxa"/>
            <w:vAlign w:val="bottom"/>
          </w:tcPr>
          <w:p>
            <w:pPr>
              <w:jc w:val="right"/>
              <w:ind w:right="395"/>
              <w:spacing w:after="0"/>
              <w:rPr>
                <w:sz w:val="20"/>
                <w:szCs w:val="20"/>
                <w:color w:val="auto"/>
              </w:rPr>
            </w:pPr>
            <w:r>
              <w:rPr>
                <w:rFonts w:ascii="Arial" w:cs="Arial" w:eastAsia="Arial" w:hAnsi="Arial"/>
                <w:sz w:val="13"/>
                <w:szCs w:val="13"/>
                <w:color w:val="auto"/>
              </w:rPr>
              <w:t>13.2</w:t>
            </w:r>
          </w:p>
        </w:tc>
        <w:tc>
          <w:tcPr>
            <w:tcW w:w="940" w:type="dxa"/>
            <w:vAlign w:val="bottom"/>
          </w:tcPr>
          <w:p>
            <w:pPr>
              <w:jc w:val="right"/>
              <w:ind w:right="275"/>
              <w:spacing w:after="0"/>
              <w:rPr>
                <w:sz w:val="20"/>
                <w:szCs w:val="20"/>
                <w:color w:val="auto"/>
              </w:rPr>
            </w:pPr>
            <w:r>
              <w:rPr>
                <w:rFonts w:ascii="Arial" w:cs="Arial" w:eastAsia="Arial" w:hAnsi="Arial"/>
                <w:sz w:val="13"/>
                <w:szCs w:val="13"/>
                <w:color w:val="auto"/>
              </w:rPr>
              <w:t>12.9</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14.3</w:t>
            </w:r>
          </w:p>
        </w:tc>
      </w:tr>
      <w:tr>
        <w:trPr>
          <w:trHeight w:val="249"/>
        </w:trPr>
        <w:tc>
          <w:tcPr>
            <w:tcW w:w="1080" w:type="dxa"/>
            <w:vAlign w:val="bottom"/>
          </w:tcPr>
          <w:p>
            <w:pPr>
              <w:jc w:val="right"/>
              <w:ind w:right="275"/>
              <w:spacing w:after="0"/>
              <w:rPr>
                <w:sz w:val="20"/>
                <w:szCs w:val="20"/>
                <w:color w:val="auto"/>
              </w:rPr>
            </w:pPr>
            <w:r>
              <w:rPr>
                <w:rFonts w:ascii="Arial" w:cs="Arial" w:eastAsia="Arial" w:hAnsi="Arial"/>
                <w:sz w:val="13"/>
                <w:szCs w:val="13"/>
                <w:color w:val="auto"/>
              </w:rPr>
              <w:t>9.2</w:t>
            </w:r>
          </w:p>
        </w:tc>
        <w:tc>
          <w:tcPr>
            <w:tcW w:w="1300" w:type="dxa"/>
            <w:vAlign w:val="bottom"/>
          </w:tcPr>
          <w:p>
            <w:pPr>
              <w:jc w:val="right"/>
              <w:ind w:right="395"/>
              <w:spacing w:after="0"/>
              <w:rPr>
                <w:sz w:val="20"/>
                <w:szCs w:val="20"/>
                <w:color w:val="auto"/>
              </w:rPr>
            </w:pPr>
            <w:r>
              <w:rPr>
                <w:rFonts w:ascii="Arial" w:cs="Arial" w:eastAsia="Arial" w:hAnsi="Arial"/>
                <w:sz w:val="13"/>
                <w:szCs w:val="13"/>
                <w:color w:val="auto"/>
              </w:rPr>
              <w:t>8.4</w:t>
            </w:r>
          </w:p>
        </w:tc>
        <w:tc>
          <w:tcPr>
            <w:tcW w:w="940" w:type="dxa"/>
            <w:vAlign w:val="bottom"/>
          </w:tcPr>
          <w:p>
            <w:pPr>
              <w:jc w:val="right"/>
              <w:ind w:right="275"/>
              <w:spacing w:after="0"/>
              <w:rPr>
                <w:sz w:val="20"/>
                <w:szCs w:val="20"/>
                <w:color w:val="auto"/>
              </w:rPr>
            </w:pPr>
            <w:r>
              <w:rPr>
                <w:rFonts w:ascii="Arial" w:cs="Arial" w:eastAsia="Arial" w:hAnsi="Arial"/>
                <w:sz w:val="13"/>
                <w:szCs w:val="13"/>
                <w:color w:val="auto"/>
              </w:rPr>
              <w:t>8.5</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8.9</w:t>
            </w:r>
          </w:p>
        </w:tc>
      </w:tr>
      <w:tr>
        <w:trPr>
          <w:trHeight w:val="249"/>
        </w:trPr>
        <w:tc>
          <w:tcPr>
            <w:tcW w:w="1080" w:type="dxa"/>
            <w:vAlign w:val="bottom"/>
          </w:tcPr>
          <w:p>
            <w:pPr>
              <w:jc w:val="right"/>
              <w:ind w:right="275"/>
              <w:spacing w:after="0"/>
              <w:rPr>
                <w:sz w:val="20"/>
                <w:szCs w:val="20"/>
                <w:color w:val="auto"/>
              </w:rPr>
            </w:pPr>
            <w:r>
              <w:rPr>
                <w:rFonts w:ascii="Arial" w:cs="Arial" w:eastAsia="Arial" w:hAnsi="Arial"/>
                <w:sz w:val="13"/>
                <w:szCs w:val="13"/>
                <w:color w:val="auto"/>
              </w:rPr>
              <w:t>99.9</w:t>
            </w:r>
          </w:p>
        </w:tc>
        <w:tc>
          <w:tcPr>
            <w:tcW w:w="1300" w:type="dxa"/>
            <w:vAlign w:val="bottom"/>
          </w:tcPr>
          <w:p>
            <w:pPr>
              <w:jc w:val="right"/>
              <w:ind w:right="395"/>
              <w:spacing w:after="0"/>
              <w:rPr>
                <w:sz w:val="20"/>
                <w:szCs w:val="20"/>
                <w:color w:val="auto"/>
              </w:rPr>
            </w:pPr>
            <w:r>
              <w:rPr>
                <w:rFonts w:ascii="Arial" w:cs="Arial" w:eastAsia="Arial" w:hAnsi="Arial"/>
                <w:sz w:val="13"/>
                <w:szCs w:val="13"/>
                <w:color w:val="auto"/>
              </w:rPr>
              <w:t>93.9</w:t>
            </w:r>
          </w:p>
        </w:tc>
        <w:tc>
          <w:tcPr>
            <w:tcW w:w="940" w:type="dxa"/>
            <w:vAlign w:val="bottom"/>
          </w:tcPr>
          <w:p>
            <w:pPr>
              <w:jc w:val="right"/>
              <w:ind w:right="275"/>
              <w:spacing w:after="0"/>
              <w:rPr>
                <w:sz w:val="20"/>
                <w:szCs w:val="20"/>
                <w:color w:val="auto"/>
              </w:rPr>
            </w:pPr>
            <w:r>
              <w:rPr>
                <w:rFonts w:ascii="Arial" w:cs="Arial" w:eastAsia="Arial" w:hAnsi="Arial"/>
                <w:sz w:val="13"/>
                <w:szCs w:val="13"/>
                <w:color w:val="auto"/>
              </w:rPr>
              <w:t>96.4</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100.1</w:t>
            </w:r>
          </w:p>
        </w:tc>
      </w:tr>
      <w:tr>
        <w:trPr>
          <w:trHeight w:val="249"/>
        </w:trPr>
        <w:tc>
          <w:tcPr>
            <w:tcW w:w="1080" w:type="dxa"/>
            <w:vAlign w:val="bottom"/>
          </w:tcPr>
          <w:p>
            <w:pPr>
              <w:jc w:val="right"/>
              <w:ind w:right="275"/>
              <w:spacing w:after="0"/>
              <w:rPr>
                <w:sz w:val="20"/>
                <w:szCs w:val="20"/>
                <w:color w:val="auto"/>
              </w:rPr>
            </w:pPr>
            <w:r>
              <w:rPr>
                <w:rFonts w:ascii="Arial" w:cs="Arial" w:eastAsia="Arial" w:hAnsi="Arial"/>
                <w:sz w:val="13"/>
                <w:szCs w:val="13"/>
                <w:color w:val="auto"/>
              </w:rPr>
              <w:t>0.1</w:t>
            </w:r>
          </w:p>
        </w:tc>
        <w:tc>
          <w:tcPr>
            <w:tcW w:w="1300" w:type="dxa"/>
            <w:vAlign w:val="bottom"/>
          </w:tcPr>
          <w:p>
            <w:pPr>
              <w:jc w:val="right"/>
              <w:ind w:right="395"/>
              <w:spacing w:after="0"/>
              <w:rPr>
                <w:sz w:val="20"/>
                <w:szCs w:val="20"/>
                <w:color w:val="auto"/>
              </w:rPr>
            </w:pPr>
            <w:r>
              <w:rPr>
                <w:rFonts w:ascii="Arial" w:cs="Arial" w:eastAsia="Arial" w:hAnsi="Arial"/>
                <w:sz w:val="13"/>
                <w:szCs w:val="13"/>
                <w:color w:val="auto"/>
              </w:rPr>
              <w:t>6.1</w:t>
            </w:r>
          </w:p>
        </w:tc>
        <w:tc>
          <w:tcPr>
            <w:tcW w:w="940" w:type="dxa"/>
            <w:vAlign w:val="bottom"/>
          </w:tcPr>
          <w:p>
            <w:pPr>
              <w:jc w:val="right"/>
              <w:ind w:right="275"/>
              <w:spacing w:after="0"/>
              <w:rPr>
                <w:sz w:val="20"/>
                <w:szCs w:val="20"/>
                <w:color w:val="auto"/>
              </w:rPr>
            </w:pPr>
            <w:r>
              <w:rPr>
                <w:rFonts w:ascii="Arial" w:cs="Arial" w:eastAsia="Arial" w:hAnsi="Arial"/>
                <w:sz w:val="13"/>
                <w:szCs w:val="13"/>
                <w:color w:val="auto"/>
              </w:rPr>
              <w:t>3.6</w:t>
            </w: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(0.1)</w:t>
            </w:r>
          </w:p>
        </w:tc>
      </w:tr>
      <w:tr>
        <w:trPr>
          <w:trHeight w:val="249"/>
        </w:trPr>
        <w:tc>
          <w:tcPr>
            <w:tcW w:w="1080" w:type="dxa"/>
            <w:vAlign w:val="bottom"/>
          </w:tcPr>
          <w:p>
            <w:pPr>
              <w:jc w:val="right"/>
              <w:ind w:right="275"/>
              <w:spacing w:after="0"/>
              <w:rPr>
                <w:sz w:val="20"/>
                <w:szCs w:val="20"/>
                <w:color w:val="auto"/>
              </w:rPr>
            </w:pPr>
            <w:r>
              <w:rPr>
                <w:rFonts w:ascii="Arial" w:cs="Arial" w:eastAsia="Arial" w:hAnsi="Arial"/>
                <w:sz w:val="13"/>
                <w:szCs w:val="13"/>
                <w:color w:val="auto"/>
              </w:rPr>
              <w:t>0.1</w:t>
            </w:r>
          </w:p>
        </w:tc>
        <w:tc>
          <w:tcPr>
            <w:tcW w:w="1300" w:type="dxa"/>
            <w:vAlign w:val="bottom"/>
          </w:tcPr>
          <w:p>
            <w:pPr>
              <w:jc w:val="right"/>
              <w:ind w:right="39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35"/>
              <w:spacing w:after="0"/>
              <w:rPr>
                <w:sz w:val="20"/>
                <w:szCs w:val="20"/>
                <w:color w:val="auto"/>
              </w:rPr>
            </w:pPr>
            <w:r>
              <w:rPr>
                <w:rFonts w:ascii="Arial" w:cs="Arial" w:eastAsia="Arial" w:hAnsi="Arial"/>
                <w:sz w:val="13"/>
                <w:szCs w:val="13"/>
                <w:color w:val="auto"/>
              </w:rPr>
              <w:t>(0.1)</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w:t>
            </w:r>
          </w:p>
        </w:tc>
      </w:tr>
      <w:tr>
        <w:trPr>
          <w:trHeight w:val="249"/>
        </w:trPr>
        <w:tc>
          <w:tcPr>
            <w:tcW w:w="1080" w:type="dxa"/>
            <w:vAlign w:val="bottom"/>
          </w:tcPr>
          <w:p>
            <w:pPr>
              <w:jc w:val="right"/>
              <w:ind w:right="215"/>
              <w:spacing w:after="0"/>
              <w:rPr>
                <w:sz w:val="20"/>
                <w:szCs w:val="20"/>
                <w:color w:val="auto"/>
              </w:rPr>
            </w:pPr>
            <w:r>
              <w:rPr>
                <w:rFonts w:ascii="Arial" w:cs="Arial" w:eastAsia="Arial" w:hAnsi="Arial"/>
                <w:sz w:val="13"/>
                <w:szCs w:val="13"/>
                <w:color w:val="auto"/>
              </w:rPr>
              <w:t>(0.5)</w:t>
            </w:r>
          </w:p>
        </w:tc>
        <w:tc>
          <w:tcPr>
            <w:tcW w:w="1300" w:type="dxa"/>
            <w:vAlign w:val="bottom"/>
          </w:tcPr>
          <w:p>
            <w:pPr>
              <w:jc w:val="right"/>
              <w:ind w:right="355"/>
              <w:spacing w:after="0"/>
              <w:rPr>
                <w:sz w:val="20"/>
                <w:szCs w:val="20"/>
                <w:color w:val="auto"/>
              </w:rPr>
            </w:pPr>
            <w:r>
              <w:rPr>
                <w:rFonts w:ascii="Arial" w:cs="Arial" w:eastAsia="Arial" w:hAnsi="Arial"/>
                <w:sz w:val="13"/>
                <w:szCs w:val="13"/>
                <w:color w:val="auto"/>
              </w:rPr>
              <w:t>(0.6)</w:t>
            </w:r>
          </w:p>
        </w:tc>
        <w:tc>
          <w:tcPr>
            <w:tcW w:w="940" w:type="dxa"/>
            <w:vAlign w:val="bottom"/>
          </w:tcPr>
          <w:p>
            <w:pPr>
              <w:jc w:val="right"/>
              <w:ind w:right="235"/>
              <w:spacing w:after="0"/>
              <w:rPr>
                <w:sz w:val="20"/>
                <w:szCs w:val="20"/>
                <w:color w:val="auto"/>
              </w:rPr>
            </w:pPr>
            <w:r>
              <w:rPr>
                <w:rFonts w:ascii="Arial" w:cs="Arial" w:eastAsia="Arial" w:hAnsi="Arial"/>
                <w:sz w:val="13"/>
                <w:szCs w:val="13"/>
                <w:color w:val="auto"/>
              </w:rPr>
              <w:t>(0.7)</w:t>
            </w: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(0.9)</w:t>
            </w:r>
          </w:p>
        </w:tc>
      </w:tr>
      <w:tr>
        <w:trPr>
          <w:trHeight w:val="323"/>
        </w:trPr>
        <w:tc>
          <w:tcPr>
            <w:tcW w:w="1080" w:type="dxa"/>
            <w:vAlign w:val="bottom"/>
          </w:tcPr>
          <w:p>
            <w:pPr>
              <w:jc w:val="right"/>
              <w:ind w:right="215"/>
              <w:spacing w:after="0"/>
              <w:rPr>
                <w:sz w:val="20"/>
                <w:szCs w:val="20"/>
                <w:color w:val="auto"/>
              </w:rPr>
            </w:pPr>
            <w:r>
              <w:rPr>
                <w:rFonts w:ascii="Arial" w:cs="Arial" w:eastAsia="Arial" w:hAnsi="Arial"/>
                <w:sz w:val="13"/>
                <w:szCs w:val="13"/>
                <w:color w:val="auto"/>
              </w:rPr>
              <w:t>(0.2)</w:t>
            </w:r>
          </w:p>
        </w:tc>
        <w:tc>
          <w:tcPr>
            <w:tcW w:w="1300" w:type="dxa"/>
            <w:vAlign w:val="bottom"/>
          </w:tcPr>
          <w:p>
            <w:pPr>
              <w:jc w:val="right"/>
              <w:ind w:right="395"/>
              <w:spacing w:after="0"/>
              <w:rPr>
                <w:sz w:val="20"/>
                <w:szCs w:val="20"/>
                <w:color w:val="auto"/>
              </w:rPr>
            </w:pPr>
            <w:r>
              <w:rPr>
                <w:rFonts w:ascii="Arial" w:cs="Arial" w:eastAsia="Arial" w:hAnsi="Arial"/>
                <w:sz w:val="13"/>
                <w:szCs w:val="13"/>
                <w:color w:val="auto"/>
              </w:rPr>
              <w:t>5.5</w:t>
            </w:r>
          </w:p>
        </w:tc>
        <w:tc>
          <w:tcPr>
            <w:tcW w:w="940" w:type="dxa"/>
            <w:vAlign w:val="bottom"/>
          </w:tcPr>
          <w:p>
            <w:pPr>
              <w:jc w:val="right"/>
              <w:ind w:right="275"/>
              <w:spacing w:after="0"/>
              <w:rPr>
                <w:sz w:val="20"/>
                <w:szCs w:val="20"/>
                <w:color w:val="auto"/>
              </w:rPr>
            </w:pPr>
            <w:r>
              <w:rPr>
                <w:rFonts w:ascii="Arial" w:cs="Arial" w:eastAsia="Arial" w:hAnsi="Arial"/>
                <w:sz w:val="13"/>
                <w:szCs w:val="13"/>
                <w:color w:val="auto"/>
              </w:rPr>
              <w:t>2.8</w:t>
            </w: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(1.0)</w:t>
            </w:r>
          </w:p>
        </w:tc>
      </w:tr>
      <w:tr>
        <w:trPr>
          <w:trHeight w:val="249"/>
        </w:trPr>
        <w:tc>
          <w:tcPr>
            <w:tcW w:w="1080" w:type="dxa"/>
            <w:vAlign w:val="bottom"/>
          </w:tcPr>
          <w:p>
            <w:pPr>
              <w:jc w:val="right"/>
              <w:ind w:right="215"/>
              <w:spacing w:after="0"/>
              <w:rPr>
                <w:sz w:val="20"/>
                <w:szCs w:val="20"/>
                <w:color w:val="auto"/>
              </w:rPr>
            </w:pPr>
            <w:r>
              <w:rPr>
                <w:rFonts w:ascii="Arial" w:cs="Arial" w:eastAsia="Arial" w:hAnsi="Arial"/>
                <w:sz w:val="13"/>
                <w:szCs w:val="13"/>
                <w:color w:val="auto"/>
              </w:rPr>
              <w:t>(6.8)</w:t>
            </w:r>
          </w:p>
        </w:tc>
        <w:tc>
          <w:tcPr>
            <w:tcW w:w="1300" w:type="dxa"/>
            <w:vAlign w:val="bottom"/>
          </w:tcPr>
          <w:p>
            <w:pPr>
              <w:jc w:val="right"/>
              <w:ind w:right="355"/>
              <w:spacing w:after="0"/>
              <w:rPr>
                <w:sz w:val="20"/>
                <w:szCs w:val="20"/>
                <w:color w:val="auto"/>
              </w:rPr>
            </w:pPr>
            <w:r>
              <w:rPr>
                <w:rFonts w:ascii="Arial" w:cs="Arial" w:eastAsia="Arial" w:hAnsi="Arial"/>
                <w:sz w:val="13"/>
                <w:szCs w:val="13"/>
                <w:color w:val="auto"/>
              </w:rPr>
              <w:t>(1.8)</w:t>
            </w:r>
          </w:p>
        </w:tc>
        <w:tc>
          <w:tcPr>
            <w:tcW w:w="940" w:type="dxa"/>
            <w:vAlign w:val="bottom"/>
          </w:tcPr>
          <w:p>
            <w:pPr>
              <w:jc w:val="right"/>
              <w:ind w:right="235"/>
              <w:spacing w:after="0"/>
              <w:rPr>
                <w:sz w:val="20"/>
                <w:szCs w:val="20"/>
                <w:color w:val="auto"/>
              </w:rPr>
            </w:pPr>
            <w:r>
              <w:rPr>
                <w:rFonts w:ascii="Arial" w:cs="Arial" w:eastAsia="Arial" w:hAnsi="Arial"/>
                <w:sz w:val="13"/>
                <w:szCs w:val="13"/>
                <w:color w:val="auto"/>
              </w:rPr>
              <w:t>(33.5)</w:t>
            </w: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(7.5)</w:t>
            </w:r>
          </w:p>
        </w:tc>
      </w:tr>
      <w:tr>
        <w:trPr>
          <w:trHeight w:val="249"/>
        </w:trPr>
        <w:tc>
          <w:tcPr>
            <w:tcW w:w="1080" w:type="dxa"/>
            <w:vAlign w:val="bottom"/>
          </w:tcPr>
          <w:p>
            <w:pPr>
              <w:jc w:val="right"/>
              <w:ind w:right="115"/>
              <w:spacing w:after="0"/>
              <w:rPr>
                <w:sz w:val="20"/>
                <w:szCs w:val="20"/>
                <w:color w:val="auto"/>
              </w:rPr>
            </w:pPr>
            <w:r>
              <w:rPr>
                <w:rFonts w:ascii="Arial" w:cs="Arial" w:eastAsia="Arial" w:hAnsi="Arial"/>
                <w:sz w:val="13"/>
                <w:szCs w:val="13"/>
                <w:color w:val="auto"/>
              </w:rPr>
              <w:t>6.6 %</w:t>
            </w:r>
          </w:p>
        </w:tc>
        <w:tc>
          <w:tcPr>
            <w:tcW w:w="1300" w:type="dxa"/>
            <w:vAlign w:val="bottom"/>
          </w:tcPr>
          <w:p>
            <w:pPr>
              <w:jc w:val="right"/>
              <w:ind w:right="255"/>
              <w:spacing w:after="0"/>
              <w:rPr>
                <w:sz w:val="20"/>
                <w:szCs w:val="20"/>
                <w:color w:val="auto"/>
              </w:rPr>
            </w:pPr>
            <w:r>
              <w:rPr>
                <w:rFonts w:ascii="Arial" w:cs="Arial" w:eastAsia="Arial" w:hAnsi="Arial"/>
                <w:sz w:val="13"/>
                <w:szCs w:val="13"/>
                <w:color w:val="auto"/>
              </w:rPr>
              <w:t>7.3 %</w:t>
            </w:r>
          </w:p>
        </w:tc>
        <w:tc>
          <w:tcPr>
            <w:tcW w:w="940" w:type="dxa"/>
            <w:vAlign w:val="bottom"/>
          </w:tcPr>
          <w:p>
            <w:pPr>
              <w:jc w:val="right"/>
              <w:ind w:right="135"/>
              <w:spacing w:after="0"/>
              <w:rPr>
                <w:sz w:val="20"/>
                <w:szCs w:val="20"/>
                <w:color w:val="auto"/>
              </w:rPr>
            </w:pPr>
            <w:r>
              <w:rPr>
                <w:rFonts w:ascii="Arial" w:cs="Arial" w:eastAsia="Arial" w:hAnsi="Arial"/>
                <w:sz w:val="13"/>
                <w:szCs w:val="13"/>
                <w:color w:val="auto"/>
              </w:rPr>
              <w:t>36.3 %</w:t>
            </w:r>
          </w:p>
        </w:tc>
        <w:tc>
          <w:tcPr>
            <w:tcW w:w="880" w:type="dxa"/>
            <w:vAlign w:val="bottom"/>
          </w:tcPr>
          <w:p>
            <w:pPr>
              <w:jc w:val="right"/>
              <w:spacing w:after="0"/>
              <w:rPr>
                <w:sz w:val="20"/>
                <w:szCs w:val="20"/>
                <w:color w:val="auto"/>
              </w:rPr>
            </w:pPr>
            <w:r>
              <w:rPr>
                <w:rFonts w:ascii="Arial" w:cs="Arial" w:eastAsia="Arial" w:hAnsi="Arial"/>
                <w:sz w:val="13"/>
                <w:szCs w:val="13"/>
                <w:color w:val="auto"/>
              </w:rPr>
              <w:t>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-1790700</wp:posOffset>
            </wp:positionH>
            <wp:positionV relativeFrom="paragraph">
              <wp:posOffset>-2299335</wp:posOffset>
            </wp:positionV>
            <wp:extent cx="7257415" cy="158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158115"/>
                    </a:xfrm>
                    <a:prstGeom prst="rect">
                      <a:avLst/>
                    </a:prstGeom>
                    <a:noFill/>
                  </pic:spPr>
                </pic:pic>
              </a:graphicData>
            </a:graphic>
          </wp:anchor>
        </w:drawing>
        <w:drawing>
          <wp:anchor simplePos="0" relativeHeight="251657728" behindDoc="1" locked="0" layoutInCell="0" allowOverlap="1">
            <wp:simplePos x="0" y="0"/>
            <wp:positionH relativeFrom="column">
              <wp:posOffset>-1790700</wp:posOffset>
            </wp:positionH>
            <wp:positionV relativeFrom="paragraph">
              <wp:posOffset>-1983105</wp:posOffset>
            </wp:positionV>
            <wp:extent cx="7257415" cy="2051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5105"/>
                    </a:xfrm>
                    <a:prstGeom prst="rect">
                      <a:avLst/>
                    </a:prstGeom>
                    <a:noFill/>
                  </pic:spPr>
                </pic:pic>
              </a:graphicData>
            </a:graphic>
          </wp:anchor>
        </w:drawing>
        <w:drawing>
          <wp:anchor simplePos="0" relativeHeight="251657728" behindDoc="1" locked="0" layoutInCell="0" allowOverlap="1">
            <wp:simplePos x="0" y="0"/>
            <wp:positionH relativeFrom="column">
              <wp:posOffset>-1790700</wp:posOffset>
            </wp:positionH>
            <wp:positionV relativeFrom="paragraph">
              <wp:posOffset>-1619885</wp:posOffset>
            </wp:positionV>
            <wp:extent cx="7257415" cy="158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158115"/>
                    </a:xfrm>
                    <a:prstGeom prst="rect">
                      <a:avLst/>
                    </a:prstGeom>
                    <a:noFill/>
                  </pic:spPr>
                </pic:pic>
              </a:graphicData>
            </a:graphic>
          </wp:anchor>
        </w:drawing>
        <w:drawing>
          <wp:anchor simplePos="0" relativeHeight="251657728" behindDoc="1" locked="0" layoutInCell="0" allowOverlap="1">
            <wp:simplePos x="0" y="0"/>
            <wp:positionH relativeFrom="column">
              <wp:posOffset>-1790700</wp:posOffset>
            </wp:positionH>
            <wp:positionV relativeFrom="paragraph">
              <wp:posOffset>-1304290</wp:posOffset>
            </wp:positionV>
            <wp:extent cx="7257415" cy="158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158115"/>
                    </a:xfrm>
                    <a:prstGeom prst="rect">
                      <a:avLst/>
                    </a:prstGeom>
                    <a:noFill/>
                  </pic:spPr>
                </pic:pic>
              </a:graphicData>
            </a:graphic>
          </wp:anchor>
        </w:drawing>
        <w:drawing>
          <wp:anchor simplePos="0" relativeHeight="251657728" behindDoc="1" locked="0" layoutInCell="0" allowOverlap="1">
            <wp:simplePos x="0" y="0"/>
            <wp:positionH relativeFrom="column">
              <wp:posOffset>-1790700</wp:posOffset>
            </wp:positionH>
            <wp:positionV relativeFrom="paragraph">
              <wp:posOffset>-988060</wp:posOffset>
            </wp:positionV>
            <wp:extent cx="7257415" cy="158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158115"/>
                    </a:xfrm>
                    <a:prstGeom prst="rect">
                      <a:avLst/>
                    </a:prstGeom>
                    <a:noFill/>
                  </pic:spPr>
                </pic:pic>
              </a:graphicData>
            </a:graphic>
          </wp:anchor>
        </w:drawing>
        <w:drawing>
          <wp:anchor simplePos="0" relativeHeight="251657728" behindDoc="1" locked="0" layoutInCell="0" allowOverlap="1">
            <wp:simplePos x="0" y="0"/>
            <wp:positionH relativeFrom="column">
              <wp:posOffset>-1790700</wp:posOffset>
            </wp:positionH>
            <wp:positionV relativeFrom="paragraph">
              <wp:posOffset>-672465</wp:posOffset>
            </wp:positionV>
            <wp:extent cx="7257415" cy="158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158115"/>
                    </a:xfrm>
                    <a:prstGeom prst="rect">
                      <a:avLst/>
                    </a:prstGeom>
                    <a:noFill/>
                  </pic:spPr>
                </pic:pic>
              </a:graphicData>
            </a:graphic>
          </wp:anchor>
        </w:drawing>
        <w:drawing>
          <wp:anchor simplePos="0" relativeHeight="251657728" behindDoc="1" locked="0" layoutInCell="0" allowOverlap="1">
            <wp:simplePos x="0" y="0"/>
            <wp:positionH relativeFrom="column">
              <wp:posOffset>-1790700</wp:posOffset>
            </wp:positionH>
            <wp:positionV relativeFrom="paragraph">
              <wp:posOffset>-309245</wp:posOffset>
            </wp:positionV>
            <wp:extent cx="7257415" cy="158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158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1"/>
        </w:trPr>
        <w:tc>
          <w:tcPr>
            <w:tcW w:w="1180" w:type="dxa"/>
            <w:vAlign w:val="bottom"/>
            <w:tcBorders>
              <w:bottom w:val="single" w:sz="8" w:color="auto"/>
            </w:tcBorders>
          </w:tcPr>
          <w:p>
            <w:pPr>
              <w:jc w:val="right"/>
              <w:ind w:right="295"/>
              <w:spacing w:after="0"/>
              <w:rPr>
                <w:sz w:val="20"/>
                <w:szCs w:val="20"/>
                <w:color w:val="auto"/>
              </w:rPr>
            </w:pPr>
            <w:r>
              <w:rPr>
                <w:rFonts w:ascii="Arial" w:cs="Arial" w:eastAsia="Arial" w:hAnsi="Arial"/>
                <w:sz w:val="10"/>
                <w:szCs w:val="10"/>
                <w:b w:val="1"/>
                <w:bCs w:val="1"/>
                <w:color w:val="auto"/>
              </w:rPr>
              <w:t>December 31,</w:t>
            </w:r>
          </w:p>
        </w:tc>
        <w:tc>
          <w:tcPr>
            <w:tcW w:w="1260" w:type="dxa"/>
            <w:vAlign w:val="bottom"/>
            <w:tcBorders>
              <w:bottom w:val="single" w:sz="8" w:color="auto"/>
            </w:tcBorders>
          </w:tcPr>
          <w:p>
            <w:pPr>
              <w:jc w:val="right"/>
              <w:ind w:right="415"/>
              <w:spacing w:after="0"/>
              <w:rPr>
                <w:sz w:val="20"/>
                <w:szCs w:val="20"/>
                <w:color w:val="auto"/>
              </w:rPr>
            </w:pPr>
            <w:r>
              <w:rPr>
                <w:rFonts w:ascii="Arial" w:cs="Arial" w:eastAsia="Arial" w:hAnsi="Arial"/>
                <w:sz w:val="10"/>
                <w:szCs w:val="10"/>
                <w:b w:val="1"/>
                <w:bCs w:val="1"/>
                <w:color w:val="auto"/>
              </w:rPr>
              <w:t>September 30,</w:t>
            </w: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0"/>
                <w:szCs w:val="10"/>
                <w:b w:val="1"/>
                <w:bCs w:val="1"/>
                <w:color w:val="auto"/>
              </w:rPr>
              <w:t>June 30,</w:t>
            </w:r>
          </w:p>
        </w:tc>
        <w:tc>
          <w:tcPr>
            <w:tcW w:w="88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March 31,</w:t>
            </w:r>
          </w:p>
        </w:tc>
      </w:tr>
      <w:tr>
        <w:trPr>
          <w:trHeight w:val="231"/>
        </w:trPr>
        <w:tc>
          <w:tcPr>
            <w:tcW w:w="1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2018</w:t>
            </w:r>
          </w:p>
        </w:tc>
        <w:tc>
          <w:tcPr>
            <w:tcW w:w="9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485"/>
        </w:trPr>
        <w:tc>
          <w:tcPr>
            <w:tcW w:w="1180" w:type="dxa"/>
            <w:vAlign w:val="bottom"/>
          </w:tcPr>
          <w:p>
            <w:pPr>
              <w:jc w:val="right"/>
              <w:ind w:right="95"/>
              <w:spacing w:after="0"/>
              <w:rPr>
                <w:sz w:val="20"/>
                <w:szCs w:val="20"/>
                <w:color w:val="auto"/>
              </w:rPr>
            </w:pPr>
            <w:r>
              <w:rPr>
                <w:rFonts w:ascii="Arial" w:cs="Arial" w:eastAsia="Arial" w:hAnsi="Arial"/>
                <w:sz w:val="13"/>
                <w:szCs w:val="13"/>
                <w:color w:val="auto"/>
              </w:rPr>
              <w:t>100.0 %</w:t>
            </w:r>
          </w:p>
        </w:tc>
        <w:tc>
          <w:tcPr>
            <w:tcW w:w="1260" w:type="dxa"/>
            <w:vAlign w:val="bottom"/>
          </w:tcPr>
          <w:p>
            <w:pPr>
              <w:jc w:val="right"/>
              <w:ind w:right="235"/>
              <w:spacing w:after="0"/>
              <w:rPr>
                <w:sz w:val="20"/>
                <w:szCs w:val="20"/>
                <w:color w:val="auto"/>
              </w:rPr>
            </w:pPr>
            <w:r>
              <w:rPr>
                <w:rFonts w:ascii="Arial" w:cs="Arial" w:eastAsia="Arial" w:hAnsi="Arial"/>
                <w:sz w:val="13"/>
                <w:szCs w:val="13"/>
                <w:color w:val="auto"/>
              </w:rPr>
              <w:t>100.0%</w:t>
            </w:r>
          </w:p>
        </w:tc>
        <w:tc>
          <w:tcPr>
            <w:tcW w:w="960" w:type="dxa"/>
            <w:vAlign w:val="bottom"/>
          </w:tcPr>
          <w:p>
            <w:pPr>
              <w:jc w:val="right"/>
              <w:ind w:right="135"/>
              <w:spacing w:after="0"/>
              <w:rPr>
                <w:sz w:val="20"/>
                <w:szCs w:val="20"/>
                <w:color w:val="auto"/>
              </w:rPr>
            </w:pPr>
            <w:r>
              <w:rPr>
                <w:rFonts w:ascii="Arial" w:cs="Arial" w:eastAsia="Arial" w:hAnsi="Arial"/>
                <w:sz w:val="13"/>
                <w:szCs w:val="13"/>
                <w:color w:val="auto"/>
              </w:rPr>
              <w:t>100.0 %</w:t>
            </w:r>
          </w:p>
        </w:tc>
        <w:tc>
          <w:tcPr>
            <w:tcW w:w="880" w:type="dxa"/>
            <w:vAlign w:val="bottom"/>
          </w:tcPr>
          <w:p>
            <w:pPr>
              <w:jc w:val="right"/>
              <w:spacing w:after="0"/>
              <w:rPr>
                <w:sz w:val="20"/>
                <w:szCs w:val="20"/>
                <w:color w:val="auto"/>
              </w:rPr>
            </w:pPr>
            <w:r>
              <w:rPr>
                <w:rFonts w:ascii="Arial" w:cs="Arial" w:eastAsia="Arial" w:hAnsi="Arial"/>
                <w:sz w:val="13"/>
                <w:szCs w:val="13"/>
                <w:color w:val="auto"/>
              </w:rPr>
              <w:t>100.0 %</w:t>
            </w:r>
          </w:p>
        </w:tc>
      </w:tr>
      <w:tr>
        <w:trPr>
          <w:trHeight w:val="572"/>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39.6</w:t>
            </w:r>
          </w:p>
        </w:tc>
        <w:tc>
          <w:tcPr>
            <w:tcW w:w="1260" w:type="dxa"/>
            <w:vAlign w:val="bottom"/>
          </w:tcPr>
          <w:p>
            <w:pPr>
              <w:jc w:val="right"/>
              <w:ind w:right="335"/>
              <w:spacing w:after="0"/>
              <w:rPr>
                <w:sz w:val="20"/>
                <w:szCs w:val="20"/>
                <w:color w:val="auto"/>
              </w:rPr>
            </w:pPr>
            <w:r>
              <w:rPr>
                <w:rFonts w:ascii="Arial" w:cs="Arial" w:eastAsia="Arial" w:hAnsi="Arial"/>
                <w:sz w:val="13"/>
                <w:szCs w:val="13"/>
                <w:color w:val="auto"/>
              </w:rPr>
              <w:t>38.5</w:t>
            </w:r>
          </w:p>
        </w:tc>
        <w:tc>
          <w:tcPr>
            <w:tcW w:w="960" w:type="dxa"/>
            <w:vAlign w:val="bottom"/>
          </w:tcPr>
          <w:p>
            <w:pPr>
              <w:jc w:val="right"/>
              <w:ind w:right="275"/>
              <w:spacing w:after="0"/>
              <w:rPr>
                <w:sz w:val="20"/>
                <w:szCs w:val="20"/>
                <w:color w:val="auto"/>
              </w:rPr>
            </w:pPr>
            <w:r>
              <w:rPr>
                <w:rFonts w:ascii="Arial" w:cs="Arial" w:eastAsia="Arial" w:hAnsi="Arial"/>
                <w:sz w:val="13"/>
                <w:szCs w:val="13"/>
                <w:color w:val="auto"/>
              </w:rPr>
              <w:t>37.5</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39.2</w:t>
            </w:r>
          </w:p>
        </w:tc>
      </w:tr>
      <w:tr>
        <w:trPr>
          <w:trHeight w:val="249"/>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19.0</w:t>
            </w:r>
          </w:p>
        </w:tc>
        <w:tc>
          <w:tcPr>
            <w:tcW w:w="1260" w:type="dxa"/>
            <w:vAlign w:val="bottom"/>
          </w:tcPr>
          <w:p>
            <w:pPr>
              <w:jc w:val="right"/>
              <w:ind w:right="335"/>
              <w:spacing w:after="0"/>
              <w:rPr>
                <w:sz w:val="20"/>
                <w:szCs w:val="20"/>
                <w:color w:val="auto"/>
              </w:rPr>
            </w:pPr>
            <w:r>
              <w:rPr>
                <w:rFonts w:ascii="Arial" w:cs="Arial" w:eastAsia="Arial" w:hAnsi="Arial"/>
                <w:sz w:val="13"/>
                <w:szCs w:val="13"/>
                <w:color w:val="auto"/>
              </w:rPr>
              <w:t>17.3</w:t>
            </w:r>
          </w:p>
        </w:tc>
        <w:tc>
          <w:tcPr>
            <w:tcW w:w="960" w:type="dxa"/>
            <w:vAlign w:val="bottom"/>
          </w:tcPr>
          <w:p>
            <w:pPr>
              <w:jc w:val="right"/>
              <w:ind w:right="275"/>
              <w:spacing w:after="0"/>
              <w:rPr>
                <w:sz w:val="20"/>
                <w:szCs w:val="20"/>
                <w:color w:val="auto"/>
              </w:rPr>
            </w:pPr>
            <w:r>
              <w:rPr>
                <w:rFonts w:ascii="Arial" w:cs="Arial" w:eastAsia="Arial" w:hAnsi="Arial"/>
                <w:sz w:val="13"/>
                <w:szCs w:val="13"/>
                <w:color w:val="auto"/>
              </w:rPr>
              <w:t>16.1</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17.5</w:t>
            </w:r>
          </w:p>
        </w:tc>
      </w:tr>
      <w:tr>
        <w:trPr>
          <w:trHeight w:val="249"/>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13.1</w:t>
            </w:r>
          </w:p>
        </w:tc>
        <w:tc>
          <w:tcPr>
            <w:tcW w:w="1260" w:type="dxa"/>
            <w:vAlign w:val="bottom"/>
          </w:tcPr>
          <w:p>
            <w:pPr>
              <w:jc w:val="right"/>
              <w:ind w:right="335"/>
              <w:spacing w:after="0"/>
              <w:rPr>
                <w:sz w:val="20"/>
                <w:szCs w:val="20"/>
                <w:color w:val="auto"/>
              </w:rPr>
            </w:pPr>
            <w:r>
              <w:rPr>
                <w:rFonts w:ascii="Arial" w:cs="Arial" w:eastAsia="Arial" w:hAnsi="Arial"/>
                <w:sz w:val="13"/>
                <w:szCs w:val="13"/>
                <w:color w:val="auto"/>
              </w:rPr>
              <w:t>12.8</w:t>
            </w:r>
          </w:p>
        </w:tc>
        <w:tc>
          <w:tcPr>
            <w:tcW w:w="960" w:type="dxa"/>
            <w:vAlign w:val="bottom"/>
          </w:tcPr>
          <w:p>
            <w:pPr>
              <w:jc w:val="right"/>
              <w:ind w:right="275"/>
              <w:spacing w:after="0"/>
              <w:rPr>
                <w:sz w:val="20"/>
                <w:szCs w:val="20"/>
                <w:color w:val="auto"/>
              </w:rPr>
            </w:pPr>
            <w:r>
              <w:rPr>
                <w:rFonts w:ascii="Arial" w:cs="Arial" w:eastAsia="Arial" w:hAnsi="Arial"/>
                <w:sz w:val="13"/>
                <w:szCs w:val="13"/>
                <w:color w:val="auto"/>
              </w:rPr>
              <w:t>12.2</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12.6</w:t>
            </w:r>
          </w:p>
        </w:tc>
      </w:tr>
      <w:tr>
        <w:trPr>
          <w:trHeight w:val="249"/>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15.5</w:t>
            </w:r>
          </w:p>
        </w:tc>
        <w:tc>
          <w:tcPr>
            <w:tcW w:w="1260" w:type="dxa"/>
            <w:vAlign w:val="bottom"/>
          </w:tcPr>
          <w:p>
            <w:pPr>
              <w:jc w:val="right"/>
              <w:ind w:right="335"/>
              <w:spacing w:after="0"/>
              <w:rPr>
                <w:sz w:val="20"/>
                <w:szCs w:val="20"/>
                <w:color w:val="auto"/>
              </w:rPr>
            </w:pPr>
            <w:r>
              <w:rPr>
                <w:rFonts w:ascii="Arial" w:cs="Arial" w:eastAsia="Arial" w:hAnsi="Arial"/>
                <w:sz w:val="13"/>
                <w:szCs w:val="13"/>
                <w:color w:val="auto"/>
              </w:rPr>
              <w:t>13.0</w:t>
            </w:r>
          </w:p>
        </w:tc>
        <w:tc>
          <w:tcPr>
            <w:tcW w:w="960" w:type="dxa"/>
            <w:vAlign w:val="bottom"/>
          </w:tcPr>
          <w:p>
            <w:pPr>
              <w:jc w:val="right"/>
              <w:ind w:right="275"/>
              <w:spacing w:after="0"/>
              <w:rPr>
                <w:sz w:val="20"/>
                <w:szCs w:val="20"/>
                <w:color w:val="auto"/>
              </w:rPr>
            </w:pPr>
            <w:r>
              <w:rPr>
                <w:rFonts w:ascii="Arial" w:cs="Arial" w:eastAsia="Arial" w:hAnsi="Arial"/>
                <w:sz w:val="13"/>
                <w:szCs w:val="13"/>
                <w:color w:val="auto"/>
              </w:rPr>
              <w:t>11.1</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12.6</w:t>
            </w:r>
          </w:p>
        </w:tc>
      </w:tr>
      <w:tr>
        <w:trPr>
          <w:trHeight w:val="249"/>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7.5</w:t>
            </w:r>
          </w:p>
        </w:tc>
        <w:tc>
          <w:tcPr>
            <w:tcW w:w="1260" w:type="dxa"/>
            <w:vAlign w:val="bottom"/>
          </w:tcPr>
          <w:p>
            <w:pPr>
              <w:jc w:val="right"/>
              <w:ind w:right="335"/>
              <w:spacing w:after="0"/>
              <w:rPr>
                <w:sz w:val="20"/>
                <w:szCs w:val="20"/>
                <w:color w:val="auto"/>
              </w:rPr>
            </w:pPr>
            <w:r>
              <w:rPr>
                <w:rFonts w:ascii="Arial" w:cs="Arial" w:eastAsia="Arial" w:hAnsi="Arial"/>
                <w:sz w:val="13"/>
                <w:szCs w:val="13"/>
                <w:color w:val="auto"/>
              </w:rPr>
              <w:t>7.4</w:t>
            </w:r>
          </w:p>
        </w:tc>
        <w:tc>
          <w:tcPr>
            <w:tcW w:w="960" w:type="dxa"/>
            <w:vAlign w:val="bottom"/>
          </w:tcPr>
          <w:p>
            <w:pPr>
              <w:jc w:val="right"/>
              <w:ind w:right="275"/>
              <w:spacing w:after="0"/>
              <w:rPr>
                <w:sz w:val="20"/>
                <w:szCs w:val="20"/>
                <w:color w:val="auto"/>
              </w:rPr>
            </w:pPr>
            <w:r>
              <w:rPr>
                <w:rFonts w:ascii="Arial" w:cs="Arial" w:eastAsia="Arial" w:hAnsi="Arial"/>
                <w:sz w:val="13"/>
                <w:szCs w:val="13"/>
                <w:color w:val="auto"/>
              </w:rPr>
              <w:t>7.6</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8.3</w:t>
            </w:r>
          </w:p>
        </w:tc>
      </w:tr>
      <w:tr>
        <w:trPr>
          <w:trHeight w:val="249"/>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94.6</w:t>
            </w:r>
          </w:p>
        </w:tc>
        <w:tc>
          <w:tcPr>
            <w:tcW w:w="1260" w:type="dxa"/>
            <w:vAlign w:val="bottom"/>
          </w:tcPr>
          <w:p>
            <w:pPr>
              <w:jc w:val="right"/>
              <w:ind w:right="335"/>
              <w:spacing w:after="0"/>
              <w:rPr>
                <w:sz w:val="20"/>
                <w:szCs w:val="20"/>
                <w:color w:val="auto"/>
              </w:rPr>
            </w:pPr>
            <w:r>
              <w:rPr>
                <w:rFonts w:ascii="Arial" w:cs="Arial" w:eastAsia="Arial" w:hAnsi="Arial"/>
                <w:sz w:val="13"/>
                <w:szCs w:val="13"/>
                <w:color w:val="auto"/>
              </w:rPr>
              <w:t>89.0</w:t>
            </w:r>
          </w:p>
        </w:tc>
        <w:tc>
          <w:tcPr>
            <w:tcW w:w="960" w:type="dxa"/>
            <w:vAlign w:val="bottom"/>
          </w:tcPr>
          <w:p>
            <w:pPr>
              <w:jc w:val="right"/>
              <w:ind w:right="275"/>
              <w:spacing w:after="0"/>
              <w:rPr>
                <w:sz w:val="20"/>
                <w:szCs w:val="20"/>
                <w:color w:val="auto"/>
              </w:rPr>
            </w:pPr>
            <w:r>
              <w:rPr>
                <w:rFonts w:ascii="Arial" w:cs="Arial" w:eastAsia="Arial" w:hAnsi="Arial"/>
                <w:sz w:val="13"/>
                <w:szCs w:val="13"/>
                <w:color w:val="auto"/>
              </w:rPr>
              <w:t>84.5</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90.1</w:t>
            </w:r>
          </w:p>
        </w:tc>
      </w:tr>
      <w:tr>
        <w:trPr>
          <w:trHeight w:val="249"/>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5.4</w:t>
            </w:r>
          </w:p>
        </w:tc>
        <w:tc>
          <w:tcPr>
            <w:tcW w:w="1260" w:type="dxa"/>
            <w:vAlign w:val="bottom"/>
          </w:tcPr>
          <w:p>
            <w:pPr>
              <w:jc w:val="right"/>
              <w:ind w:right="335"/>
              <w:spacing w:after="0"/>
              <w:rPr>
                <w:sz w:val="20"/>
                <w:szCs w:val="20"/>
                <w:color w:val="auto"/>
              </w:rPr>
            </w:pPr>
            <w:r>
              <w:rPr>
                <w:rFonts w:ascii="Arial" w:cs="Arial" w:eastAsia="Arial" w:hAnsi="Arial"/>
                <w:sz w:val="13"/>
                <w:szCs w:val="13"/>
                <w:color w:val="auto"/>
              </w:rPr>
              <w:t>10.9</w:t>
            </w:r>
          </w:p>
        </w:tc>
        <w:tc>
          <w:tcPr>
            <w:tcW w:w="960" w:type="dxa"/>
            <w:vAlign w:val="bottom"/>
          </w:tcPr>
          <w:p>
            <w:pPr>
              <w:jc w:val="right"/>
              <w:ind w:right="275"/>
              <w:spacing w:after="0"/>
              <w:rPr>
                <w:sz w:val="20"/>
                <w:szCs w:val="20"/>
                <w:color w:val="auto"/>
              </w:rPr>
            </w:pPr>
            <w:r>
              <w:rPr>
                <w:rFonts w:ascii="Arial" w:cs="Arial" w:eastAsia="Arial" w:hAnsi="Arial"/>
                <w:sz w:val="13"/>
                <w:szCs w:val="13"/>
                <w:color w:val="auto"/>
              </w:rPr>
              <w:t>15.5</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9.9</w:t>
            </w:r>
          </w:p>
        </w:tc>
      </w:tr>
      <w:tr>
        <w:trPr>
          <w:trHeight w:val="249"/>
        </w:trPr>
        <w:tc>
          <w:tcPr>
            <w:tcW w:w="1180" w:type="dxa"/>
            <w:vAlign w:val="bottom"/>
          </w:tcPr>
          <w:p>
            <w:pPr>
              <w:jc w:val="right"/>
              <w:ind w:right="195"/>
              <w:spacing w:after="0"/>
              <w:rPr>
                <w:sz w:val="20"/>
                <w:szCs w:val="20"/>
                <w:color w:val="auto"/>
              </w:rPr>
            </w:pPr>
            <w:r>
              <w:rPr>
                <w:rFonts w:ascii="Arial" w:cs="Arial" w:eastAsia="Arial" w:hAnsi="Arial"/>
                <w:sz w:val="13"/>
                <w:szCs w:val="13"/>
                <w:color w:val="auto"/>
              </w:rPr>
              <w:t>(0.1)</w:t>
            </w:r>
          </w:p>
        </w:tc>
        <w:tc>
          <w:tcPr>
            <w:tcW w:w="126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5"/>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w:t>
            </w:r>
          </w:p>
        </w:tc>
      </w:tr>
      <w:tr>
        <w:trPr>
          <w:trHeight w:val="249"/>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0.3</w:t>
            </w:r>
          </w:p>
        </w:tc>
        <w:tc>
          <w:tcPr>
            <w:tcW w:w="1260" w:type="dxa"/>
            <w:vAlign w:val="bottom"/>
          </w:tcPr>
          <w:p>
            <w:pPr>
              <w:jc w:val="right"/>
              <w:ind w:right="335"/>
              <w:spacing w:after="0"/>
              <w:rPr>
                <w:sz w:val="20"/>
                <w:szCs w:val="20"/>
                <w:color w:val="auto"/>
              </w:rPr>
            </w:pPr>
            <w:r>
              <w:rPr>
                <w:rFonts w:ascii="Arial" w:cs="Arial" w:eastAsia="Arial" w:hAnsi="Arial"/>
                <w:sz w:val="13"/>
                <w:szCs w:val="13"/>
                <w:color w:val="auto"/>
              </w:rPr>
              <w:t>0.5</w:t>
            </w:r>
          </w:p>
        </w:tc>
        <w:tc>
          <w:tcPr>
            <w:tcW w:w="960" w:type="dxa"/>
            <w:vAlign w:val="bottom"/>
          </w:tcPr>
          <w:p>
            <w:pPr>
              <w:jc w:val="right"/>
              <w:ind w:right="275"/>
              <w:spacing w:after="0"/>
              <w:rPr>
                <w:sz w:val="20"/>
                <w:szCs w:val="20"/>
                <w:color w:val="auto"/>
              </w:rPr>
            </w:pPr>
            <w:r>
              <w:rPr>
                <w:rFonts w:ascii="Arial" w:cs="Arial" w:eastAsia="Arial" w:hAnsi="Arial"/>
                <w:sz w:val="13"/>
                <w:szCs w:val="13"/>
                <w:color w:val="auto"/>
              </w:rPr>
              <w:t>0.5</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0.4</w:t>
            </w:r>
          </w:p>
        </w:tc>
      </w:tr>
      <w:tr>
        <w:trPr>
          <w:trHeight w:val="323"/>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5.6</w:t>
            </w:r>
          </w:p>
        </w:tc>
        <w:tc>
          <w:tcPr>
            <w:tcW w:w="1260" w:type="dxa"/>
            <w:vAlign w:val="bottom"/>
          </w:tcPr>
          <w:p>
            <w:pPr>
              <w:jc w:val="right"/>
              <w:ind w:right="335"/>
              <w:spacing w:after="0"/>
              <w:rPr>
                <w:sz w:val="20"/>
                <w:szCs w:val="20"/>
                <w:color w:val="auto"/>
              </w:rPr>
            </w:pPr>
            <w:r>
              <w:rPr>
                <w:rFonts w:ascii="Arial" w:cs="Arial" w:eastAsia="Arial" w:hAnsi="Arial"/>
                <w:sz w:val="13"/>
                <w:szCs w:val="13"/>
                <w:color w:val="auto"/>
              </w:rPr>
              <w:t>11.4</w:t>
            </w:r>
          </w:p>
        </w:tc>
        <w:tc>
          <w:tcPr>
            <w:tcW w:w="960" w:type="dxa"/>
            <w:vAlign w:val="bottom"/>
          </w:tcPr>
          <w:p>
            <w:pPr>
              <w:jc w:val="right"/>
              <w:ind w:right="275"/>
              <w:spacing w:after="0"/>
              <w:rPr>
                <w:sz w:val="20"/>
                <w:szCs w:val="20"/>
                <w:color w:val="auto"/>
              </w:rPr>
            </w:pPr>
            <w:r>
              <w:rPr>
                <w:rFonts w:ascii="Arial" w:cs="Arial" w:eastAsia="Arial" w:hAnsi="Arial"/>
                <w:sz w:val="13"/>
                <w:szCs w:val="13"/>
                <w:color w:val="auto"/>
              </w:rPr>
              <w:t>15.9</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10.3</w:t>
            </w:r>
          </w:p>
        </w:tc>
      </w:tr>
      <w:tr>
        <w:trPr>
          <w:trHeight w:val="249"/>
        </w:trPr>
        <w:tc>
          <w:tcPr>
            <w:tcW w:w="1180" w:type="dxa"/>
            <w:vAlign w:val="bottom"/>
          </w:tcPr>
          <w:p>
            <w:pPr>
              <w:jc w:val="right"/>
              <w:ind w:right="255"/>
              <w:spacing w:after="0"/>
              <w:rPr>
                <w:sz w:val="20"/>
                <w:szCs w:val="20"/>
                <w:color w:val="auto"/>
              </w:rPr>
            </w:pPr>
            <w:r>
              <w:rPr>
                <w:rFonts w:ascii="Arial" w:cs="Arial" w:eastAsia="Arial" w:hAnsi="Arial"/>
                <w:sz w:val="13"/>
                <w:szCs w:val="13"/>
                <w:color w:val="auto"/>
              </w:rPr>
              <w:t>0.3</w:t>
            </w:r>
          </w:p>
        </w:tc>
        <w:tc>
          <w:tcPr>
            <w:tcW w:w="1260" w:type="dxa"/>
            <w:vAlign w:val="bottom"/>
          </w:tcPr>
          <w:p>
            <w:pPr>
              <w:jc w:val="right"/>
              <w:ind w:right="335"/>
              <w:spacing w:after="0"/>
              <w:rPr>
                <w:sz w:val="20"/>
                <w:szCs w:val="20"/>
                <w:color w:val="auto"/>
              </w:rPr>
            </w:pPr>
            <w:r>
              <w:rPr>
                <w:rFonts w:ascii="Arial" w:cs="Arial" w:eastAsia="Arial" w:hAnsi="Arial"/>
                <w:sz w:val="13"/>
                <w:szCs w:val="13"/>
                <w:color w:val="auto"/>
              </w:rPr>
              <w:t>0.4</w:t>
            </w:r>
          </w:p>
        </w:tc>
        <w:tc>
          <w:tcPr>
            <w:tcW w:w="960" w:type="dxa"/>
            <w:vAlign w:val="bottom"/>
          </w:tcPr>
          <w:p>
            <w:pPr>
              <w:jc w:val="right"/>
              <w:ind w:right="275"/>
              <w:spacing w:after="0"/>
              <w:rPr>
                <w:sz w:val="20"/>
                <w:szCs w:val="20"/>
                <w:color w:val="auto"/>
              </w:rPr>
            </w:pPr>
            <w:r>
              <w:rPr>
                <w:rFonts w:ascii="Arial" w:cs="Arial" w:eastAsia="Arial" w:hAnsi="Arial"/>
                <w:sz w:val="13"/>
                <w:szCs w:val="13"/>
                <w:color w:val="auto"/>
              </w:rPr>
              <w:t>0.1</w:t>
            </w:r>
          </w:p>
        </w:tc>
        <w:tc>
          <w:tcPr>
            <w:tcW w:w="880" w:type="dxa"/>
            <w:vAlign w:val="bottom"/>
          </w:tcPr>
          <w:p>
            <w:pPr>
              <w:jc w:val="right"/>
              <w:ind w:right="95"/>
              <w:spacing w:after="0"/>
              <w:rPr>
                <w:sz w:val="20"/>
                <w:szCs w:val="20"/>
                <w:color w:val="auto"/>
              </w:rPr>
            </w:pPr>
            <w:r>
              <w:rPr>
                <w:rFonts w:ascii="Arial" w:cs="Arial" w:eastAsia="Arial" w:hAnsi="Arial"/>
                <w:sz w:val="13"/>
                <w:szCs w:val="13"/>
                <w:color w:val="auto"/>
              </w:rPr>
              <w:t>0.1</w:t>
            </w:r>
          </w:p>
        </w:tc>
      </w:tr>
      <w:tr>
        <w:trPr>
          <w:trHeight w:val="249"/>
        </w:trPr>
        <w:tc>
          <w:tcPr>
            <w:tcW w:w="1180" w:type="dxa"/>
            <w:vAlign w:val="bottom"/>
          </w:tcPr>
          <w:p>
            <w:pPr>
              <w:jc w:val="right"/>
              <w:ind w:right="95"/>
              <w:spacing w:after="0"/>
              <w:rPr>
                <w:sz w:val="20"/>
                <w:szCs w:val="20"/>
                <w:color w:val="auto"/>
              </w:rPr>
            </w:pPr>
            <w:r>
              <w:rPr>
                <w:rFonts w:ascii="Arial" w:cs="Arial" w:eastAsia="Arial" w:hAnsi="Arial"/>
                <w:sz w:val="13"/>
                <w:szCs w:val="13"/>
                <w:color w:val="auto"/>
              </w:rPr>
              <w:t>5.3 %</w:t>
            </w:r>
          </w:p>
        </w:tc>
        <w:tc>
          <w:tcPr>
            <w:tcW w:w="1260" w:type="dxa"/>
            <w:vAlign w:val="bottom"/>
          </w:tcPr>
          <w:p>
            <w:pPr>
              <w:jc w:val="right"/>
              <w:ind w:right="235"/>
              <w:spacing w:after="0"/>
              <w:rPr>
                <w:sz w:val="20"/>
                <w:szCs w:val="20"/>
                <w:color w:val="auto"/>
              </w:rPr>
            </w:pPr>
            <w:r>
              <w:rPr>
                <w:rFonts w:ascii="Arial" w:cs="Arial" w:eastAsia="Arial" w:hAnsi="Arial"/>
                <w:sz w:val="13"/>
                <w:szCs w:val="13"/>
                <w:color w:val="auto"/>
              </w:rPr>
              <w:t>11.0%</w:t>
            </w:r>
          </w:p>
        </w:tc>
        <w:tc>
          <w:tcPr>
            <w:tcW w:w="960" w:type="dxa"/>
            <w:vAlign w:val="bottom"/>
          </w:tcPr>
          <w:p>
            <w:pPr>
              <w:jc w:val="right"/>
              <w:ind w:right="135"/>
              <w:spacing w:after="0"/>
              <w:rPr>
                <w:sz w:val="20"/>
                <w:szCs w:val="20"/>
                <w:color w:val="auto"/>
              </w:rPr>
            </w:pPr>
            <w:r>
              <w:rPr>
                <w:rFonts w:ascii="Arial" w:cs="Arial" w:eastAsia="Arial" w:hAnsi="Arial"/>
                <w:sz w:val="13"/>
                <w:szCs w:val="13"/>
                <w:color w:val="auto"/>
              </w:rPr>
              <w:t>15.8 %</w:t>
            </w:r>
          </w:p>
        </w:tc>
        <w:tc>
          <w:tcPr>
            <w:tcW w:w="880" w:type="dxa"/>
            <w:vAlign w:val="bottom"/>
          </w:tcPr>
          <w:p>
            <w:pPr>
              <w:jc w:val="right"/>
              <w:spacing w:after="0"/>
              <w:rPr>
                <w:sz w:val="20"/>
                <w:szCs w:val="20"/>
                <w:color w:val="auto"/>
              </w:rPr>
            </w:pPr>
            <w:r>
              <w:rPr>
                <w:rFonts w:ascii="Arial" w:cs="Arial" w:eastAsia="Arial" w:hAnsi="Arial"/>
                <w:sz w:val="13"/>
                <w:szCs w:val="13"/>
                <w:color w:val="auto"/>
              </w:rPr>
              <w:t>10.2 %</w:t>
            </w:r>
          </w:p>
        </w:tc>
      </w:tr>
    </w:tbl>
    <w:p>
      <w:pPr>
        <w:spacing w:after="0" w:line="255" w:lineRule="exact"/>
        <w:rPr>
          <w:sz w:val="20"/>
          <w:szCs w:val="20"/>
          <w:color w:val="auto"/>
        </w:rPr>
      </w:pPr>
    </w:p>
    <w:p>
      <w:pPr>
        <w:sectPr>
          <w:pgSz w:w="11900" w:h="16838" w:orient="portrait"/>
          <w:cols w:equalWidth="0" w:num="3">
            <w:col w:w="2620" w:space="200"/>
            <w:col w:w="4200" w:space="120"/>
            <w:col w:w="4280"/>
          </w:cols>
          <w:pgMar w:left="240" w:top="774" w:right="2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202"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We experience limited seasonality in our Value+ services revenue, primarily with respect to certain leasing-related services we provide to our property management customers, including our tenant screening services and new tenant applications which impact electronic payment services revenue. Our property management customers historically have processed fewer applications for new tenants during the fourth quarter. As a result of this seasonal decline in activity, we have typically experienced overall slower sequential revenue growth or a sequential decline in revenue in the fourth quarter of each of our most recent fiscal years. We expect this seasonality to continue in the foreseeable future.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At December 31, 2019, our principal sources of liquidity were cash and cash equivalents and investment securities, which had an aggregate balance of $50.8</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million.</w:t>
      </w:r>
    </w:p>
    <w:p>
      <w:pPr>
        <w:spacing w:after="0" w:line="31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Working Capital</w:t>
      </w:r>
    </w:p>
    <w:p>
      <w:pPr>
        <w:spacing w:after="0" w:line="202" w:lineRule="exact"/>
        <w:rPr>
          <w:sz w:val="20"/>
          <w:szCs w:val="20"/>
          <w:color w:val="auto"/>
        </w:rPr>
      </w:pPr>
    </w:p>
    <w:p>
      <w:pPr>
        <w:jc w:val="both"/>
        <w:ind w:firstLine="597"/>
        <w:spacing w:after="0" w:line="248" w:lineRule="auto"/>
        <w:rPr>
          <w:sz w:val="20"/>
          <w:szCs w:val="20"/>
          <w:color w:val="auto"/>
        </w:rPr>
      </w:pPr>
      <w:r>
        <w:rPr>
          <w:rFonts w:ascii="Arial" w:cs="Arial" w:eastAsia="Arial" w:hAnsi="Arial"/>
          <w:sz w:val="17"/>
          <w:szCs w:val="17"/>
          <w:color w:val="auto"/>
        </w:rPr>
        <w:t xml:space="preserve">At December 31, 2019, we had working capital of $14.3 million, compared to working capital of $79.8 million at December 31, 2018. The decrease in our working capital was primarily due to a decrease in cash and cash equivalents related to the acquisition of Dynasty, an increase in other current liabilities due to the $6.0 million we retained to satisfy any adjustments including without limitation certain indemnification claims to the total purchase consideration for Dynasty, the recording of lease liabilities associated with the adoption of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and increases in accrued employee expenses and accrued expenses. The decrease in our working capital was partially offset by increases in investment securities-current and accounts receivable due to an increase in revenue from Value+ services.</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Revolving Facility</w:t>
      </w:r>
    </w:p>
    <w:p>
      <w:pPr>
        <w:spacing w:after="0" w:line="202"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 xml:space="preserve">As of December 31, 2019, we had a $50.0 million Revolving Facility, under the terms of the Credit Agreement, as further described in Note 9,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of our Consolidated Financial Statements included elsewhere in this Annual Report. At both December 31, 2019 and 2018, we had no outstanding balance under our Revolving Facility.</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Liquidity Requirements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774" w:right="239" w:bottom="1440" w:gutter="0" w:footer="0" w:header="0"/>
          <w:type w:val="continuous"/>
        </w:sectPr>
      </w:pPr>
    </w:p>
    <w:bookmarkStart w:id="49" w:name="page50"/>
    <w:bookmarkEnd w:id="49"/>
    <w:p>
      <w:pPr>
        <w:jc w:val="both"/>
        <w:ind w:firstLine="597"/>
        <w:spacing w:after="0" w:line="331" w:lineRule="auto"/>
        <w:rPr>
          <w:sz w:val="20"/>
          <w:szCs w:val="20"/>
          <w:color w:val="auto"/>
        </w:rPr>
      </w:pPr>
      <w:r>
        <w:rPr>
          <w:rFonts w:ascii="Arial" w:cs="Arial" w:eastAsia="Arial" w:hAnsi="Arial"/>
          <w:sz w:val="15"/>
          <w:szCs w:val="15"/>
          <w:color w:val="auto"/>
        </w:rPr>
        <w:t>We believe that our existing cash and cash equivalents, investment securities, available borrowing capacity of $50.0 million under our Revolving Facility, and cash generated from operating activities will be sufficient to meet our working capital and capital expenditure requirements for at least the next twelve months.</w:t>
      </w:r>
    </w:p>
    <w:p>
      <w:pPr>
        <w:spacing w:after="0" w:line="24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Capital Requirements</w:t>
      </w:r>
    </w:p>
    <w:p>
      <w:pPr>
        <w:spacing w:after="0" w:line="202"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 xml:space="preserve">Our future capital requirements will depend on many factors, including continued market acceptance of our software solutions, change in the number of our customers, adoption and utilization of our Value+ services by new and existing customers, the timing and extent of the introduction of new core functionality, products and Value+ services, timing and extent of our expansion into adjacent or new markets and timing and extent of our investments across our organization. In addition, we have in the past entered into, and may in the future enter into, arrangements to acquire or invest in new technologies or markets adjacent to those we serve today or entirely new verticals. Furthermore, our Board of Directors has authorized our management to repurchase up to $100.0 million of shares of our Class A common stock in open market transactions, privately negotiated transactions or otherwise. For additional information regarding our share repurchase program, refer to Note 11,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of our Consolidated Financial Statements included elsewhere in this Annual Report.</w:t>
      </w:r>
    </w:p>
    <w:p>
      <w:pPr>
        <w:spacing w:after="0" w:line="29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Cash Flows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our cash flows for the periods indicated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48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3"/>
                <w:szCs w:val="13"/>
                <w:b w:val="1"/>
                <w:bCs w:val="1"/>
                <w:color w:val="auto"/>
              </w:rPr>
              <w:t>Year Ended December 31,</w:t>
            </w:r>
          </w:p>
        </w:tc>
      </w:tr>
      <w:tr>
        <w:trPr>
          <w:trHeight w:val="241"/>
        </w:trPr>
        <w:tc>
          <w:tcPr>
            <w:tcW w:w="2480" w:type="dxa"/>
            <w:vAlign w:val="bottom"/>
            <w:tcBorders>
              <w:bottom w:val="single" w:sz="8" w:color="CCEEFF"/>
            </w:tcBorders>
          </w:tcPr>
          <w:p>
            <w:pPr>
              <w:spacing w:after="0"/>
              <w:rPr>
                <w:sz w:val="20"/>
                <w:szCs w:val="20"/>
                <w:color w:val="auto"/>
              </w:rPr>
            </w:pPr>
          </w:p>
        </w:tc>
        <w:tc>
          <w:tcPr>
            <w:tcW w:w="65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2018</w:t>
            </w:r>
          </w:p>
        </w:tc>
      </w:tr>
      <w:tr>
        <w:trPr>
          <w:trHeight w:val="184"/>
        </w:trPr>
        <w:tc>
          <w:tcPr>
            <w:tcW w:w="24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0"/>
                <w:shd w:val="clear" w:color="auto" w:fill="CCEEFF"/>
              </w:rPr>
              <w:t>Net cash provided by operating activities</w:t>
            </w:r>
          </w:p>
        </w:tc>
        <w:tc>
          <w:tcPr>
            <w:tcW w:w="65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97"/>
              <w:spacing w:after="0" w:line="184"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23"/>
              <w:spacing w:after="0" w:line="184" w:lineRule="exact"/>
              <w:rPr>
                <w:sz w:val="20"/>
                <w:szCs w:val="20"/>
                <w:color w:val="auto"/>
              </w:rPr>
            </w:pPr>
            <w:r>
              <w:rPr>
                <w:rFonts w:ascii="Arial" w:cs="Arial" w:eastAsia="Arial" w:hAnsi="Arial"/>
                <w:sz w:val="17"/>
                <w:szCs w:val="17"/>
                <w:color w:val="auto"/>
              </w:rPr>
              <w:t>38,887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77"/>
              <w:spacing w:after="0" w:line="184"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20"/>
              <w:spacing w:after="0" w:line="184" w:lineRule="exact"/>
              <w:rPr>
                <w:sz w:val="20"/>
                <w:szCs w:val="20"/>
                <w:color w:val="auto"/>
              </w:rPr>
            </w:pPr>
            <w:r>
              <w:rPr>
                <w:rFonts w:ascii="Arial" w:cs="Arial" w:eastAsia="Arial" w:hAnsi="Arial"/>
                <w:sz w:val="17"/>
                <w:szCs w:val="17"/>
                <w:color w:val="auto"/>
              </w:rPr>
              <w:t>36,268</w:t>
            </w:r>
          </w:p>
        </w:tc>
      </w:tr>
      <w:tr>
        <w:trPr>
          <w:trHeight w:val="62"/>
        </w:trPr>
        <w:tc>
          <w:tcPr>
            <w:tcW w:w="2480" w:type="dxa"/>
            <w:vAlign w:val="bottom"/>
            <w:shd w:val="clear" w:color="auto" w:fill="CCEEFF"/>
          </w:tcPr>
          <w:p>
            <w:pPr>
              <w:spacing w:after="0"/>
              <w:rPr>
                <w:sz w:val="5"/>
                <w:szCs w:val="5"/>
                <w:color w:val="auto"/>
              </w:rPr>
            </w:pPr>
          </w:p>
        </w:tc>
        <w:tc>
          <w:tcPr>
            <w:tcW w:w="65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24"/>
        </w:trPr>
        <w:tc>
          <w:tcPr>
            <w:tcW w:w="9040" w:type="dxa"/>
            <w:vAlign w:val="bottom"/>
            <w:gridSpan w:val="2"/>
          </w:tcPr>
          <w:p>
            <w:pPr>
              <w:ind w:left="20"/>
              <w:spacing w:after="0"/>
              <w:rPr>
                <w:sz w:val="20"/>
                <w:szCs w:val="20"/>
                <w:color w:val="auto"/>
              </w:rPr>
            </w:pPr>
            <w:r>
              <w:rPr>
                <w:rFonts w:ascii="Arial" w:cs="Arial" w:eastAsia="Arial" w:hAnsi="Arial"/>
                <w:sz w:val="15"/>
                <w:szCs w:val="15"/>
                <w:color w:val="auto"/>
              </w:rPr>
              <w:t>Net cash used in investing activities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(89,874)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(4,644)</w:t>
            </w:r>
          </w:p>
        </w:tc>
      </w:tr>
      <w:tr>
        <w:trPr>
          <w:trHeight w:val="25"/>
        </w:trPr>
        <w:tc>
          <w:tcPr>
            <w:tcW w:w="24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9"/>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Net cash (used in)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26,346</w:t>
            </w:r>
          </w:p>
        </w:tc>
      </w:tr>
      <w:tr>
        <w:trPr>
          <w:trHeight w:val="217"/>
        </w:trPr>
        <w:tc>
          <w:tcPr>
            <w:tcW w:w="9040" w:type="dxa"/>
            <w:vAlign w:val="bottom"/>
            <w:gridSpan w:val="2"/>
          </w:tcPr>
          <w:p>
            <w:pPr>
              <w:ind w:left="20"/>
              <w:spacing w:after="0"/>
              <w:rPr>
                <w:sz w:val="20"/>
                <w:szCs w:val="20"/>
                <w:color w:val="auto"/>
              </w:rPr>
            </w:pPr>
            <w:r>
              <w:rPr>
                <w:rFonts w:ascii="Arial" w:cs="Arial" w:eastAsia="Arial" w:hAnsi="Arial"/>
                <w:sz w:val="15"/>
                <w:szCs w:val="15"/>
                <w:color w:val="auto"/>
              </w:rPr>
              <w:t>Net (decrease) increase in cash and cash equivalents</w:t>
            </w:r>
          </w:p>
        </w:tc>
        <w:tc>
          <w:tcPr>
            <w:tcW w:w="2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(58,259)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57,970</w:t>
            </w:r>
          </w:p>
        </w:tc>
      </w:tr>
      <w:tr>
        <w:trPr>
          <w:trHeight w:val="25"/>
        </w:trPr>
        <w:tc>
          <w:tcPr>
            <w:tcW w:w="24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24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Cash Provided by Operating Activities</w:t>
      </w:r>
    </w:p>
    <w:p>
      <w:pPr>
        <w:spacing w:after="0" w:line="202" w:lineRule="exact"/>
        <w:rPr>
          <w:sz w:val="20"/>
          <w:szCs w:val="20"/>
          <w:color w:val="auto"/>
        </w:rPr>
      </w:pPr>
    </w:p>
    <w:p>
      <w:pPr>
        <w:jc w:val="both"/>
        <w:ind w:firstLine="597"/>
        <w:spacing w:after="0" w:line="331" w:lineRule="auto"/>
        <w:rPr>
          <w:sz w:val="20"/>
          <w:szCs w:val="20"/>
          <w:color w:val="auto"/>
        </w:rPr>
      </w:pPr>
      <w:r>
        <w:rPr>
          <w:rFonts w:ascii="Arial" w:cs="Arial" w:eastAsia="Arial" w:hAnsi="Arial"/>
          <w:sz w:val="15"/>
          <w:szCs w:val="15"/>
          <w:color w:val="auto"/>
        </w:rPr>
        <w:t>Our primary source of operating cash inflows is cash collected from our customers in connection with their use of our core solutions and Value+ services. Our primary uses of cash from operating activities are for personnel-related expenditures and third-party costs incurred to support the delivery of our software solutions.</w:t>
      </w:r>
    </w:p>
    <w:p>
      <w:pPr>
        <w:spacing w:after="0" w:line="246"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6"/>
          <w:szCs w:val="16"/>
          <w:color w:val="auto"/>
        </w:rPr>
        <w:t>For the year ended December 31, 2019, cash provided by operating activities was $38.9 million resulting from our net income of $36.3 million, adjusted by non-cash charges of $2.4 million and a net increase in our operating assets and liabilities of $0.2 million. The non-cash charges primarily consist of a one-time benefit of $31.5 million related to the release of the valuation allowance for our deferred tax assets, offset by $22.4 million of depreciation and amortization of our property and equipment, intangible assets, and capitalized software development costs, $7.3 million of stock-based compensation and $4.1 million of amortization of operating lease right-of-use ("ROU") assets in accordance with ASU 2016-02. The net increase in our operating assets and liabilities was primarily attributable to an increase of $4.5 million in accrued employee expenses related to an overall increase in personnel-related costs, a $1.4 million decrease in other assets, a $1.2 million increase in other liabilities and a $1.2 million increase in deferred revenue. The increase in our operating assets and liabilities was partially offset by a $4.0 million increase in prepaid expenses and other current assets, a $2.7 million decrease in operating lease liabilities, and a $2.0 million increase in accounts receivable primarily driven by the growth in sales of our Value+ services.</w:t>
      </w:r>
    </w:p>
    <w:p>
      <w:pPr>
        <w:spacing w:after="0" w:line="293"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6"/>
          <w:szCs w:val="16"/>
          <w:color w:val="auto"/>
        </w:rPr>
        <w:t>For the year ended December 31, 2018, cash provided by operating activities was $36.3 million resulting from our net income of $20.0 million, adjusted by non-cash charges of $21.1 million and a net decrease in our operating assets and liabilities of $4.8 million. The non-cash charges primarily consisted of $14.6 million of depreciation and amortization of our property and equipment and capitalized software, and $6.3 million of stock-based compensation. The net decrease in our operating assets and liabilities was primarily attributable to a $6.4 million increase in other assets due to the capitalization of deferred costs in accordance with the applicable accounting guidance, a $6.1 million increase in prepaid expenses and other current assets, a $4.6 million decrease in deferred revenue due to an increase in the number of customers invoiced monthly versus annually and a $0.9 million increase in accounts receivable primarily driven by growth in our Value+ services. The decrease in our operating assets and liabilities was partially offset by a $6.1 million increase in other liabilities, a $3.3 million increase in accrued expenses and an increase of $1.2 million in accrued employee expenses related to an overall increase in personnel-related costs.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674" w:right="239" w:bottom="1440" w:gutter="0" w:footer="0" w:header="0"/>
        </w:sectPr>
      </w:pPr>
    </w:p>
    <w:bookmarkStart w:id="50" w:name="page51"/>
    <w:bookmarkEnd w:id="50"/>
    <w:p>
      <w:pPr>
        <w:ind w:left="601"/>
        <w:spacing w:after="0"/>
        <w:rPr>
          <w:sz w:val="20"/>
          <w:szCs w:val="20"/>
          <w:color w:val="auto"/>
        </w:rPr>
      </w:pPr>
      <w:r>
        <w:rPr>
          <w:rFonts w:ascii="Arial" w:cs="Arial" w:eastAsia="Arial" w:hAnsi="Arial"/>
          <w:sz w:val="17"/>
          <w:szCs w:val="17"/>
          <w:b w:val="1"/>
          <w:bCs w:val="1"/>
          <w:i w:val="1"/>
          <w:iCs w:val="1"/>
          <w:color w:val="auto"/>
        </w:rPr>
        <w:t>Cash Used in Investing Activities</w:t>
      </w:r>
    </w:p>
    <w:p>
      <w:pPr>
        <w:spacing w:after="0" w:line="202" w:lineRule="exact"/>
        <w:rPr>
          <w:sz w:val="20"/>
          <w:szCs w:val="20"/>
          <w:color w:val="auto"/>
        </w:rPr>
      </w:pPr>
    </w:p>
    <w:p>
      <w:pPr>
        <w:jc w:val="both"/>
        <w:ind w:left="1" w:firstLine="597"/>
        <w:spacing w:after="0" w:line="264" w:lineRule="auto"/>
        <w:rPr>
          <w:sz w:val="20"/>
          <w:szCs w:val="20"/>
          <w:color w:val="auto"/>
        </w:rPr>
      </w:pPr>
      <w:r>
        <w:rPr>
          <w:rFonts w:ascii="Arial" w:cs="Arial" w:eastAsia="Arial" w:hAnsi="Arial"/>
          <w:sz w:val="17"/>
          <w:szCs w:val="17"/>
          <w:color w:val="auto"/>
        </w:rPr>
        <w:t>Cash used in investing activities is generally comprised of purchases, maturities and sales of investment securities, additions to capitalized software development, cash paid for business acquisitions and capital expenditures.</w:t>
      </w:r>
    </w:p>
    <w:p>
      <w:pPr>
        <w:spacing w:after="0" w:line="291" w:lineRule="exact"/>
        <w:rPr>
          <w:sz w:val="20"/>
          <w:szCs w:val="20"/>
          <w:color w:val="auto"/>
        </w:rPr>
      </w:pPr>
    </w:p>
    <w:p>
      <w:pPr>
        <w:jc w:val="both"/>
        <w:ind w:left="1" w:firstLine="597"/>
        <w:spacing w:after="0" w:line="271" w:lineRule="auto"/>
        <w:rPr>
          <w:sz w:val="20"/>
          <w:szCs w:val="20"/>
          <w:color w:val="auto"/>
        </w:rPr>
      </w:pPr>
      <w:r>
        <w:rPr>
          <w:rFonts w:ascii="Arial" w:cs="Arial" w:eastAsia="Arial" w:hAnsi="Arial"/>
          <w:sz w:val="16"/>
          <w:szCs w:val="16"/>
          <w:color w:val="auto"/>
        </w:rPr>
        <w:t>For the year ended December 31, 2019, investing activities used $89.9 million in cash primarily due to $54.0 million used to acquire Dynasty, as well as purchases of investment securities of $25.2 million, capitalized software development costs of $21.0 million for the continued investment in our software development, and capital expenditures of $8.1 million to purchase property, equipment, and intangible assets for the continued growth and expansion of our business. These uses were partially offset by sales and maturities of investment securities of $2.8 million and $15.7 million, respectively.</w:t>
      </w:r>
    </w:p>
    <w:p>
      <w:pPr>
        <w:spacing w:after="0" w:line="288" w:lineRule="exact"/>
        <w:rPr>
          <w:sz w:val="20"/>
          <w:szCs w:val="20"/>
          <w:color w:val="auto"/>
        </w:rPr>
      </w:pPr>
    </w:p>
    <w:p>
      <w:pPr>
        <w:jc w:val="both"/>
        <w:ind w:left="1" w:firstLine="597"/>
        <w:spacing w:after="0" w:line="250" w:lineRule="auto"/>
        <w:rPr>
          <w:sz w:val="20"/>
          <w:szCs w:val="20"/>
          <w:color w:val="auto"/>
        </w:rPr>
      </w:pPr>
      <w:r>
        <w:rPr>
          <w:rFonts w:ascii="Arial" w:cs="Arial" w:eastAsia="Arial" w:hAnsi="Arial"/>
          <w:sz w:val="17"/>
          <w:szCs w:val="17"/>
          <w:color w:val="auto"/>
        </w:rPr>
        <w:t>For the year ended December 31, 2018, investing activities used $4.6 million in cash primarily as a result of $29.5 million of investment securities purchased offset by $32.8 million of maturities and $20.9 million of sales of investment securities. In addition, we used $14.4 million of cash to acquire WegoWise, incurred capitalized software development costs of $12.3 million for the continued investment in our software development, and made capital expenditures of $2.1 million to purchase property and equipment for the continued growth and expansion of our business.</w:t>
      </w:r>
    </w:p>
    <w:p>
      <w:pPr>
        <w:spacing w:after="0" w:line="305" w:lineRule="exact"/>
        <w:rPr>
          <w:sz w:val="20"/>
          <w:szCs w:val="20"/>
          <w:color w:val="auto"/>
        </w:rPr>
      </w:pPr>
    </w:p>
    <w:p>
      <w:pPr>
        <w:ind w:left="601"/>
        <w:spacing w:after="0"/>
        <w:rPr>
          <w:sz w:val="20"/>
          <w:szCs w:val="20"/>
          <w:color w:val="auto"/>
        </w:rPr>
      </w:pPr>
      <w:r>
        <w:rPr>
          <w:rFonts w:ascii="Arial" w:cs="Arial" w:eastAsia="Arial" w:hAnsi="Arial"/>
          <w:sz w:val="17"/>
          <w:szCs w:val="17"/>
          <w:b w:val="1"/>
          <w:bCs w:val="1"/>
          <w:i w:val="1"/>
          <w:iCs w:val="1"/>
          <w:color w:val="auto"/>
        </w:rPr>
        <w:t>Cash (Used in) Provided by Financing Activities</w:t>
      </w:r>
    </w:p>
    <w:p>
      <w:pPr>
        <w:spacing w:after="0" w:line="202" w:lineRule="exact"/>
        <w:rPr>
          <w:sz w:val="20"/>
          <w:szCs w:val="20"/>
          <w:color w:val="auto"/>
        </w:rPr>
      </w:pPr>
    </w:p>
    <w:p>
      <w:pPr>
        <w:jc w:val="both"/>
        <w:ind w:left="1" w:firstLine="597"/>
        <w:spacing w:after="0" w:line="264" w:lineRule="auto"/>
        <w:rPr>
          <w:sz w:val="20"/>
          <w:szCs w:val="20"/>
          <w:color w:val="auto"/>
        </w:rPr>
      </w:pPr>
      <w:r>
        <w:rPr>
          <w:rFonts w:ascii="Arial" w:cs="Arial" w:eastAsia="Arial" w:hAnsi="Arial"/>
          <w:sz w:val="17"/>
          <w:szCs w:val="17"/>
          <w:color w:val="auto"/>
        </w:rPr>
        <w:t>Cash (used in) provided by financing activities is generally comprised of proceeds from the exercise of stock options, net share settlements for employee tax withholdings associated with the vesting of RSUs and activities associated with the Credit Facility.</w:t>
      </w:r>
    </w:p>
    <w:p>
      <w:pPr>
        <w:spacing w:after="0" w:line="229" w:lineRule="exact"/>
        <w:rPr>
          <w:sz w:val="20"/>
          <w:szCs w:val="20"/>
          <w:color w:val="auto"/>
        </w:rPr>
      </w:pPr>
    </w:p>
    <w:p>
      <w:pPr>
        <w:jc w:val="both"/>
        <w:ind w:left="1" w:firstLine="597"/>
        <w:spacing w:after="0" w:line="277" w:lineRule="auto"/>
        <w:rPr>
          <w:sz w:val="20"/>
          <w:szCs w:val="20"/>
          <w:color w:val="auto"/>
        </w:rPr>
      </w:pPr>
      <w:r>
        <w:rPr>
          <w:rFonts w:ascii="Arial" w:cs="Arial" w:eastAsia="Arial" w:hAnsi="Arial"/>
          <w:sz w:val="16"/>
          <w:szCs w:val="16"/>
          <w:color w:val="auto"/>
        </w:rPr>
        <w:t>For the year ended December 31, 2019, financing activities used $7.3 million in cash primarily as a result of net share settlements for employee tax withholdings associated with the vesting of RSUs of $6.2 million, as well as principal payments on debt of $3.4 million, and payments of debt issuance costs of $0.4 million, partially offset by proceeds from issuance of debt of $2.2 million and proceeds from stock option exercises of $0.6 million.</w:t>
      </w:r>
    </w:p>
    <w:p>
      <w:pPr>
        <w:spacing w:after="0" w:line="221" w:lineRule="exact"/>
        <w:rPr>
          <w:sz w:val="20"/>
          <w:szCs w:val="20"/>
          <w:color w:val="auto"/>
        </w:rPr>
      </w:pPr>
    </w:p>
    <w:p>
      <w:pPr>
        <w:jc w:val="both"/>
        <w:ind w:left="1" w:firstLine="597"/>
        <w:spacing w:after="0" w:line="254" w:lineRule="auto"/>
        <w:rPr>
          <w:sz w:val="20"/>
          <w:szCs w:val="20"/>
          <w:color w:val="auto"/>
        </w:rPr>
      </w:pPr>
      <w:r>
        <w:rPr>
          <w:rFonts w:ascii="Arial" w:cs="Arial" w:eastAsia="Arial" w:hAnsi="Arial"/>
          <w:sz w:val="17"/>
          <w:szCs w:val="17"/>
          <w:color w:val="auto"/>
        </w:rPr>
        <w:t>For the year ended December 31, 2018, financing activities provided $26.3 million in cash primarily as a result of $50.0 million of proceeds from the issuance of the Term Loan, partially offset by $21.6 million used to repurchase our common stock and $3.1 million as a result of tax withholdings from RSU net settlements offset by proceeds from stock option exercises.</w:t>
      </w:r>
    </w:p>
    <w:p>
      <w:pPr>
        <w:spacing w:after="0" w:line="29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Contractual Obligations and Other Commitments</w:t>
      </w:r>
    </w:p>
    <w:p>
      <w:pPr>
        <w:spacing w:after="0" w:line="206" w:lineRule="exact"/>
        <w:rPr>
          <w:sz w:val="20"/>
          <w:szCs w:val="20"/>
          <w:color w:val="auto"/>
        </w:rPr>
      </w:pPr>
    </w:p>
    <w:p>
      <w:pPr>
        <w:ind w:left="601"/>
        <w:spacing w:after="0"/>
        <w:rPr>
          <w:sz w:val="20"/>
          <w:szCs w:val="20"/>
          <w:color w:val="auto"/>
        </w:rPr>
      </w:pPr>
      <w:r>
        <w:rPr>
          <w:rFonts w:ascii="Arial" w:cs="Arial" w:eastAsia="Arial" w:hAnsi="Arial"/>
          <w:sz w:val="17"/>
          <w:szCs w:val="17"/>
          <w:color w:val="auto"/>
        </w:rPr>
        <w:t>The following table presents our contractual obligations and other commitments at December 31, 2019:</w:t>
      </w:r>
    </w:p>
    <w:p>
      <w:pPr>
        <w:spacing w:after="0" w:line="369" w:lineRule="exact"/>
        <w:rPr>
          <w:sz w:val="20"/>
          <w:szCs w:val="20"/>
          <w:color w:val="auto"/>
        </w:rPr>
      </w:pPr>
    </w:p>
    <w:tbl>
      <w:tblPr>
        <w:tblLayout w:type="fixed"/>
        <w:tblInd w:w="1" w:type="dxa"/>
        <w:tblCellMar>
          <w:top w:w="0" w:type="dxa"/>
          <w:left w:w="0" w:type="dxa"/>
          <w:bottom w:w="0" w:type="dxa"/>
          <w:right w:w="0" w:type="dxa"/>
        </w:tblCellMar>
      </w:tblPr>
      <w:tr>
        <w:trPr>
          <w:trHeight w:val="177"/>
        </w:trPr>
        <w:tc>
          <w:tcPr>
            <w:tcW w:w="4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w w:val="90"/>
              </w:rPr>
              <w:t>Payments Due by Period</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41"/>
        </w:trPr>
        <w:tc>
          <w:tcPr>
            <w:tcW w:w="4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0"/>
              </w:rPr>
              <w:t>Less than 1 year</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1 to 3 years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3 to 5 years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90"/>
              </w:rPr>
              <w:t>More than 5 years</w:t>
            </w:r>
          </w:p>
        </w:tc>
      </w:tr>
      <w:tr>
        <w:trPr>
          <w:trHeight w:val="229"/>
        </w:trPr>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(in thousands)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4"/>
        </w:trPr>
        <w:tc>
          <w:tcPr>
            <w:tcW w:w="4680" w:type="dxa"/>
            <w:vAlign w:val="bottom"/>
            <w:shd w:val="clear" w:color="auto" w:fill="CCEEFF"/>
          </w:tcPr>
          <w:p>
            <w:pPr>
              <w:ind w:left="20"/>
              <w:spacing w:after="0" w:line="254" w:lineRule="exact"/>
              <w:rPr>
                <w:sz w:val="20"/>
                <w:szCs w:val="20"/>
                <w:color w:val="auto"/>
              </w:rPr>
            </w:pPr>
            <w:r>
              <w:rPr>
                <w:rFonts w:ascii="Arial" w:cs="Arial" w:eastAsia="Arial" w:hAnsi="Arial"/>
                <w:sz w:val="17"/>
                <w:szCs w:val="17"/>
                <w:color w:val="auto"/>
              </w:rPr>
              <w:t>Debt principal and interest</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54,663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2,836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7,977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43,850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w:t>
            </w:r>
          </w:p>
        </w:tc>
      </w:tr>
      <w:tr>
        <w:trPr>
          <w:trHeight w:val="224"/>
        </w:trPr>
        <w:tc>
          <w:tcPr>
            <w:tcW w:w="4680" w:type="dxa"/>
            <w:vAlign w:val="bottom"/>
          </w:tcPr>
          <w:p>
            <w:pPr>
              <w:ind w:left="20"/>
              <w:spacing w:after="0"/>
              <w:rPr>
                <w:sz w:val="20"/>
                <w:szCs w:val="20"/>
                <w:color w:val="auto"/>
              </w:rPr>
            </w:pPr>
            <w:r>
              <w:rPr>
                <w:rFonts w:ascii="Arial" w:cs="Arial" w:eastAsia="Arial" w:hAnsi="Arial"/>
                <w:sz w:val="17"/>
                <w:szCs w:val="17"/>
                <w:color w:val="auto"/>
              </w:rPr>
              <w:t>Operating lease obligations</w:t>
            </w:r>
          </w:p>
        </w:tc>
        <w:tc>
          <w:tcPr>
            <w:tcW w:w="30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7"/>
                <w:szCs w:val="17"/>
                <w:color w:val="auto"/>
              </w:rPr>
              <w:t>44,415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7"/>
                <w:szCs w:val="17"/>
                <w:color w:val="auto"/>
              </w:rPr>
              <w:t>472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4"/>
              <w:spacing w:after="0"/>
              <w:rPr>
                <w:sz w:val="20"/>
                <w:szCs w:val="20"/>
                <w:color w:val="auto"/>
              </w:rPr>
            </w:pPr>
            <w:r>
              <w:rPr>
                <w:rFonts w:ascii="Arial" w:cs="Arial" w:eastAsia="Arial" w:hAnsi="Arial"/>
                <w:sz w:val="17"/>
                <w:szCs w:val="17"/>
                <w:color w:val="auto"/>
              </w:rPr>
              <w:t>6,468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7"/>
                <w:szCs w:val="17"/>
                <w:color w:val="auto"/>
              </w:rPr>
              <w:t>7,885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17"/>
                <w:szCs w:val="17"/>
                <w:color w:val="auto"/>
              </w:rPr>
              <w:t>29,590</w:t>
            </w:r>
          </w:p>
        </w:tc>
      </w:tr>
      <w:tr>
        <w:trPr>
          <w:trHeight w:val="25"/>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6"/>
        </w:trPr>
        <w:tc>
          <w:tcPr>
            <w:tcW w:w="46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99,078</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3,308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14,445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51,735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29,590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181" w:hanging="181"/>
        <w:spacing w:after="0"/>
        <w:tabs>
          <w:tab w:leader="none" w:pos="181"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Interest payments were calculated using the applicable interest rate at December 31, 2019.</w:t>
      </w:r>
    </w:p>
    <w:p>
      <w:pPr>
        <w:spacing w:after="0" w:line="311" w:lineRule="exact"/>
        <w:rPr>
          <w:sz w:val="20"/>
          <w:szCs w:val="20"/>
          <w:color w:val="auto"/>
        </w:rPr>
      </w:pPr>
    </w:p>
    <w:p>
      <w:pPr>
        <w:ind w:left="1" w:firstLine="597"/>
        <w:spacing w:after="0" w:line="295" w:lineRule="auto"/>
        <w:rPr>
          <w:sz w:val="20"/>
          <w:szCs w:val="20"/>
          <w:color w:val="auto"/>
        </w:rPr>
      </w:pPr>
      <w:r>
        <w:rPr>
          <w:rFonts w:ascii="Arial" w:cs="Arial" w:eastAsia="Arial" w:hAnsi="Arial"/>
          <w:sz w:val="16"/>
          <w:szCs w:val="16"/>
          <w:color w:val="auto"/>
        </w:rPr>
        <w:t>At December 31, 2019, liabilities for unrecognized tax benefits of $4.4 million were not included in our contractual obligations in the table above because, due to their nature, there is a high degree of uncertainty regarding the timing of future cash outflows and other events that would extinguish these liabilities.</w:t>
      </w:r>
    </w:p>
    <w:p>
      <w:pPr>
        <w:spacing w:after="0" w:line="269" w:lineRule="exact"/>
        <w:rPr>
          <w:sz w:val="20"/>
          <w:szCs w:val="20"/>
          <w:color w:val="auto"/>
        </w:rPr>
      </w:pPr>
    </w:p>
    <w:p>
      <w:pPr>
        <w:ind w:left="1" w:firstLine="597"/>
        <w:spacing w:after="0" w:line="264" w:lineRule="auto"/>
        <w:rPr>
          <w:sz w:val="20"/>
          <w:szCs w:val="20"/>
          <w:color w:val="auto"/>
        </w:rPr>
      </w:pPr>
      <w:r>
        <w:rPr>
          <w:rFonts w:ascii="Arial" w:cs="Arial" w:eastAsia="Arial" w:hAnsi="Arial"/>
          <w:sz w:val="17"/>
          <w:szCs w:val="17"/>
          <w:color w:val="auto"/>
        </w:rPr>
        <w:t xml:space="preserve">For additional information regarding our contractual obligations, commitments and indemnification arrangements, refer to Note 9,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and Note 10, </w:t>
      </w: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of our Consolidated Financial Statements included elsewhere in this Annual Report.</w:t>
      </w:r>
    </w:p>
    <w:p>
      <w:pPr>
        <w:spacing w:after="0" w:line="200" w:lineRule="exact"/>
        <w:rPr>
          <w:sz w:val="20"/>
          <w:szCs w:val="20"/>
          <w:color w:val="auto"/>
        </w:rPr>
      </w:pPr>
    </w:p>
    <w:p>
      <w:pPr>
        <w:spacing w:after="0" w:line="22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Off-Balance Sheet Arrangements</w:t>
      </w:r>
    </w:p>
    <w:p>
      <w:pPr>
        <w:spacing w:after="0" w:line="107" w:lineRule="exact"/>
        <w:rPr>
          <w:sz w:val="20"/>
          <w:szCs w:val="20"/>
          <w:color w:val="auto"/>
        </w:rPr>
      </w:pPr>
    </w:p>
    <w:p>
      <w:pPr>
        <w:ind w:left="601"/>
        <w:spacing w:after="0"/>
        <w:rPr>
          <w:sz w:val="20"/>
          <w:szCs w:val="20"/>
          <w:color w:val="auto"/>
        </w:rPr>
      </w:pPr>
      <w:r>
        <w:rPr>
          <w:rFonts w:ascii="Arial" w:cs="Arial" w:eastAsia="Arial" w:hAnsi="Arial"/>
          <w:sz w:val="17"/>
          <w:szCs w:val="17"/>
          <w:color w:val="auto"/>
        </w:rPr>
        <w:t>At December 31, 2019, we did not have any off-balance sheet arrangements.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1"/>
          </w:cols>
          <w:pgMar w:left="239" w:top="774"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06" w:lineRule="exact"/>
        <w:rPr>
          <w:sz w:val="20"/>
          <w:szCs w:val="20"/>
          <w:color w:val="auto"/>
        </w:rPr>
      </w:pPr>
    </w:p>
    <w:p>
      <w:pPr>
        <w:jc w:val="both"/>
        <w:ind w:firstLine="597"/>
        <w:spacing w:after="0" w:line="271" w:lineRule="auto"/>
        <w:rPr>
          <w:sz w:val="20"/>
          <w:szCs w:val="20"/>
          <w:color w:val="auto"/>
        </w:rPr>
      </w:pPr>
      <w:r>
        <w:rPr>
          <w:rFonts w:ascii="Arial" w:cs="Arial" w:eastAsia="Arial" w:hAnsi="Arial"/>
          <w:sz w:val="16"/>
          <w:szCs w:val="16"/>
          <w:color w:val="auto"/>
        </w:rPr>
        <w:t>Our Consolidated Financial Statements and the related notes included elsewhere in this Annual Report are prepared in accordance with generally accepted accounting principles in the United States. The preparation of our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 Actual results could differ materially from those estimates.</w:t>
      </w:r>
    </w:p>
    <w:p>
      <w:pPr>
        <w:spacing w:after="0" w:line="127"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6"/>
          <w:szCs w:val="16"/>
          <w:color w:val="auto"/>
        </w:rPr>
        <w:t xml:space="preserve">We believe that the following critical accounting policies involve a greater degree of judgment or complexity than our other accounting policies. Accordingly, these are the policies we believe are the most critical to a full understanding and evaluation of our Consolidated Financial Statements. For additional information, refer to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our Consolidated Financial Statements included elsewhere in this Annual Report.</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2"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We generate revenue from our customers primarily for subscriptions to access our core solutions and Value+ services for our cloud-based software solutions. Revenue is recognized upon transfer of control of promised services in an amount that reflects the consideration we expect to receive in exchange for those services. We enter into contracts that can include various combinations of services, which are generally capable of being distinct, distinct within the context of the contract, and accounted for as separate performance obligations. Revenue is recognized net of any taxes collected from customers, which are subsequently remitted to governmental authorities.</w:t>
      </w:r>
    </w:p>
    <w:p>
      <w:pPr>
        <w:spacing w:after="0" w:line="24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Contracts with Multiple Performance Obligations</w:t>
      </w:r>
    </w:p>
    <w:p>
      <w:pPr>
        <w:spacing w:after="0" w:line="265" w:lineRule="exact"/>
        <w:rPr>
          <w:sz w:val="20"/>
          <w:szCs w:val="20"/>
          <w:color w:val="auto"/>
        </w:rPr>
      </w:pPr>
    </w:p>
    <w:p>
      <w:pPr>
        <w:jc w:val="both"/>
        <w:ind w:firstLine="597"/>
        <w:spacing w:after="0" w:line="304" w:lineRule="auto"/>
        <w:rPr>
          <w:sz w:val="20"/>
          <w:szCs w:val="20"/>
          <w:color w:val="auto"/>
        </w:rPr>
      </w:pPr>
      <w:r>
        <w:rPr>
          <w:rFonts w:ascii="Arial" w:cs="Arial" w:eastAsia="Arial" w:hAnsi="Arial"/>
          <w:sz w:val="15"/>
          <w:szCs w:val="15"/>
          <w:color w:val="auto"/>
        </w:rPr>
        <w:t>Many of our contracts with customers contain multiple performance obligations. For these contracts, the performance obligations include access to and use of our core solutions, implementation services, and customer support. We account for individual performance obligations separately if they are distinct. Determining whether products and services are considered distinct performance obligations that should be accounted for separately versus together may require judgment.</w:t>
      </w:r>
    </w:p>
    <w:p>
      <w:pPr>
        <w:spacing w:after="0" w:line="203"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The transaction price is allocated to each performance obligation on a relative standalone selling price basis. Judgment is required to determine the standalone selling price for each distinct performance obligation. We typically have more than 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869" w:right="239" w:bottom="1440" w:gutter="0" w:footer="0" w:header="0"/>
        </w:sectPr>
      </w:pPr>
    </w:p>
    <w:bookmarkStart w:id="52" w:name="page53"/>
    <w:bookmarkEnd w:id="52"/>
    <w:p>
      <w:pPr>
        <w:jc w:val="both"/>
        <w:spacing w:after="0" w:line="254" w:lineRule="auto"/>
        <w:rPr>
          <w:sz w:val="20"/>
          <w:szCs w:val="20"/>
          <w:color w:val="auto"/>
        </w:rPr>
      </w:pPr>
      <w:r>
        <w:rPr>
          <w:rFonts w:ascii="Arial" w:cs="Arial" w:eastAsia="Arial" w:hAnsi="Arial"/>
          <w:sz w:val="17"/>
          <w:szCs w:val="17"/>
          <w:color w:val="auto"/>
        </w:rPr>
        <w:t>standalone selling price for individual products and services due to the stratification of those products and services by customers and circumstances. In these instances, we determine the standalone selling price based on our overall pricing objectives, taking into consideration customer demographics and other factors. Fees are fixed based on rates specified in the subscription agreements, which do not provide for any refunds or adjustments.</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Capitalized Software Development Costs</w:t>
      </w:r>
    </w:p>
    <w:p>
      <w:pPr>
        <w:spacing w:after="0" w:line="202"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Software development costs consist of certain payroll and stock compensation costs incurred to develop functionality of our internal-use software solutions. We capitalize certain software development costs for new offerings as well as significant upgrades and enhancements to our existing software solutions. Capitalized software development costs are amortized using the straight-line method over an estimated useful life of three years. We do not transfer ownership of our software, or lease our software, to third parties. We believe there are two key estimates within the capitalized software balance, which are the determination of the useful life of the software and the determination of the amounts to be capitalized.</w:t>
      </w:r>
    </w:p>
    <w:p>
      <w:pPr>
        <w:spacing w:after="0" w:line="242"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We determined that a three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three years before being significantly replaced or modified to keep up with evolving customer and company needs. While we do not anticipate any significant changes to this three year estimate, a change in this estimate could produce a material impact on our financial statements.</w:t>
      </w:r>
    </w:p>
    <w:p>
      <w:pPr>
        <w:spacing w:after="0" w:line="242"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We determine the amount of internal software costs to be capitalized based on the amount of time spent by our software engineers on projects. Costs associated with building or significantly enhancing our software solutions and new internally built software solutions are capitalized, while costs associated with planning new developments and maintaining our software solutions are expensed as incurred.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w:t>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202"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6"/>
          <w:szCs w:val="16"/>
          <w:color w:val="auto"/>
        </w:rPr>
        <w:t>The results of a business acquired in a business combination are included in our Consolidated Financial Statements from the date of acquisition. We allocate the purchase price, including the fair value of contingent consideration, to the identifiable assets and liabilities of the acquired business at their acquisition date fair values. The excess of the purchase price over the amount allocated to the identifiable assets and liabilities, if any, is recorded as goodwill.</w:t>
      </w:r>
    </w:p>
    <w:p>
      <w:pPr>
        <w:spacing w:after="0" w:line="59"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 The Company engages the assistance of valuation specialists in concluding on fair value measurements in connection with determining fair values of assets acquired and liabilities assumed in a business combination.</w:t>
      </w:r>
    </w:p>
    <w:p>
      <w:pPr>
        <w:spacing w:after="0" w:line="81"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Acquisition-related transaction costs are not included as a component of consideration transferred, but are accounted for as an operating expense in the period in which the costs are incurred.</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Income Taxes</w:t>
      </w:r>
    </w:p>
    <w:p>
      <w:pPr>
        <w:spacing w:after="0" w:line="103"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We recognize deferred tax liabilities and assets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the Consolidated Statements of Operations in the period that includes the enactment date. A valuation allowance is recorded when it is more likely than not that some of the deferred tax assets will not be realized. In evaluating the need for a valuation allowance, management considers the weighting of all available positive and negative evidence, which includes, among other things, the nature, frequency and severity of current and cumulative taxable income or losses, future projections of profitability, and the duration of statutory carryforward periods.</w:t>
      </w:r>
    </w:p>
    <w:p>
      <w:pPr>
        <w:spacing w:after="0" w:line="170"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in our Consolidated Financial Statements from such positions are then measured based on the largest benefit that has a greater than 50% likelihood of being realized. We recognize interest and penalties accrued with respect to uncertain tax positions, if any, in our provision for income taxes in the Consolidated Statements of Operations.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Leases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674" w:right="239" w:bottom="1440" w:gutter="0" w:footer="0" w:header="0"/>
        </w:sectPr>
      </w:pPr>
    </w:p>
    <w:bookmarkStart w:id="53" w:name="page54"/>
    <w:bookmarkEnd w:id="53"/>
    <w:p>
      <w:pPr>
        <w:jc w:val="both"/>
        <w:ind w:firstLine="597"/>
        <w:spacing w:after="0" w:line="266" w:lineRule="auto"/>
        <w:rPr>
          <w:sz w:val="20"/>
          <w:szCs w:val="20"/>
          <w:color w:val="auto"/>
        </w:rPr>
      </w:pPr>
      <w:r>
        <w:rPr>
          <w:rFonts w:ascii="Arial" w:cs="Arial" w:eastAsia="Arial" w:hAnsi="Arial"/>
          <w:sz w:val="16"/>
          <w:szCs w:val="16"/>
          <w:color w:val="auto"/>
        </w:rPr>
        <w:t>We determine if an arrangement is a lease at inception. Operating leases are included in prepaid expenses and other current assets, operating lease ROU assets, other current liabilities, and operating lease liabilities on our Consolidated Balance Sheets. Operating lease ROU assets and operating lease liabilities are recognized based on the present value of the future minimum lease payments over the lease term at commencement date. As none of our leases provide an implicit rate, we use our incremental borrowing rate based on the information available at commencement date in determining the present value of future payments. The operating lease ROU assets also include any lease payments made and exclude lease incentives received and initial direct costs incurred. Our lease terms may include options to extend or terminate the lease when it is reasonably certain that we will exercise that option.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07"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 xml:space="preserve">For information regarding recent accounting pronouncements, refer to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of our Consolidated Financial Statements included elsewhere in this Annual Report.</w:t>
      </w:r>
    </w:p>
    <w:p>
      <w:pPr>
        <w:spacing w:after="0" w:line="26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Short-term Investments</w:t>
      </w:r>
    </w:p>
    <w:p>
      <w:pPr>
        <w:spacing w:after="0" w:line="103"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At December 31, 2019, we had cash and cash equivalents of $15.8 million consisting of bank deposits and money market funds and $35.0 million of investment securities consisting of corporate bonds, United States government agency securities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spacing w:after="0" w:line="81"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income unless an investment security is considered impaired in which case changes in fair value are reported in other expense. At December 31, 2019, a hypothetical 100 basis point decrease in interest rates would have resulted in an approximate increase in fair value of our investment securities of $0.3 million and a hypothetical 100 basis point increase in interest rates would have resulted in an approximate decrease in fair value of our investment securities of $0.3 million. This estimate is based on a sensitivity model which measured an instant change in interest rates by 1% or 100 basis points at December 31, 2019.</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Credit Facility</w:t>
      </w:r>
    </w:p>
    <w:p>
      <w:pPr>
        <w:spacing w:after="0" w:line="103"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color w:val="auto"/>
        </w:rPr>
        <w:t xml:space="preserve">The Company is exposed to interest rate risk from its Credit Facility. Outstanding borrowings under the Credit Facility accrue interest as described in Note 9, </w:t>
      </w:r>
      <w:r>
        <w:rPr>
          <w:rFonts w:ascii="Arial" w:cs="Arial" w:eastAsia="Arial" w:hAnsi="Arial"/>
          <w:sz w:val="15"/>
          <w:szCs w:val="15"/>
          <w:i w:val="1"/>
          <w:iCs w:val="1"/>
          <w:color w:val="auto"/>
        </w:rPr>
        <w:t xml:space="preserve">Long-term Debt </w:t>
      </w:r>
      <w:r>
        <w:rPr>
          <w:rFonts w:ascii="Arial" w:cs="Arial" w:eastAsia="Arial" w:hAnsi="Arial"/>
          <w:sz w:val="15"/>
          <w:szCs w:val="15"/>
          <w:color w:val="auto"/>
        </w:rPr>
        <w:t>of our Consolidated Financial Statements included elsewhere in this Annual Report. The Company's Credit Facility is subject to interest rate fluctuations,</w:t>
      </w:r>
      <w:r>
        <w:rPr>
          <w:rFonts w:ascii="Arial" w:cs="Arial" w:eastAsia="Arial" w:hAnsi="Arial"/>
          <w:sz w:val="15"/>
          <w:szCs w:val="15"/>
          <w:i w:val="1"/>
          <w:iCs w:val="1"/>
          <w:color w:val="auto"/>
        </w:rPr>
        <w:t xml:space="preserve"> </w:t>
      </w:r>
      <w:r>
        <w:rPr>
          <w:rFonts w:ascii="Arial" w:cs="Arial" w:eastAsia="Arial" w:hAnsi="Arial"/>
          <w:sz w:val="15"/>
          <w:szCs w:val="15"/>
          <w:color w:val="auto"/>
        </w:rPr>
        <w:t>which could be material to the Company's cash flows and results of operations. In order to determine the impact of unfavorable changes in interest rates on the Company's cash flows and result of operations, the Company performed a sensitivity analysis. Based on this sensitivity analysis we determined that the incremental expense incurred by a 100 basis point increase in interest rates would have been $0.5 million over the 12-month period ended December 31, 2019.</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Inflation Risk</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have not been exposed to, nor do we anticipate being exposed to, material risks due to changes in inflation rates.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gridSpan w:val="9"/>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796"/>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80" w:type="dxa"/>
            <w:vAlign w:val="bottom"/>
            <w:gridSpan w:val="2"/>
          </w:tcPr>
          <w:p>
            <w:pPr>
              <w:ind w:left="100"/>
              <w:spacing w:after="0"/>
              <w:rPr>
                <w:sz w:val="20"/>
                <w:szCs w:val="20"/>
                <w:color w:val="auto"/>
              </w:rPr>
            </w:pPr>
            <w:r>
              <w:rPr>
                <w:rFonts w:ascii="Arial" w:cs="Arial" w:eastAsia="Arial" w:hAnsi="Arial"/>
                <w:sz w:val="17"/>
                <w:szCs w:val="17"/>
                <w:b w:val="1"/>
                <w:bCs w:val="1"/>
                <w:color w:val="auto"/>
              </w:rPr>
              <w:t>INDEX TO CONSOLIDATED FINANCIAL STATEMENTS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8"/>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7"/>
                <w:szCs w:val="17"/>
                <w:b w:val="1"/>
                <w:bCs w:val="1"/>
                <w:color w:val="auto"/>
                <w:w w:val="83"/>
              </w:rPr>
              <w:t>Page</w:t>
            </w:r>
          </w:p>
        </w:tc>
      </w:tr>
      <w:tr>
        <w:trPr>
          <w:trHeight w:val="25"/>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9920" w:type="dxa"/>
            <w:vAlign w:val="bottom"/>
            <w:gridSpan w:val="8"/>
          </w:tcPr>
          <w:p>
            <w:pPr>
              <w:spacing w:after="0" w:line="179" w:lineRule="exact"/>
              <w:rPr>
                <w:rFonts w:ascii="Arial" w:cs="Arial" w:eastAsia="Arial" w:hAnsi="Arial"/>
                <w:sz w:val="17"/>
                <w:szCs w:val="17"/>
                <w:color w:val="0000EE"/>
              </w:rPr>
            </w:pPr>
            <w:hyperlink w:anchor="page55">
              <w:r>
                <w:rPr>
                  <w:rFonts w:ascii="Arial" w:cs="Arial" w:eastAsia="Arial" w:hAnsi="Arial"/>
                  <w:sz w:val="17"/>
                  <w:szCs w:val="17"/>
                  <w:color w:val="0000EE"/>
                </w:rPr>
                <w:t>Report of Independent Registered Public Accounting Firm</w:t>
              </w:r>
            </w:hyperlink>
          </w:p>
        </w:tc>
        <w:tc>
          <w:tcPr>
            <w:tcW w:w="1480" w:type="dxa"/>
            <w:vAlign w:val="bottom"/>
            <w:gridSpan w:val="3"/>
          </w:tcPr>
          <w:p>
            <w:pPr>
              <w:jc w:val="center"/>
              <w:spacing w:after="0" w:line="179" w:lineRule="exact"/>
              <w:rPr>
                <w:rFonts w:ascii="Arial" w:cs="Arial" w:eastAsia="Arial" w:hAnsi="Arial"/>
                <w:sz w:val="17"/>
                <w:szCs w:val="17"/>
                <w:color w:val="0000EE"/>
                <w:w w:val="94"/>
              </w:rPr>
            </w:pPr>
            <w:hyperlink w:anchor="page55">
              <w:r>
                <w:rPr>
                  <w:rFonts w:ascii="Arial" w:cs="Arial" w:eastAsia="Arial" w:hAnsi="Arial"/>
                  <w:sz w:val="17"/>
                  <w:szCs w:val="17"/>
                  <w:color w:val="0000EE"/>
                  <w:w w:val="94"/>
                </w:rPr>
                <w:t>52</w:t>
              </w:r>
            </w:hyperlink>
          </w:p>
        </w:tc>
      </w:tr>
      <w:tr>
        <w:trPr>
          <w:trHeight w:val="229"/>
        </w:trPr>
        <w:tc>
          <w:tcPr>
            <w:tcW w:w="20" w:type="dxa"/>
            <w:vAlign w:val="bottom"/>
          </w:tcPr>
          <w:p>
            <w:pPr>
              <w:spacing w:after="0"/>
              <w:rPr>
                <w:sz w:val="19"/>
                <w:szCs w:val="19"/>
                <w:color w:val="auto"/>
              </w:rPr>
            </w:pPr>
          </w:p>
        </w:tc>
        <w:tc>
          <w:tcPr>
            <w:tcW w:w="3880" w:type="dxa"/>
            <w:vAlign w:val="bottom"/>
            <w:tcBorders>
              <w:top w:val="single" w:sz="8" w:color="0000EE"/>
            </w:tcBorders>
            <w:gridSpan w:val="7"/>
          </w:tcPr>
          <w:p>
            <w:pPr>
              <w:spacing w:after="0"/>
              <w:rPr>
                <w:rFonts w:ascii="Arial" w:cs="Arial" w:eastAsia="Arial" w:hAnsi="Arial"/>
                <w:sz w:val="17"/>
                <w:szCs w:val="17"/>
                <w:color w:val="0000EE"/>
              </w:rPr>
            </w:pPr>
            <w:hyperlink w:anchor="page58">
              <w:r>
                <w:rPr>
                  <w:rFonts w:ascii="Arial" w:cs="Arial" w:eastAsia="Arial" w:hAnsi="Arial"/>
                  <w:sz w:val="17"/>
                  <w:szCs w:val="17"/>
                  <w:color w:val="0000EE"/>
                </w:rPr>
                <w:t>Consolidated Balance Sheets</w:t>
              </w:r>
            </w:hyperlink>
          </w:p>
        </w:tc>
        <w:tc>
          <w:tcPr>
            <w:tcW w:w="6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0000EE"/>
            </w:tcBorders>
          </w:tcPr>
          <w:p>
            <w:pPr>
              <w:jc w:val="center"/>
              <w:spacing w:after="0"/>
              <w:rPr>
                <w:rFonts w:ascii="Arial" w:cs="Arial" w:eastAsia="Arial" w:hAnsi="Arial"/>
                <w:sz w:val="17"/>
                <w:szCs w:val="17"/>
                <w:color w:val="0000EE"/>
                <w:w w:val="94"/>
              </w:rPr>
            </w:pPr>
            <w:hyperlink w:anchor="page58">
              <w:r>
                <w:rPr>
                  <w:rFonts w:ascii="Arial" w:cs="Arial" w:eastAsia="Arial" w:hAnsi="Arial"/>
                  <w:sz w:val="17"/>
                  <w:szCs w:val="17"/>
                  <w:color w:val="0000EE"/>
                  <w:w w:val="94"/>
                </w:rPr>
                <w:t>55</w:t>
              </w:r>
            </w:hyperlink>
          </w:p>
        </w:tc>
        <w:tc>
          <w:tcPr>
            <w:tcW w:w="6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600" w:type="dxa"/>
            <w:vAlign w:val="bottom"/>
            <w:tcBorders>
              <w:bottom w:val="single" w:sz="8" w:color="0000EE"/>
            </w:tcBorders>
            <w:gridSpan w:val="2"/>
          </w:tcPr>
          <w:p>
            <w:pPr>
              <w:spacing w:after="0"/>
              <w:rPr>
                <w:rFonts w:ascii="Arial" w:cs="Arial" w:eastAsia="Arial" w:hAnsi="Arial"/>
                <w:sz w:val="17"/>
                <w:szCs w:val="17"/>
                <w:color w:val="0000EE"/>
                <w:w w:val="86"/>
              </w:rPr>
            </w:pPr>
            <w:hyperlink w:anchor="page58">
              <w:r>
                <w:rPr>
                  <w:rFonts w:ascii="Arial" w:cs="Arial" w:eastAsia="Arial" w:hAnsi="Arial"/>
                  <w:sz w:val="17"/>
                  <w:szCs w:val="17"/>
                  <w:color w:val="0000EE"/>
                  <w:w w:val="86"/>
                </w:rPr>
                <w:t>Consolidated Statements of Operations</w:t>
              </w:r>
            </w:hyperlink>
          </w:p>
        </w:tc>
        <w:tc>
          <w:tcPr>
            <w:tcW w:w="7320" w:type="dxa"/>
            <w:vAlign w:val="bottom"/>
            <w:gridSpan w:val="6"/>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0000EE"/>
            </w:tcBorders>
          </w:tcPr>
          <w:p>
            <w:pPr>
              <w:jc w:val="center"/>
              <w:spacing w:after="0"/>
              <w:rPr>
                <w:rFonts w:ascii="Arial" w:cs="Arial" w:eastAsia="Arial" w:hAnsi="Arial"/>
                <w:sz w:val="17"/>
                <w:szCs w:val="17"/>
                <w:color w:val="0000EE"/>
                <w:w w:val="94"/>
              </w:rPr>
            </w:pPr>
            <w:hyperlink w:anchor="page58">
              <w:r>
                <w:rPr>
                  <w:rFonts w:ascii="Arial" w:cs="Arial" w:eastAsia="Arial" w:hAnsi="Arial"/>
                  <w:sz w:val="17"/>
                  <w:szCs w:val="17"/>
                  <w:color w:val="0000EE"/>
                  <w:w w:val="94"/>
                </w:rPr>
                <w:t>55</w:t>
              </w:r>
            </w:hyperlink>
          </w:p>
        </w:tc>
        <w:tc>
          <w:tcPr>
            <w:tcW w:w="6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920" w:type="dxa"/>
            <w:vAlign w:val="bottom"/>
            <w:gridSpan w:val="8"/>
          </w:tcPr>
          <w:p>
            <w:pPr>
              <w:spacing w:after="0"/>
              <w:rPr>
                <w:rFonts w:ascii="Arial" w:cs="Arial" w:eastAsia="Arial" w:hAnsi="Arial"/>
                <w:sz w:val="17"/>
                <w:szCs w:val="17"/>
                <w:color w:val="0000EE"/>
              </w:rPr>
            </w:pPr>
            <w:hyperlink w:anchor="page60">
              <w:r>
                <w:rPr>
                  <w:rFonts w:ascii="Arial" w:cs="Arial" w:eastAsia="Arial" w:hAnsi="Arial"/>
                  <w:sz w:val="17"/>
                  <w:szCs w:val="17"/>
                  <w:color w:val="0000EE"/>
                </w:rPr>
                <w:t>Consolidated Statements of Comprehensive Income</w:t>
              </w:r>
            </w:hyperlink>
          </w:p>
        </w:tc>
        <w:tc>
          <w:tcPr>
            <w:tcW w:w="1480" w:type="dxa"/>
            <w:vAlign w:val="bottom"/>
            <w:gridSpan w:val="3"/>
          </w:tcPr>
          <w:p>
            <w:pPr>
              <w:jc w:val="center"/>
              <w:spacing w:after="0"/>
              <w:rPr>
                <w:rFonts w:ascii="Arial" w:cs="Arial" w:eastAsia="Arial" w:hAnsi="Arial"/>
                <w:sz w:val="17"/>
                <w:szCs w:val="17"/>
                <w:color w:val="0000EE"/>
                <w:w w:val="94"/>
              </w:rPr>
            </w:pPr>
            <w:hyperlink w:anchor="page60">
              <w:r>
                <w:rPr>
                  <w:rFonts w:ascii="Arial" w:cs="Arial" w:eastAsia="Arial" w:hAnsi="Arial"/>
                  <w:sz w:val="17"/>
                  <w:szCs w:val="17"/>
                  <w:color w:val="0000EE"/>
                  <w:w w:val="94"/>
                </w:rPr>
                <w:t>56</w:t>
              </w:r>
            </w:hyperlink>
          </w:p>
        </w:tc>
      </w:tr>
      <w:tr>
        <w:trPr>
          <w:trHeight w:val="229"/>
        </w:trPr>
        <w:tc>
          <w:tcPr>
            <w:tcW w:w="20" w:type="dxa"/>
            <w:vAlign w:val="bottom"/>
          </w:tcPr>
          <w:p>
            <w:pPr>
              <w:spacing w:after="0"/>
              <w:rPr>
                <w:sz w:val="19"/>
                <w:szCs w:val="19"/>
                <w:color w:val="auto"/>
              </w:rPr>
            </w:pPr>
          </w:p>
        </w:tc>
        <w:tc>
          <w:tcPr>
            <w:tcW w:w="3440" w:type="dxa"/>
            <w:vAlign w:val="bottom"/>
            <w:tcBorders>
              <w:top w:val="single" w:sz="8" w:color="0000EE"/>
            </w:tcBorders>
            <w:gridSpan w:val="6"/>
          </w:tcPr>
          <w:p>
            <w:pPr>
              <w:spacing w:after="0"/>
              <w:rPr>
                <w:rFonts w:ascii="Arial" w:cs="Arial" w:eastAsia="Arial" w:hAnsi="Arial"/>
                <w:sz w:val="17"/>
                <w:szCs w:val="17"/>
                <w:color w:val="0000EE"/>
                <w:w w:val="93"/>
              </w:rPr>
            </w:pPr>
            <w:hyperlink w:anchor="page61">
              <w:r>
                <w:rPr>
                  <w:rFonts w:ascii="Arial" w:cs="Arial" w:eastAsia="Arial" w:hAnsi="Arial"/>
                  <w:sz w:val="17"/>
                  <w:szCs w:val="17"/>
                  <w:color w:val="0000EE"/>
                  <w:w w:val="93"/>
                </w:rPr>
                <w:t>Consolidated Statements of Stockholders' Equity</w:t>
              </w:r>
            </w:hyperlink>
          </w:p>
        </w:tc>
        <w:tc>
          <w:tcPr>
            <w:tcW w:w="648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0000EE"/>
            </w:tcBorders>
          </w:tcPr>
          <w:p>
            <w:pPr>
              <w:jc w:val="center"/>
              <w:spacing w:after="0"/>
              <w:rPr>
                <w:rFonts w:ascii="Arial" w:cs="Arial" w:eastAsia="Arial" w:hAnsi="Arial"/>
                <w:sz w:val="17"/>
                <w:szCs w:val="17"/>
                <w:color w:val="0000EE"/>
                <w:w w:val="94"/>
              </w:rPr>
            </w:pPr>
            <w:hyperlink w:anchor="page61">
              <w:r>
                <w:rPr>
                  <w:rFonts w:ascii="Arial" w:cs="Arial" w:eastAsia="Arial" w:hAnsi="Arial"/>
                  <w:sz w:val="17"/>
                  <w:szCs w:val="17"/>
                  <w:color w:val="0000EE"/>
                  <w:w w:val="94"/>
                </w:rPr>
                <w:t>57</w:t>
              </w:r>
            </w:hyperlink>
          </w:p>
        </w:tc>
        <w:tc>
          <w:tcPr>
            <w:tcW w:w="6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40" w:type="dxa"/>
            <w:vAlign w:val="bottom"/>
            <w:tcBorders>
              <w:top w:val="single" w:sz="8" w:color="0000EE"/>
            </w:tcBorders>
            <w:gridSpan w:val="5"/>
          </w:tcPr>
          <w:p>
            <w:pPr>
              <w:spacing w:after="0"/>
              <w:rPr>
                <w:rFonts w:ascii="Arial" w:cs="Arial" w:eastAsia="Arial" w:hAnsi="Arial"/>
                <w:sz w:val="17"/>
                <w:szCs w:val="17"/>
                <w:color w:val="0000EE"/>
              </w:rPr>
            </w:pPr>
            <w:hyperlink w:anchor="page62">
              <w:r>
                <w:rPr>
                  <w:rFonts w:ascii="Arial" w:cs="Arial" w:eastAsia="Arial" w:hAnsi="Arial"/>
                  <w:sz w:val="17"/>
                  <w:szCs w:val="17"/>
                  <w:color w:val="0000EE"/>
                </w:rPr>
                <w:t>Consolidated Statements of Cash Flows</w:t>
              </w:r>
            </w:hyperlink>
          </w:p>
        </w:tc>
        <w:tc>
          <w:tcPr>
            <w:tcW w:w="6680" w:type="dxa"/>
            <w:vAlign w:val="bottom"/>
            <w:gridSpan w:val="3"/>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0000EE"/>
            </w:tcBorders>
          </w:tcPr>
          <w:p>
            <w:pPr>
              <w:jc w:val="center"/>
              <w:spacing w:after="0"/>
              <w:rPr>
                <w:rFonts w:ascii="Arial" w:cs="Arial" w:eastAsia="Arial" w:hAnsi="Arial"/>
                <w:sz w:val="17"/>
                <w:szCs w:val="17"/>
                <w:color w:val="0000EE"/>
                <w:w w:val="94"/>
              </w:rPr>
            </w:pPr>
            <w:hyperlink w:anchor="page62">
              <w:r>
                <w:rPr>
                  <w:rFonts w:ascii="Arial" w:cs="Arial" w:eastAsia="Arial" w:hAnsi="Arial"/>
                  <w:sz w:val="17"/>
                  <w:szCs w:val="17"/>
                  <w:color w:val="0000EE"/>
                  <w:w w:val="94"/>
                </w:rPr>
                <w:t>58</w:t>
              </w:r>
            </w:hyperlink>
          </w:p>
        </w:tc>
        <w:tc>
          <w:tcPr>
            <w:tcW w:w="6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9920" w:type="dxa"/>
            <w:vAlign w:val="bottom"/>
            <w:gridSpan w:val="8"/>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Notes to Consolidated Financial Statements</w:t>
              </w:r>
            </w:hyperlink>
          </w:p>
        </w:tc>
        <w:tc>
          <w:tcPr>
            <w:tcW w:w="1480" w:type="dxa"/>
            <w:vAlign w:val="bottom"/>
            <w:gridSpan w:val="3"/>
          </w:tcPr>
          <w:p>
            <w:pPr>
              <w:jc w:val="center"/>
              <w:spacing w:after="0"/>
              <w:rPr>
                <w:rFonts w:ascii="Arial" w:cs="Arial" w:eastAsia="Arial" w:hAnsi="Arial"/>
                <w:sz w:val="17"/>
                <w:szCs w:val="17"/>
                <w:color w:val="0000EE"/>
                <w:w w:val="94"/>
              </w:rPr>
            </w:pPr>
            <w:hyperlink w:anchor="page64">
              <w:r>
                <w:rPr>
                  <w:rFonts w:ascii="Arial" w:cs="Arial" w:eastAsia="Arial" w:hAnsi="Arial"/>
                  <w:sz w:val="17"/>
                  <w:szCs w:val="17"/>
                  <w:color w:val="0000EE"/>
                  <w:w w:val="94"/>
                </w:rPr>
                <w:t>60</w:t>
              </w:r>
            </w:hyperlink>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361"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The supplementary financial information required by this Item 8 is included in Item 7 of this Annual Report in the section entitled "Quarterly Results of Operations."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774" w:right="239" w:bottom="1440" w:gutter="0" w:footer="0" w:header="0"/>
        </w:sectPr>
      </w:pPr>
    </w:p>
    <w:bookmarkStart w:id="54" w:name="page55"/>
    <w:bookmarkEnd w:id="54"/>
    <w:p>
      <w:pPr>
        <w:ind w:left="28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AppFolio, Inc.</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 and Internal Control over Financial Reporting</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We have audited the accompanying consolidated balance sheets of AppFolio, Inc. and its subsidiaries (the "Company") as of December 31, 2019 and 2018, and the related consolidated statements of operations, of comprehensive income, of stockholders’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43"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Accounting Principles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discussed in Note 2 to the consolidated financial statements, the Company changed the manner in which it accounts for leases in 2019 and the manner in which it accounts for revenue from contracts with customers in 2018.</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As described in Management’s Report on Internal Control over Financial Reporting, management has excluded Dynasty from its assessment of internal control over financial reporting as of December 31, 2019 because it was acquired by the Company in a purchase business combination during 2019. We have also excluded Dynasty from our audit of internal control over financial reporting. Dynasty is a wholly-owned subsidiary whose total assets and total revenues excluded from management’s assessment and our audit of internal control over financial reporting each represent 1% of the related consolidated financial statement amounts as of and for the year ended December 31, 2019.</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969" w:right="239" w:bottom="1440" w:gutter="0" w:footer="0" w:header="0"/>
        </w:sectPr>
      </w:pPr>
    </w:p>
    <w:bookmarkStart w:id="55" w:name="page56"/>
    <w:bookmarkEnd w:id="55"/>
    <w:p>
      <w:pPr>
        <w:jc w:val="both"/>
        <w:spacing w:after="0" w:line="265"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of Dynasty Marketplace, Inc. ("Dynasty") - Valuation of technology and database intangible assets</w:t>
      </w:r>
    </w:p>
    <w:p>
      <w:pPr>
        <w:spacing w:after="0" w:line="165"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As described in Notes 2 and 3 to the consolidated financial statements, in 2019 the Company completed the acquisition of Dynasty for total purchase consideration of $60.2 million, which resulted in $20.8 million of intangible assets, including technology of $5.7 million and database of $4.7 million, being recorded. Management applied significant judgment in estimating the fair value of the technology and database intangible assets acquired, which involved the use of significant estimates and assumptions, including the selection of valuation methodologies, estimates of future revenue and cash flows, discount rates, the software decay rate and database ramp up rate.</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principal considerations for our determination that performing procedures relating to the valuation of the technology and database intangible assets from the acquisition of Dynasty is a critical audit matter are (i) there was a high degree of auditor judgment and subjectivity in applying procedures relating to the fair value measurement of the technology and database intangible assets acquired due to the significant amount of judgment by management when developing the estimate, (ii) significant audit effort was required in evaluating the significant assumptions, including the software decay rate and the database ramp up rate, and (iii) the audit effort involved the use of professionals with specialized skill and knowledge to assist in performing these procedures and evaluating the audit evidence obtained from these procedures.</w:t>
      </w:r>
    </w:p>
    <w:p>
      <w:pPr>
        <w:spacing w:after="0" w:line="11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technology and database intangible assets and controls over the development of the assumptions related to the valuation of intangible assets, including the software decay rate and database ramp up rate. These procedures also included, among others, (i) reading the purchase agreement, (ii) testing management’s process for estimating the fair value of the technology and database intangible assets, and (iii) evaluating the reasonableness of the significant assumptions utilized by management, including the software decay rate and database ramp up rate, using professionals with specialized skill and knowledge to assist in doing so. Testing management’s process included evaluating the appropriateness of the valuation methodologies and the reasonableness of significant assumptions, including the software decay rate and the database ramp up rate. Evaluating the reasonableness of the software decay rate assumption involved considering historical time to develop the software, future expected use of software acquired including planned enhancements, consistency with external market and industry data, and whether the assumption was consistent with evidence obtained in other areas of the audit. Evaluating the reasonableness of the database ramp up rate assumption involved considering historical time to acquire data, future expected data collection from sales, consistency with competitor and industry data, and whether the assumption was consistent with evidence obtained in other areas of the audit.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Realizability of deferred tax assets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736" w:right="239" w:bottom="1440" w:gutter="0" w:footer="0" w:header="0"/>
        </w:sectPr>
      </w:pPr>
    </w:p>
    <w:bookmarkStart w:id="56" w:name="page57"/>
    <w:bookmarkEnd w:id="56"/>
    <w:p>
      <w:pPr>
        <w:jc w:val="both"/>
        <w:spacing w:after="0" w:line="287" w:lineRule="auto"/>
        <w:rPr>
          <w:sz w:val="20"/>
          <w:szCs w:val="20"/>
          <w:color w:val="auto"/>
        </w:rPr>
      </w:pPr>
      <w:r>
        <w:rPr>
          <w:rFonts w:ascii="Arial" w:cs="Arial" w:eastAsia="Arial" w:hAnsi="Arial"/>
          <w:sz w:val="15"/>
          <w:szCs w:val="15"/>
          <w:color w:val="auto"/>
        </w:rPr>
        <w:t>As described in Notes 2 and 13 to the consolidated financial statements, the Company has recorded deferred tax assets of $53.1 million as of December 31, 2019. A valuation allowance is recorded when it is more likely than not that some of the deferred tax assets will not be realized. In evaluating the need for a valuation allowance, management considers the weighting of all available positive and negative evidence, which included, among other things, the nature, frequency and severity of current and cumulative taxable income or losses, future projections of profitability, and the duration of statutory carryforward periods. In 2019, management evaluated all available positive and negative evidence, including the Company’s sustained profitability in 2018 and 2019, the impact of recent acquisitions and future projections of profitability and determined that all of its deferred tax assets were more likely than not to be realized and reversed the valuation allowance against those deferred tax assets.</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principal considerations for our determination that performing procedures relating to the realizability of deferred tax assets is a critical audit matter are there was significant judgment by management in determining the amount of deferred tax assets that were more-likely-than-not to be realized in the future, including the determination to reverse the valuation allowance on deferred tax assets. This in turn led to a high degree of auditor judgment, subjectivity, and effort in performing procedures to evaluate positive and negative evidence relating to management’s determination of the amount of deferred tax assets that were more-likely-than-not to be realized in the future, including the nature, frequency and severity of current and cumulative taxable income or losses, future projections of profitability, and the duration of statutory carryforward periods. Also, the audit effort involved the use of professionals with specialized skill and knowledge to assist in evaluating the evidence obtained from these procedures.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realizability of deferred tax assets. These procedures also included, among others, evaluating positive and negative evidence used in determining the amount of deferred tax assets that were more-likely-than-not to be realized in the future, including evaluating the nature, frequency and severity of current and cumulative taxable income or losses, future projections of profitability, and the duration of statutory carryforward periods. Evaluating management’s future projections of profitability involved evaluating whether the projections were reasonable considering (i) historical profitability of the Company, (ii) consistency with industry data and economic trends, and (iii) whether these assumptions were consistent with evidence obtained in other areas of the audit. Professionals with specialized skills and knowledge were used to assist in the evaluation of the nature, frequency and severity of current and cumulative taxable income or losses and in the duration of statutory carryforward periods.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March 2,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736"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APPFOLIO,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par values)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40" w:type="dxa"/>
            <w:vAlign w:val="bottom"/>
            <w:gridSpan w:val="3"/>
          </w:tcPr>
          <w:p>
            <w:pPr>
              <w:jc w:val="right"/>
              <w:ind w:right="45"/>
              <w:spacing w:after="0"/>
              <w:rPr>
                <w:sz w:val="20"/>
                <w:szCs w:val="20"/>
                <w:color w:val="auto"/>
              </w:rPr>
            </w:pPr>
            <w:r>
              <w:rPr>
                <w:rFonts w:ascii="Arial" w:cs="Arial" w:eastAsia="Arial" w:hAnsi="Arial"/>
                <w:sz w:val="15"/>
                <w:szCs w:val="15"/>
                <w:b w:val="1"/>
                <w:bCs w:val="1"/>
                <w:color w:val="auto"/>
              </w:rPr>
              <w:t>December 31,</w:t>
            </w:r>
          </w:p>
        </w:tc>
        <w:tc>
          <w:tcPr>
            <w:tcW w:w="1080" w:type="dxa"/>
            <w:vAlign w:val="bottom"/>
          </w:tcPr>
          <w:p>
            <w:pPr>
              <w:spacing w:after="0"/>
              <w:rPr>
                <w:sz w:val="16"/>
                <w:szCs w:val="16"/>
                <w:color w:val="auto"/>
              </w:rPr>
            </w:pPr>
          </w:p>
        </w:tc>
      </w:tr>
      <w:tr>
        <w:trPr>
          <w:trHeight w:val="31"/>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1"/>
        </w:trPr>
        <w:tc>
          <w:tcPr>
            <w:tcW w:w="8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ind w:right="585"/>
              <w:spacing w:after="0"/>
              <w:rPr>
                <w:sz w:val="20"/>
                <w:szCs w:val="20"/>
                <w:color w:val="auto"/>
              </w:rPr>
            </w:pPr>
            <w:r>
              <w:rPr>
                <w:rFonts w:ascii="Arial" w:cs="Arial" w:eastAsia="Arial" w:hAnsi="Arial"/>
                <w:sz w:val="15"/>
                <w:szCs w:val="15"/>
                <w:b w:val="1"/>
                <w:bCs w:val="1"/>
                <w:color w:val="auto"/>
              </w:rPr>
              <w:t>2018</w:t>
            </w:r>
          </w:p>
        </w:tc>
      </w:tr>
      <w:tr>
        <w:trPr>
          <w:trHeight w:val="31"/>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1"/>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06"/>
        </w:trPr>
        <w:tc>
          <w:tcPr>
            <w:tcW w:w="81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3"/>
        </w:trPr>
        <w:tc>
          <w:tcPr>
            <w:tcW w:w="8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29"/>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Cash and cash equivalents</w:t>
            </w:r>
          </w:p>
        </w:tc>
        <w:tc>
          <w:tcPr>
            <w:tcW w:w="980" w:type="dxa"/>
            <w:vAlign w:val="bottom"/>
            <w:tcBorders>
              <w:bottom w:val="single" w:sz="8" w:color="CCEEFF"/>
            </w:tcBorders>
            <w:shd w:val="clear" w:color="auto" w:fill="CCEEFF"/>
          </w:tcPr>
          <w:p>
            <w:pPr>
              <w:jc w:val="right"/>
              <w:ind w:right="805"/>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15,813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45"/>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74,076</w:t>
            </w:r>
          </w:p>
        </w:tc>
      </w:tr>
      <w:tr>
        <w:trPr>
          <w:trHeight w:val="218"/>
        </w:trPr>
        <w:tc>
          <w:tcPr>
            <w:tcW w:w="8120" w:type="dxa"/>
            <w:vAlign w:val="bottom"/>
          </w:tcPr>
          <w:p>
            <w:pPr>
              <w:ind w:left="340"/>
              <w:spacing w:after="0"/>
              <w:rPr>
                <w:sz w:val="20"/>
                <w:szCs w:val="20"/>
                <w:color w:val="auto"/>
              </w:rPr>
            </w:pPr>
            <w:r>
              <w:rPr>
                <w:rFonts w:ascii="Arial" w:cs="Arial" w:eastAsia="Arial" w:hAnsi="Arial"/>
                <w:sz w:val="15"/>
                <w:szCs w:val="15"/>
                <w:color w:val="auto"/>
              </w:rPr>
              <w:t>Investment securities—current</w:t>
            </w:r>
          </w:p>
        </w:tc>
        <w:tc>
          <w:tcPr>
            <w:tcW w:w="980" w:type="dxa"/>
            <w:vAlign w:val="bottom"/>
          </w:tcPr>
          <w:p>
            <w:pPr>
              <w:spacing w:after="0"/>
              <w:rPr>
                <w:sz w:val="18"/>
                <w:szCs w:val="18"/>
                <w:color w:val="auto"/>
              </w:rPr>
            </w:pPr>
          </w:p>
        </w:tc>
        <w:tc>
          <w:tcPr>
            <w:tcW w:w="620" w:type="dxa"/>
            <w:vAlign w:val="bottom"/>
          </w:tcPr>
          <w:p>
            <w:pPr>
              <w:jc w:val="right"/>
              <w:ind w:right="45"/>
              <w:spacing w:after="0"/>
              <w:rPr>
                <w:sz w:val="20"/>
                <w:szCs w:val="20"/>
                <w:color w:val="auto"/>
              </w:rPr>
            </w:pPr>
            <w:r>
              <w:rPr>
                <w:rFonts w:ascii="Arial" w:cs="Arial" w:eastAsia="Arial" w:hAnsi="Arial"/>
                <w:sz w:val="15"/>
                <w:szCs w:val="15"/>
                <w:color w:val="auto"/>
              </w:rPr>
              <w:t>22,876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16,631</w:t>
            </w:r>
          </w:p>
        </w:tc>
      </w:tr>
      <w:tr>
        <w:trPr>
          <w:trHeight w:val="31"/>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Accounts receivable, net</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7,562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5,516</w:t>
            </w:r>
          </w:p>
        </w:tc>
      </w:tr>
      <w:tr>
        <w:trPr>
          <w:trHeight w:val="218"/>
        </w:trPr>
        <w:tc>
          <w:tcPr>
            <w:tcW w:w="8120" w:type="dxa"/>
            <w:vAlign w:val="bottom"/>
          </w:tcPr>
          <w:p>
            <w:pPr>
              <w:ind w:left="340"/>
              <w:spacing w:after="0"/>
              <w:rPr>
                <w:sz w:val="20"/>
                <w:szCs w:val="20"/>
                <w:color w:val="auto"/>
              </w:rPr>
            </w:pPr>
            <w:r>
              <w:rPr>
                <w:rFonts w:ascii="Arial" w:cs="Arial" w:eastAsia="Arial" w:hAnsi="Arial"/>
                <w:sz w:val="15"/>
                <w:szCs w:val="15"/>
                <w:color w:val="auto"/>
              </w:rPr>
              <w:t>Prepaid expenses and other current assets</w:t>
            </w:r>
          </w:p>
        </w:tc>
        <w:tc>
          <w:tcPr>
            <w:tcW w:w="980" w:type="dxa"/>
            <w:vAlign w:val="bottom"/>
          </w:tcPr>
          <w:p>
            <w:pPr>
              <w:spacing w:after="0"/>
              <w:rPr>
                <w:sz w:val="18"/>
                <w:szCs w:val="18"/>
                <w:color w:val="auto"/>
              </w:rPr>
            </w:pPr>
          </w:p>
        </w:tc>
        <w:tc>
          <w:tcPr>
            <w:tcW w:w="620" w:type="dxa"/>
            <w:vAlign w:val="bottom"/>
          </w:tcPr>
          <w:p>
            <w:pPr>
              <w:jc w:val="right"/>
              <w:ind w:right="45"/>
              <w:spacing w:after="0"/>
              <w:rPr>
                <w:sz w:val="20"/>
                <w:szCs w:val="20"/>
                <w:color w:val="auto"/>
              </w:rPr>
            </w:pPr>
            <w:r>
              <w:rPr>
                <w:rFonts w:ascii="Arial" w:cs="Arial" w:eastAsia="Arial" w:hAnsi="Arial"/>
                <w:sz w:val="15"/>
                <w:szCs w:val="15"/>
                <w:color w:val="auto"/>
              </w:rPr>
              <w:t>15,540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11,775</w:t>
            </w:r>
          </w:p>
        </w:tc>
      </w:tr>
      <w:tr>
        <w:trPr>
          <w:trHeight w:val="31"/>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81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Total current assets</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61,791</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107,998</w:t>
            </w:r>
          </w:p>
        </w:tc>
      </w:tr>
      <w:tr>
        <w:trPr>
          <w:trHeight w:val="218"/>
        </w:trPr>
        <w:tc>
          <w:tcPr>
            <w:tcW w:w="8120" w:type="dxa"/>
            <w:vAlign w:val="bottom"/>
          </w:tcPr>
          <w:p>
            <w:pPr>
              <w:ind w:left="20"/>
              <w:spacing w:after="0"/>
              <w:rPr>
                <w:sz w:val="20"/>
                <w:szCs w:val="20"/>
                <w:color w:val="auto"/>
              </w:rPr>
            </w:pPr>
            <w:r>
              <w:rPr>
                <w:rFonts w:ascii="Arial" w:cs="Arial" w:eastAsia="Arial" w:hAnsi="Arial"/>
                <w:sz w:val="15"/>
                <w:szCs w:val="15"/>
                <w:color w:val="auto"/>
              </w:rPr>
              <w:t>Investment securities—noncurrent</w:t>
            </w:r>
          </w:p>
        </w:tc>
        <w:tc>
          <w:tcPr>
            <w:tcW w:w="980" w:type="dxa"/>
            <w:vAlign w:val="bottom"/>
          </w:tcPr>
          <w:p>
            <w:pPr>
              <w:spacing w:after="0"/>
              <w:rPr>
                <w:sz w:val="18"/>
                <w:szCs w:val="18"/>
                <w:color w:val="auto"/>
              </w:rPr>
            </w:pPr>
          </w:p>
        </w:tc>
        <w:tc>
          <w:tcPr>
            <w:tcW w:w="620" w:type="dxa"/>
            <w:vAlign w:val="bottom"/>
          </w:tcPr>
          <w:p>
            <w:pPr>
              <w:jc w:val="right"/>
              <w:ind w:right="45"/>
              <w:spacing w:after="0"/>
              <w:rPr>
                <w:sz w:val="20"/>
                <w:szCs w:val="20"/>
                <w:color w:val="auto"/>
              </w:rPr>
            </w:pPr>
            <w:r>
              <w:rPr>
                <w:rFonts w:ascii="Arial" w:cs="Arial" w:eastAsia="Arial" w:hAnsi="Arial"/>
                <w:sz w:val="15"/>
                <w:szCs w:val="15"/>
                <w:color w:val="auto"/>
              </w:rPr>
              <w:t>12,089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11,256</w:t>
            </w:r>
          </w:p>
        </w:tc>
      </w:tr>
      <w:tr>
        <w:trPr>
          <w:trHeight w:val="31"/>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14,744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6,871</w:t>
            </w:r>
          </w:p>
        </w:tc>
      </w:tr>
      <w:tr>
        <w:trPr>
          <w:trHeight w:val="218"/>
        </w:trPr>
        <w:tc>
          <w:tcPr>
            <w:tcW w:w="8120" w:type="dxa"/>
            <w:vAlign w:val="bottom"/>
          </w:tcPr>
          <w:p>
            <w:pPr>
              <w:ind w:left="20"/>
              <w:spacing w:after="0"/>
              <w:rPr>
                <w:sz w:val="20"/>
                <w:szCs w:val="20"/>
                <w:color w:val="auto"/>
              </w:rPr>
            </w:pPr>
            <w:r>
              <w:rPr>
                <w:rFonts w:ascii="Arial" w:cs="Arial" w:eastAsia="Arial" w:hAnsi="Arial"/>
                <w:sz w:val="15"/>
                <w:szCs w:val="15"/>
                <w:color w:val="auto"/>
              </w:rPr>
              <w:t>Operating lease right-of-use assets</w:t>
            </w:r>
          </w:p>
        </w:tc>
        <w:tc>
          <w:tcPr>
            <w:tcW w:w="980" w:type="dxa"/>
            <w:vAlign w:val="bottom"/>
          </w:tcPr>
          <w:p>
            <w:pPr>
              <w:spacing w:after="0"/>
              <w:rPr>
                <w:sz w:val="18"/>
                <w:szCs w:val="18"/>
                <w:color w:val="auto"/>
              </w:rPr>
            </w:pPr>
          </w:p>
        </w:tc>
        <w:tc>
          <w:tcPr>
            <w:tcW w:w="620" w:type="dxa"/>
            <w:vAlign w:val="bottom"/>
          </w:tcPr>
          <w:p>
            <w:pPr>
              <w:jc w:val="right"/>
              <w:ind w:right="45"/>
              <w:spacing w:after="0"/>
              <w:rPr>
                <w:sz w:val="20"/>
                <w:szCs w:val="20"/>
                <w:color w:val="auto"/>
              </w:rPr>
            </w:pPr>
            <w:r>
              <w:rPr>
                <w:rFonts w:ascii="Arial" w:cs="Arial" w:eastAsia="Arial" w:hAnsi="Arial"/>
                <w:sz w:val="15"/>
                <w:szCs w:val="15"/>
                <w:color w:val="auto"/>
              </w:rPr>
              <w:t>27,803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r>
      <w:tr>
        <w:trPr>
          <w:trHeight w:val="31"/>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Capitalized software, net</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30,023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20,485</w:t>
            </w:r>
          </w:p>
        </w:tc>
      </w:tr>
      <w:tr>
        <w:trPr>
          <w:trHeight w:val="218"/>
        </w:trPr>
        <w:tc>
          <w:tcPr>
            <w:tcW w:w="8120" w:type="dxa"/>
            <w:vAlign w:val="bottom"/>
          </w:tcPr>
          <w:p>
            <w:pPr>
              <w:ind w:left="20"/>
              <w:spacing w:after="0"/>
              <w:rPr>
                <w:sz w:val="20"/>
                <w:szCs w:val="20"/>
                <w:color w:val="auto"/>
              </w:rPr>
            </w:pPr>
            <w:r>
              <w:rPr>
                <w:rFonts w:ascii="Arial" w:cs="Arial" w:eastAsia="Arial" w:hAnsi="Arial"/>
                <w:sz w:val="15"/>
                <w:szCs w:val="15"/>
                <w:color w:val="auto"/>
              </w:rPr>
              <w:t>Goodwill</w:t>
            </w:r>
          </w:p>
        </w:tc>
        <w:tc>
          <w:tcPr>
            <w:tcW w:w="980" w:type="dxa"/>
            <w:vAlign w:val="bottom"/>
          </w:tcPr>
          <w:p>
            <w:pPr>
              <w:spacing w:after="0"/>
              <w:rPr>
                <w:sz w:val="18"/>
                <w:szCs w:val="18"/>
                <w:color w:val="auto"/>
              </w:rPr>
            </w:pPr>
          </w:p>
        </w:tc>
        <w:tc>
          <w:tcPr>
            <w:tcW w:w="620" w:type="dxa"/>
            <w:vAlign w:val="bottom"/>
          </w:tcPr>
          <w:p>
            <w:pPr>
              <w:jc w:val="right"/>
              <w:ind w:right="45"/>
              <w:spacing w:after="0"/>
              <w:rPr>
                <w:sz w:val="20"/>
                <w:szCs w:val="20"/>
                <w:color w:val="auto"/>
              </w:rPr>
            </w:pPr>
            <w:r>
              <w:rPr>
                <w:rFonts w:ascii="Arial" w:cs="Arial" w:eastAsia="Arial" w:hAnsi="Arial"/>
                <w:sz w:val="15"/>
                <w:szCs w:val="15"/>
                <w:color w:val="auto"/>
              </w:rPr>
              <w:t>58,425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15,548</w:t>
            </w:r>
          </w:p>
        </w:tc>
      </w:tr>
      <w:tr>
        <w:trPr>
          <w:trHeight w:val="31"/>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21,377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5,895</w:t>
            </w:r>
          </w:p>
        </w:tc>
      </w:tr>
      <w:tr>
        <w:trPr>
          <w:trHeight w:val="218"/>
        </w:trPr>
        <w:tc>
          <w:tcPr>
            <w:tcW w:w="8120" w:type="dxa"/>
            <w:vAlign w:val="bottom"/>
          </w:tcPr>
          <w:p>
            <w:pPr>
              <w:ind w:left="20"/>
              <w:spacing w:after="0"/>
              <w:rPr>
                <w:sz w:val="20"/>
                <w:szCs w:val="20"/>
                <w:color w:val="auto"/>
              </w:rPr>
            </w:pPr>
            <w:r>
              <w:rPr>
                <w:rFonts w:ascii="Arial" w:cs="Arial" w:eastAsia="Arial" w:hAnsi="Arial"/>
                <w:sz w:val="15"/>
                <w:szCs w:val="15"/>
                <w:color w:val="auto"/>
              </w:rPr>
              <w:t>Deferred taxes</w:t>
            </w:r>
          </w:p>
        </w:tc>
        <w:tc>
          <w:tcPr>
            <w:tcW w:w="980" w:type="dxa"/>
            <w:vAlign w:val="bottom"/>
          </w:tcPr>
          <w:p>
            <w:pPr>
              <w:spacing w:after="0"/>
              <w:rPr>
                <w:sz w:val="18"/>
                <w:szCs w:val="18"/>
                <w:color w:val="auto"/>
              </w:rPr>
            </w:pPr>
          </w:p>
        </w:tc>
        <w:tc>
          <w:tcPr>
            <w:tcW w:w="620" w:type="dxa"/>
            <w:vAlign w:val="bottom"/>
          </w:tcPr>
          <w:p>
            <w:pPr>
              <w:jc w:val="right"/>
              <w:ind w:right="45"/>
              <w:spacing w:after="0"/>
              <w:rPr>
                <w:sz w:val="20"/>
                <w:szCs w:val="20"/>
                <w:color w:val="auto"/>
              </w:rPr>
            </w:pPr>
            <w:r>
              <w:rPr>
                <w:rFonts w:ascii="Arial" w:cs="Arial" w:eastAsia="Arial" w:hAnsi="Arial"/>
                <w:sz w:val="15"/>
                <w:szCs w:val="15"/>
                <w:color w:val="auto"/>
              </w:rPr>
              <w:t>27,574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r>
      <w:tr>
        <w:trPr>
          <w:trHeight w:val="31"/>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long-term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6,276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7,688</w:t>
            </w:r>
          </w:p>
        </w:tc>
      </w:tr>
      <w:tr>
        <w:trPr>
          <w:trHeight w:val="198"/>
        </w:trPr>
        <w:tc>
          <w:tcPr>
            <w:tcW w:w="8120" w:type="dxa"/>
            <w:vAlign w:val="bottom"/>
          </w:tcPr>
          <w:p>
            <w:pPr>
              <w:ind w:left="640"/>
              <w:spacing w:after="0"/>
              <w:rPr>
                <w:sz w:val="20"/>
                <w:szCs w:val="20"/>
                <w:color w:val="auto"/>
              </w:rPr>
            </w:pPr>
            <w:r>
              <w:rPr>
                <w:rFonts w:ascii="Arial" w:cs="Arial" w:eastAsia="Arial" w:hAnsi="Arial"/>
                <w:sz w:val="15"/>
                <w:szCs w:val="15"/>
                <w:color w:val="auto"/>
              </w:rPr>
              <w:t>Total assets</w:t>
            </w:r>
          </w:p>
        </w:tc>
        <w:tc>
          <w:tcPr>
            <w:tcW w:w="980" w:type="dxa"/>
            <w:vAlign w:val="bottom"/>
            <w:tcBorders>
              <w:top w:val="single" w:sz="8" w:color="auto"/>
            </w:tcBorders>
          </w:tcPr>
          <w:p>
            <w:pPr>
              <w:jc w:val="right"/>
              <w:ind w:right="805"/>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88"/>
              </w:rPr>
              <w:t>260,102</w:t>
            </w:r>
          </w:p>
        </w:tc>
        <w:tc>
          <w:tcPr>
            <w:tcW w:w="100" w:type="dxa"/>
            <w:vAlign w:val="bottom"/>
          </w:tcPr>
          <w:p>
            <w:pPr>
              <w:spacing w:after="0"/>
              <w:rPr>
                <w:sz w:val="17"/>
                <w:szCs w:val="17"/>
                <w:color w:val="auto"/>
              </w:rPr>
            </w:pPr>
          </w:p>
        </w:tc>
        <w:tc>
          <w:tcPr>
            <w:tcW w:w="520" w:type="dxa"/>
            <w:vAlign w:val="bottom"/>
            <w:tcBorders>
              <w:top w:val="single" w:sz="8" w:color="auto"/>
            </w:tcBorders>
          </w:tcPr>
          <w:p>
            <w:pPr>
              <w:jc w:val="right"/>
              <w:ind w:right="345"/>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175,741</w:t>
            </w:r>
          </w:p>
        </w:tc>
      </w:tr>
      <w:tr>
        <w:trPr>
          <w:trHeight w:val="31"/>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49795" cy="173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9795" cy="173990"/>
                    </a:xfrm>
                    <a:prstGeom prst="rect">
                      <a:avLst/>
                    </a:prstGeom>
                    <a:noFill/>
                  </pic:spPr>
                </pic:pic>
              </a:graphicData>
            </a:graphic>
          </wp:anchor>
        </w:drawing>
      </w:r>
    </w:p>
    <w:p>
      <w:pPr>
        <w:sectPr>
          <w:pgSz w:w="11900" w:h="16838" w:orient="portrait"/>
          <w:cols w:equalWidth="0" w:num="1">
            <w:col w:w="11420"/>
          </w:cols>
          <w:pgMar w:left="240" w:top="1031" w:right="239" w:bottom="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Liabilities and Stockholders’ Equity</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5"/>
          <w:szCs w:val="15"/>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9795" cy="158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9795" cy="158115"/>
                    </a:xfrm>
                    <a:prstGeom prst="rect">
                      <a:avLst/>
                    </a:prstGeom>
                    <a:noFill/>
                  </pic:spPr>
                </pic:pic>
              </a:graphicData>
            </a:graphic>
          </wp:anchor>
        </w:drawing>
      </w:r>
    </w:p>
    <w:p>
      <w:pPr>
        <w:spacing w:after="0" w:line="56" w:lineRule="exact"/>
        <w:rPr>
          <w:sz w:val="20"/>
          <w:szCs w:val="20"/>
          <w:color w:val="auto"/>
        </w:rPr>
      </w:pPr>
    </w:p>
    <w:p>
      <w:pPr>
        <w:ind w:left="340"/>
        <w:spacing w:after="0"/>
        <w:tabs>
          <w:tab w:leader="none" w:pos="8120" w:val="left"/>
        </w:tabs>
        <w:rPr>
          <w:sz w:val="20"/>
          <w:szCs w:val="20"/>
          <w:color w:val="auto"/>
        </w:rPr>
      </w:pPr>
      <w:r>
        <w:rPr>
          <w:rFonts w:ascii="Arial" w:cs="Arial" w:eastAsia="Arial" w:hAnsi="Arial"/>
          <w:sz w:val="15"/>
          <w:szCs w:val="15"/>
          <w:color w:val="auto"/>
        </w:rPr>
        <w:t>Accounts payable</w:t>
      </w:r>
      <w:r>
        <w:rPr>
          <w:sz w:val="20"/>
          <w:szCs w:val="20"/>
          <w:color w:val="auto"/>
        </w:rPr>
        <w:tab/>
      </w:r>
      <w:r>
        <w:rPr>
          <w:rFonts w:ascii="Arial" w:cs="Arial" w:eastAsia="Arial" w:hAnsi="Arial"/>
          <w:sz w:val="14"/>
          <w:szCs w:val="14"/>
          <w:color w:val="auto"/>
        </w:rPr>
        <w: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Accrued employee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9795" cy="158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9795" cy="158115"/>
                    </a:xfrm>
                    <a:prstGeom prst="rect">
                      <a:avLst/>
                    </a:prstGeom>
                    <a:noFill/>
                  </pic:spPr>
                </pic:pic>
              </a:graphicData>
            </a:graphic>
          </wp:anchor>
        </w:drawing>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Accrued expenses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9795" cy="158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9795" cy="158115"/>
                    </a:xfrm>
                    <a:prstGeom prst="rect">
                      <a:avLst/>
                    </a:prstGeom>
                    <a:noFill/>
                  </pic:spPr>
                </pic:pic>
              </a:graphicData>
            </a:graphic>
          </wp:anchor>
        </w:drawing>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Other current liabilities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Long-term debt, net—current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9795" cy="158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795" cy="158115"/>
                    </a:xfrm>
                    <a:prstGeom prst="rect">
                      <a:avLst/>
                    </a:prstGeom>
                    <a:noFill/>
                  </pic:spPr>
                </pic:pic>
              </a:graphicData>
            </a:graphic>
          </wp:anchor>
        </w:drawing>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Total current liabilities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9795" cy="158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9795" cy="15811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5"/>
          <w:szCs w:val="15"/>
          <w:color w:val="auto"/>
        </w:rPr>
        <w:t>Long-term debt, net</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9795" cy="158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9795" cy="158115"/>
                    </a:xfrm>
                    <a:prstGeom prst="rect">
                      <a:avLst/>
                    </a:prstGeom>
                    <a:noFill/>
                  </pic:spPr>
                </pic:pic>
              </a:graphicData>
            </a:graphic>
          </wp:anchor>
        </w:drawing>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Total liabilities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Commitments and contingencies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9795" cy="158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795" cy="15811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5"/>
          <w:szCs w:val="15"/>
          <w:color w:val="auto"/>
        </w:rPr>
        <w:t>Stockholders’ equity:</w:t>
      </w:r>
    </w:p>
    <w:p>
      <w:pPr>
        <w:spacing w:after="0" w:line="76" w:lineRule="exact"/>
        <w:rPr>
          <w:sz w:val="20"/>
          <w:szCs w:val="20"/>
          <w:color w:val="auto"/>
        </w:rPr>
      </w:pPr>
    </w:p>
    <w:p>
      <w:pPr>
        <w:ind w:left="20" w:right="440"/>
        <w:spacing w:after="0" w:line="282" w:lineRule="auto"/>
        <w:rPr>
          <w:sz w:val="20"/>
          <w:szCs w:val="20"/>
          <w:color w:val="auto"/>
        </w:rPr>
      </w:pPr>
      <w:r>
        <w:rPr>
          <w:rFonts w:ascii="Arial" w:cs="Arial" w:eastAsia="Arial" w:hAnsi="Arial"/>
          <w:sz w:val="15"/>
          <w:szCs w:val="15"/>
          <w:color w:val="auto"/>
        </w:rPr>
        <w:t>Preferred stock, $0.0001 par value, 25,000 authorized and no shares issued and outstanding at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49795" cy="386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9795" cy="386715"/>
                    </a:xfrm>
                    <a:prstGeom prst="rect">
                      <a:avLst/>
                    </a:prstGeom>
                    <a:noFill/>
                  </pic:spPr>
                </pic:pic>
              </a:graphicData>
            </a:graphic>
          </wp:anchor>
        </w:drawing>
      </w:r>
    </w:p>
    <w:p>
      <w:pPr>
        <w:ind w:left="20" w:right="640"/>
        <w:spacing w:after="0" w:line="271" w:lineRule="auto"/>
        <w:rPr>
          <w:sz w:val="20"/>
          <w:szCs w:val="20"/>
          <w:color w:val="auto"/>
        </w:rPr>
      </w:pPr>
      <w:r>
        <w:rPr>
          <w:rFonts w:ascii="Arial" w:cs="Arial" w:eastAsia="Arial" w:hAnsi="Arial"/>
          <w:sz w:val="15"/>
          <w:szCs w:val="15"/>
          <w:color w:val="auto"/>
          <w:shd w:val="clear" w:color="auto" w:fill="CCEEFF"/>
        </w:rPr>
        <w:t>Class A common stock, $0.0001 par value, 250,000 shares authorized at December 31, 2019 and December 31, 2018; issued - 16,923 and 16,160, shares at December 31, 2019 and December 31, 2018, respectively; outstanding - 16,552 and 15,789 shares at December 31, 2019 and December 31, 2018, respectively;</w:t>
      </w:r>
    </w:p>
    <w:p>
      <w:pPr>
        <w:spacing w:after="0" w:line="25" w:lineRule="exact"/>
        <w:rPr>
          <w:sz w:val="20"/>
          <w:szCs w:val="20"/>
          <w:color w:val="auto"/>
        </w:rPr>
      </w:pPr>
    </w:p>
    <w:p>
      <w:pPr>
        <w:ind w:left="20" w:right="740"/>
        <w:spacing w:after="0" w:line="315" w:lineRule="auto"/>
        <w:rPr>
          <w:sz w:val="20"/>
          <w:szCs w:val="20"/>
          <w:color w:val="auto"/>
        </w:rPr>
      </w:pPr>
      <w:r>
        <w:rPr>
          <w:rFonts w:ascii="Arial" w:cs="Arial" w:eastAsia="Arial" w:hAnsi="Arial"/>
          <w:sz w:val="14"/>
          <w:szCs w:val="14"/>
          <w:color w:val="auto"/>
        </w:rPr>
        <w:t>Class B common stock, $0.0001 par value, 50,000 shares authorized at December 31, 2019 and December 31, 2018; 17,594 and 18,109 shares issued and outstanding at December 31, 2019 and December 31,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49795" cy="158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9795" cy="1581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Additional paid-in capital</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9795" cy="158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9795" cy="15811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5"/>
          <w:szCs w:val="15"/>
          <w:color w:val="auto"/>
        </w:rPr>
        <w:t>Treasury stock, at cost, 371 Class A shares at December 31, 2019 and December 31, 2018</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jc w:val="right"/>
              <w:ind w:right="145"/>
              <w:spacing w:after="0"/>
              <w:rPr>
                <w:sz w:val="20"/>
                <w:szCs w:val="20"/>
                <w:color w:val="auto"/>
              </w:rPr>
            </w:pPr>
            <w:r>
              <w:rPr>
                <w:rFonts w:ascii="Arial" w:cs="Arial" w:eastAsia="Arial" w:hAnsi="Arial"/>
                <w:sz w:val="15"/>
                <w:szCs w:val="15"/>
                <w:color w:val="auto"/>
              </w:rPr>
              <w:t>1,927</w:t>
            </w:r>
          </w:p>
        </w:tc>
        <w:tc>
          <w:tcPr>
            <w:tcW w:w="560" w:type="dxa"/>
            <w:vAlign w:val="bottom"/>
          </w:tcPr>
          <w:p>
            <w:pPr>
              <w:jc w:val="right"/>
              <w:ind w:right="385"/>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1,481</w:t>
            </w:r>
          </w:p>
        </w:tc>
      </w:tr>
      <w:tr>
        <w:trPr>
          <w:trHeight w:val="249"/>
        </w:trPr>
        <w:tc>
          <w:tcPr>
            <w:tcW w:w="700" w:type="dxa"/>
            <w:vAlign w:val="bottom"/>
          </w:tcPr>
          <w:p>
            <w:pPr>
              <w:jc w:val="right"/>
              <w:ind w:right="145"/>
              <w:spacing w:after="0"/>
              <w:rPr>
                <w:sz w:val="20"/>
                <w:szCs w:val="20"/>
                <w:color w:val="auto"/>
              </w:rPr>
            </w:pPr>
            <w:r>
              <w:rPr>
                <w:rFonts w:ascii="Arial" w:cs="Arial" w:eastAsia="Arial" w:hAnsi="Arial"/>
                <w:sz w:val="15"/>
                <w:szCs w:val="15"/>
                <w:color w:val="auto"/>
              </w:rPr>
              <w:t>17,758</w:t>
            </w:r>
          </w:p>
        </w:tc>
        <w:tc>
          <w:tcPr>
            <w:tcW w:w="560" w:type="dxa"/>
            <w:vAlign w:val="bottom"/>
          </w:tcPr>
          <w:p>
            <w:pPr>
              <w:spacing w:after="0"/>
              <w:rPr>
                <w:sz w:val="21"/>
                <w:szCs w:val="21"/>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12,377</w:t>
            </w:r>
          </w:p>
        </w:tc>
      </w:tr>
      <w:tr>
        <w:trPr>
          <w:trHeight w:val="249"/>
        </w:trPr>
        <w:tc>
          <w:tcPr>
            <w:tcW w:w="700" w:type="dxa"/>
            <w:vAlign w:val="bottom"/>
          </w:tcPr>
          <w:p>
            <w:pPr>
              <w:jc w:val="right"/>
              <w:ind w:right="145"/>
              <w:spacing w:after="0"/>
              <w:rPr>
                <w:sz w:val="20"/>
                <w:szCs w:val="20"/>
                <w:color w:val="auto"/>
              </w:rPr>
            </w:pPr>
            <w:r>
              <w:rPr>
                <w:rFonts w:ascii="Arial" w:cs="Arial" w:eastAsia="Arial" w:hAnsi="Arial"/>
                <w:sz w:val="15"/>
                <w:szCs w:val="15"/>
                <w:color w:val="auto"/>
              </w:rPr>
              <w:t>10,833</w:t>
            </w:r>
          </w:p>
        </w:tc>
        <w:tc>
          <w:tcPr>
            <w:tcW w:w="560" w:type="dxa"/>
            <w:vAlign w:val="bottom"/>
          </w:tcPr>
          <w:p>
            <w:pPr>
              <w:spacing w:after="0"/>
              <w:rPr>
                <w:sz w:val="21"/>
                <w:szCs w:val="21"/>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8,281</w:t>
            </w:r>
          </w:p>
        </w:tc>
      </w:tr>
      <w:tr>
        <w:trPr>
          <w:trHeight w:val="249"/>
        </w:trPr>
        <w:tc>
          <w:tcPr>
            <w:tcW w:w="700" w:type="dxa"/>
            <w:vAlign w:val="bottom"/>
          </w:tcPr>
          <w:p>
            <w:pPr>
              <w:jc w:val="right"/>
              <w:ind w:right="145"/>
              <w:spacing w:after="0"/>
              <w:rPr>
                <w:sz w:val="20"/>
                <w:szCs w:val="20"/>
                <w:color w:val="auto"/>
              </w:rPr>
            </w:pPr>
            <w:r>
              <w:rPr>
                <w:rFonts w:ascii="Arial" w:cs="Arial" w:eastAsia="Arial" w:hAnsi="Arial"/>
                <w:sz w:val="15"/>
                <w:szCs w:val="15"/>
                <w:color w:val="auto"/>
              </w:rPr>
              <w:t>4,586</w:t>
            </w:r>
          </w:p>
        </w:tc>
        <w:tc>
          <w:tcPr>
            <w:tcW w:w="560" w:type="dxa"/>
            <w:vAlign w:val="bottom"/>
          </w:tcPr>
          <w:p>
            <w:pPr>
              <w:spacing w:after="0"/>
              <w:rPr>
                <w:sz w:val="21"/>
                <w:szCs w:val="21"/>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3,414</w:t>
            </w:r>
          </w:p>
        </w:tc>
      </w:tr>
      <w:tr>
        <w:trPr>
          <w:trHeight w:val="249"/>
        </w:trPr>
        <w:tc>
          <w:tcPr>
            <w:tcW w:w="700" w:type="dxa"/>
            <w:vAlign w:val="bottom"/>
          </w:tcPr>
          <w:p>
            <w:pPr>
              <w:jc w:val="right"/>
              <w:ind w:right="145"/>
              <w:spacing w:after="0"/>
              <w:rPr>
                <w:sz w:val="20"/>
                <w:szCs w:val="20"/>
                <w:color w:val="auto"/>
              </w:rPr>
            </w:pPr>
            <w:r>
              <w:rPr>
                <w:rFonts w:ascii="Arial" w:cs="Arial" w:eastAsia="Arial" w:hAnsi="Arial"/>
                <w:sz w:val="15"/>
                <w:szCs w:val="15"/>
                <w:color w:val="auto"/>
              </w:rPr>
              <w:t>11,139</w:t>
            </w:r>
          </w:p>
        </w:tc>
        <w:tc>
          <w:tcPr>
            <w:tcW w:w="560" w:type="dxa"/>
            <w:vAlign w:val="bottom"/>
          </w:tcPr>
          <w:p>
            <w:pPr>
              <w:spacing w:after="0"/>
              <w:rPr>
                <w:sz w:val="21"/>
                <w:szCs w:val="21"/>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1,447</w:t>
            </w:r>
          </w:p>
        </w:tc>
      </w:tr>
      <w:tr>
        <w:trPr>
          <w:trHeight w:val="249"/>
        </w:trPr>
        <w:tc>
          <w:tcPr>
            <w:tcW w:w="700" w:type="dxa"/>
            <w:vAlign w:val="bottom"/>
          </w:tcPr>
          <w:p>
            <w:pPr>
              <w:jc w:val="right"/>
              <w:ind w:right="145"/>
              <w:spacing w:after="0"/>
              <w:rPr>
                <w:sz w:val="20"/>
                <w:szCs w:val="20"/>
                <w:color w:val="auto"/>
              </w:rPr>
            </w:pPr>
            <w:r>
              <w:rPr>
                <w:rFonts w:ascii="Arial" w:cs="Arial" w:eastAsia="Arial" w:hAnsi="Arial"/>
                <w:sz w:val="15"/>
                <w:szCs w:val="15"/>
                <w:color w:val="auto"/>
              </w:rPr>
              <w:t>1,208</w:t>
            </w:r>
          </w:p>
        </w:tc>
        <w:tc>
          <w:tcPr>
            <w:tcW w:w="560" w:type="dxa"/>
            <w:vAlign w:val="bottom"/>
          </w:tcPr>
          <w:p>
            <w:pPr>
              <w:spacing w:after="0"/>
              <w:rPr>
                <w:sz w:val="21"/>
                <w:szCs w:val="21"/>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1,213</w:t>
            </w:r>
          </w:p>
        </w:tc>
      </w:tr>
      <w:tr>
        <w:trPr>
          <w:trHeight w:val="31"/>
        </w:trPr>
        <w:tc>
          <w:tcPr>
            <w:tcW w:w="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8"/>
        </w:trPr>
        <w:tc>
          <w:tcPr>
            <w:tcW w:w="700" w:type="dxa"/>
            <w:vAlign w:val="bottom"/>
          </w:tcPr>
          <w:p>
            <w:pPr>
              <w:jc w:val="right"/>
              <w:ind w:right="145"/>
              <w:spacing w:after="0"/>
              <w:rPr>
                <w:sz w:val="20"/>
                <w:szCs w:val="20"/>
                <w:color w:val="auto"/>
              </w:rPr>
            </w:pPr>
            <w:r>
              <w:rPr>
                <w:rFonts w:ascii="Arial" w:cs="Arial" w:eastAsia="Arial" w:hAnsi="Arial"/>
                <w:sz w:val="15"/>
                <w:szCs w:val="15"/>
                <w:color w:val="auto"/>
              </w:rPr>
              <w:t>47,451</w:t>
            </w:r>
          </w:p>
        </w:tc>
        <w:tc>
          <w:tcPr>
            <w:tcW w:w="560" w:type="dxa"/>
            <w:vAlign w:val="bottom"/>
          </w:tcPr>
          <w:p>
            <w:pPr>
              <w:spacing w:after="0"/>
              <w:rPr>
                <w:sz w:val="17"/>
                <w:szCs w:val="17"/>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28,213</w:t>
            </w:r>
          </w:p>
        </w:tc>
      </w:tr>
      <w:tr>
        <w:trPr>
          <w:trHeight w:val="249"/>
        </w:trPr>
        <w:tc>
          <w:tcPr>
            <w:tcW w:w="700" w:type="dxa"/>
            <w:vAlign w:val="bottom"/>
          </w:tcPr>
          <w:p>
            <w:pPr>
              <w:jc w:val="right"/>
              <w:ind w:right="145"/>
              <w:spacing w:after="0"/>
              <w:rPr>
                <w:sz w:val="20"/>
                <w:szCs w:val="20"/>
                <w:color w:val="auto"/>
              </w:rPr>
            </w:pPr>
            <w:r>
              <w:rPr>
                <w:rFonts w:ascii="Arial" w:cs="Arial" w:eastAsia="Arial" w:hAnsi="Arial"/>
                <w:sz w:val="15"/>
                <w:szCs w:val="15"/>
                <w:color w:val="auto"/>
              </w:rPr>
              <w:t>33,312</w:t>
            </w:r>
          </w:p>
        </w:tc>
        <w:tc>
          <w:tcPr>
            <w:tcW w:w="560" w:type="dxa"/>
            <w:vAlign w:val="bottom"/>
          </w:tcPr>
          <w:p>
            <w:pPr>
              <w:spacing w:after="0"/>
              <w:rPr>
                <w:sz w:val="21"/>
                <w:szCs w:val="21"/>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w:t>
            </w:r>
          </w:p>
        </w:tc>
      </w:tr>
      <w:tr>
        <w:trPr>
          <w:trHeight w:val="249"/>
        </w:trPr>
        <w:tc>
          <w:tcPr>
            <w:tcW w:w="700" w:type="dxa"/>
            <w:vAlign w:val="bottom"/>
          </w:tcPr>
          <w:p>
            <w:pPr>
              <w:jc w:val="right"/>
              <w:ind w:right="145"/>
              <w:spacing w:after="0"/>
              <w:rPr>
                <w:sz w:val="20"/>
                <w:szCs w:val="20"/>
                <w:color w:val="auto"/>
              </w:rPr>
            </w:pPr>
            <w:r>
              <w:rPr>
                <w:rFonts w:ascii="Arial" w:cs="Arial" w:eastAsia="Arial" w:hAnsi="Arial"/>
                <w:sz w:val="15"/>
                <w:szCs w:val="15"/>
                <w:color w:val="auto"/>
              </w:rPr>
              <w:t>47,375</w:t>
            </w:r>
          </w:p>
        </w:tc>
        <w:tc>
          <w:tcPr>
            <w:tcW w:w="560" w:type="dxa"/>
            <w:vAlign w:val="bottom"/>
          </w:tcPr>
          <w:p>
            <w:pPr>
              <w:spacing w:after="0"/>
              <w:rPr>
                <w:sz w:val="21"/>
                <w:szCs w:val="21"/>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48,602</w:t>
            </w:r>
          </w:p>
        </w:tc>
      </w:tr>
      <w:tr>
        <w:trPr>
          <w:trHeight w:val="249"/>
        </w:trPr>
        <w:tc>
          <w:tcPr>
            <w:tcW w:w="700" w:type="dxa"/>
            <w:vAlign w:val="bottom"/>
          </w:tcPr>
          <w:p>
            <w:pPr>
              <w:jc w:val="right"/>
              <w:ind w:right="145"/>
              <w:spacing w:after="0"/>
              <w:rPr>
                <w:sz w:val="20"/>
                <w:szCs w:val="20"/>
                <w:color w:val="auto"/>
              </w:rPr>
            </w:pPr>
            <w:r>
              <w:rPr>
                <w:rFonts w:ascii="Arial" w:cs="Arial" w:eastAsia="Arial" w:hAnsi="Arial"/>
                <w:sz w:val="15"/>
                <w:szCs w:val="15"/>
                <w:color w:val="auto"/>
              </w:rPr>
              <w:t>14</w:t>
            </w:r>
          </w:p>
        </w:tc>
        <w:tc>
          <w:tcPr>
            <w:tcW w:w="560" w:type="dxa"/>
            <w:vAlign w:val="bottom"/>
          </w:tcPr>
          <w:p>
            <w:pPr>
              <w:spacing w:after="0"/>
              <w:rPr>
                <w:sz w:val="21"/>
                <w:szCs w:val="21"/>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7,080</w:t>
            </w:r>
          </w:p>
        </w:tc>
      </w:tr>
      <w:tr>
        <w:trPr>
          <w:trHeight w:val="31"/>
        </w:trPr>
        <w:tc>
          <w:tcPr>
            <w:tcW w:w="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8"/>
        </w:trPr>
        <w:tc>
          <w:tcPr>
            <w:tcW w:w="700" w:type="dxa"/>
            <w:vAlign w:val="bottom"/>
          </w:tcPr>
          <w:p>
            <w:pPr>
              <w:jc w:val="right"/>
              <w:ind w:right="145"/>
              <w:spacing w:after="0"/>
              <w:rPr>
                <w:sz w:val="20"/>
                <w:szCs w:val="20"/>
                <w:color w:val="auto"/>
              </w:rPr>
            </w:pPr>
            <w:r>
              <w:rPr>
                <w:rFonts w:ascii="Arial" w:cs="Arial" w:eastAsia="Arial" w:hAnsi="Arial"/>
                <w:sz w:val="15"/>
                <w:szCs w:val="15"/>
                <w:color w:val="auto"/>
                <w:w w:val="84"/>
              </w:rPr>
              <w:t>128,152</w:t>
            </w:r>
          </w:p>
        </w:tc>
        <w:tc>
          <w:tcPr>
            <w:tcW w:w="560" w:type="dxa"/>
            <w:vAlign w:val="bottom"/>
          </w:tcPr>
          <w:p>
            <w:pPr>
              <w:spacing w:after="0"/>
              <w:rPr>
                <w:sz w:val="17"/>
                <w:szCs w:val="17"/>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83,895</w:t>
            </w:r>
          </w:p>
        </w:tc>
      </w:tr>
      <w:tr>
        <w:trPr>
          <w:trHeight w:val="31"/>
        </w:trPr>
        <w:tc>
          <w:tcPr>
            <w:tcW w:w="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870"/>
        </w:trPr>
        <w:tc>
          <w:tcPr>
            <w:tcW w:w="7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24"/>
                <w:szCs w:val="24"/>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w:t>
            </w:r>
          </w:p>
        </w:tc>
      </w:tr>
      <w:tr>
        <w:trPr>
          <w:trHeight w:val="609"/>
        </w:trPr>
        <w:tc>
          <w:tcPr>
            <w:tcW w:w="700" w:type="dxa"/>
            <w:vAlign w:val="bottom"/>
          </w:tcPr>
          <w:p>
            <w:pPr>
              <w:jc w:val="right"/>
              <w:ind w:right="145"/>
              <w:spacing w:after="0"/>
              <w:rPr>
                <w:sz w:val="20"/>
                <w:szCs w:val="20"/>
                <w:color w:val="auto"/>
              </w:rPr>
            </w:pPr>
            <w:r>
              <w:rPr>
                <w:rFonts w:ascii="Arial" w:cs="Arial" w:eastAsia="Arial" w:hAnsi="Arial"/>
                <w:sz w:val="15"/>
                <w:szCs w:val="15"/>
                <w:color w:val="auto"/>
              </w:rPr>
              <w:t>2</w:t>
            </w:r>
          </w:p>
        </w:tc>
        <w:tc>
          <w:tcPr>
            <w:tcW w:w="560" w:type="dxa"/>
            <w:vAlign w:val="bottom"/>
          </w:tcPr>
          <w:p>
            <w:pPr>
              <w:spacing w:after="0"/>
              <w:rPr>
                <w:sz w:val="24"/>
                <w:szCs w:val="24"/>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2</w:t>
            </w:r>
          </w:p>
        </w:tc>
      </w:tr>
      <w:tr>
        <w:trPr>
          <w:trHeight w:val="423"/>
        </w:trPr>
        <w:tc>
          <w:tcPr>
            <w:tcW w:w="700" w:type="dxa"/>
            <w:vAlign w:val="bottom"/>
          </w:tcPr>
          <w:p>
            <w:pPr>
              <w:jc w:val="right"/>
              <w:ind w:right="145"/>
              <w:spacing w:after="0"/>
              <w:rPr>
                <w:sz w:val="20"/>
                <w:szCs w:val="20"/>
                <w:color w:val="auto"/>
              </w:rPr>
            </w:pPr>
            <w:r>
              <w:rPr>
                <w:rFonts w:ascii="Arial" w:cs="Arial" w:eastAsia="Arial" w:hAnsi="Arial"/>
                <w:sz w:val="15"/>
                <w:szCs w:val="15"/>
                <w:color w:val="auto"/>
              </w:rPr>
              <w:t>2</w:t>
            </w:r>
          </w:p>
        </w:tc>
        <w:tc>
          <w:tcPr>
            <w:tcW w:w="560" w:type="dxa"/>
            <w:vAlign w:val="bottom"/>
          </w:tcPr>
          <w:p>
            <w:pPr>
              <w:spacing w:after="0"/>
              <w:rPr>
                <w:sz w:val="24"/>
                <w:szCs w:val="24"/>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2</w:t>
            </w:r>
          </w:p>
        </w:tc>
      </w:tr>
      <w:tr>
        <w:trPr>
          <w:trHeight w:val="249"/>
        </w:trPr>
        <w:tc>
          <w:tcPr>
            <w:tcW w:w="700" w:type="dxa"/>
            <w:vAlign w:val="bottom"/>
          </w:tcPr>
          <w:p>
            <w:pPr>
              <w:jc w:val="right"/>
              <w:ind w:right="145"/>
              <w:spacing w:after="0"/>
              <w:rPr>
                <w:sz w:val="20"/>
                <w:szCs w:val="20"/>
                <w:color w:val="auto"/>
              </w:rPr>
            </w:pPr>
            <w:r>
              <w:rPr>
                <w:rFonts w:ascii="Arial" w:cs="Arial" w:eastAsia="Arial" w:hAnsi="Arial"/>
                <w:sz w:val="15"/>
                <w:szCs w:val="15"/>
                <w:color w:val="auto"/>
                <w:w w:val="84"/>
              </w:rPr>
              <w:t>161,509</w:t>
            </w:r>
          </w:p>
        </w:tc>
        <w:tc>
          <w:tcPr>
            <w:tcW w:w="560" w:type="dxa"/>
            <w:vAlign w:val="bottom"/>
          </w:tcPr>
          <w:p>
            <w:pPr>
              <w:spacing w:after="0"/>
              <w:rPr>
                <w:sz w:val="21"/>
                <w:szCs w:val="21"/>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157,898</w:t>
            </w:r>
          </w:p>
        </w:tc>
      </w:tr>
      <w:tr>
        <w:trPr>
          <w:trHeight w:val="249"/>
        </w:trPr>
        <w:tc>
          <w:tcPr>
            <w:tcW w:w="700" w:type="dxa"/>
            <w:vAlign w:val="bottom"/>
          </w:tcPr>
          <w:p>
            <w:pPr>
              <w:jc w:val="right"/>
              <w:ind w:right="145"/>
              <w:spacing w:after="0"/>
              <w:rPr>
                <w:sz w:val="20"/>
                <w:szCs w:val="20"/>
                <w:color w:val="auto"/>
              </w:rPr>
            </w:pPr>
            <w:r>
              <w:rPr>
                <w:rFonts w:ascii="Arial" w:cs="Arial" w:eastAsia="Arial" w:hAnsi="Arial"/>
                <w:sz w:val="15"/>
                <w:szCs w:val="15"/>
                <w:color w:val="auto"/>
              </w:rPr>
              <w:t>33</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(178)</w:t>
            </w:r>
          </w:p>
        </w:tc>
      </w:tr>
      <w:tr>
        <w:trPr>
          <w:trHeight w:val="249"/>
        </w:trPr>
        <w:tc>
          <w:tcPr>
            <w:tcW w:w="700" w:type="dxa"/>
            <w:vAlign w:val="bottom"/>
          </w:tcPr>
          <w:p>
            <w:pPr>
              <w:jc w:val="right"/>
              <w:ind w:right="85"/>
              <w:spacing w:after="0"/>
              <w:rPr>
                <w:sz w:val="20"/>
                <w:szCs w:val="20"/>
                <w:color w:val="auto"/>
              </w:rPr>
            </w:pPr>
            <w:r>
              <w:rPr>
                <w:rFonts w:ascii="Arial" w:cs="Arial" w:eastAsia="Arial" w:hAnsi="Arial"/>
                <w:sz w:val="15"/>
                <w:szCs w:val="15"/>
                <w:color w:val="auto"/>
                <w:w w:val="93"/>
              </w:rPr>
              <w:t>(21,562)</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(21,562)</w:t>
            </w:r>
          </w:p>
        </w:tc>
      </w:tr>
      <w:tr>
        <w:trPr>
          <w:trHeight w:val="249"/>
        </w:trPr>
        <w:tc>
          <w:tcPr>
            <w:tcW w:w="700" w:type="dxa"/>
            <w:vAlign w:val="bottom"/>
          </w:tcPr>
          <w:p>
            <w:pPr>
              <w:jc w:val="right"/>
              <w:ind w:right="85"/>
              <w:spacing w:after="0"/>
              <w:rPr>
                <w:sz w:val="20"/>
                <w:szCs w:val="20"/>
                <w:color w:val="auto"/>
              </w:rPr>
            </w:pPr>
            <w:r>
              <w:rPr>
                <w:rFonts w:ascii="Arial" w:cs="Arial" w:eastAsia="Arial" w:hAnsi="Arial"/>
                <w:sz w:val="15"/>
                <w:szCs w:val="15"/>
                <w:color w:val="auto"/>
              </w:rPr>
              <w:t>(8,034)</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(44,316)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-1851660</wp:posOffset>
            </wp:positionV>
            <wp:extent cx="101092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10920" cy="762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8400" w:space="720"/>
            <w:col w:w="2300"/>
          </w:cols>
          <w:pgMar w:left="240" w:top="1031" w:right="239" w:bottom="0"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812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Total stockholders’ equity</w:t>
            </w: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131,950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91,846</w:t>
            </w:r>
          </w:p>
        </w:tc>
      </w:tr>
      <w:tr>
        <w:trPr>
          <w:trHeight w:val="198"/>
        </w:trPr>
        <w:tc>
          <w:tcPr>
            <w:tcW w:w="8120" w:type="dxa"/>
            <w:vAlign w:val="bottom"/>
          </w:tcPr>
          <w:p>
            <w:pPr>
              <w:ind w:left="640"/>
              <w:spacing w:after="0"/>
              <w:rPr>
                <w:sz w:val="20"/>
                <w:szCs w:val="20"/>
                <w:color w:val="auto"/>
              </w:rPr>
            </w:pPr>
            <w:r>
              <w:rPr>
                <w:rFonts w:ascii="Arial" w:cs="Arial" w:eastAsia="Arial" w:hAnsi="Arial"/>
                <w:sz w:val="15"/>
                <w:szCs w:val="15"/>
                <w:color w:val="auto"/>
              </w:rPr>
              <w:t>Total liabilities and stockholders’ equity</w:t>
            </w:r>
          </w:p>
        </w:tc>
        <w:tc>
          <w:tcPr>
            <w:tcW w:w="540" w:type="dxa"/>
            <w:vAlign w:val="bottom"/>
            <w:tcBorders>
              <w:top w:val="single" w:sz="8" w:color="auto"/>
            </w:tcBorders>
          </w:tcPr>
          <w:p>
            <w:pPr>
              <w:jc w:val="right"/>
              <w:ind w:right="365"/>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260,102</w:t>
            </w:r>
          </w:p>
        </w:tc>
        <w:tc>
          <w:tcPr>
            <w:tcW w:w="100" w:type="dxa"/>
            <w:vAlign w:val="bottom"/>
          </w:tcPr>
          <w:p>
            <w:pPr>
              <w:spacing w:after="0"/>
              <w:rPr>
                <w:sz w:val="17"/>
                <w:szCs w:val="17"/>
                <w:color w:val="auto"/>
              </w:rPr>
            </w:pPr>
          </w:p>
        </w:tc>
        <w:tc>
          <w:tcPr>
            <w:tcW w:w="560" w:type="dxa"/>
            <w:vAlign w:val="bottom"/>
            <w:tcBorders>
              <w:top w:val="single" w:sz="8" w:color="auto"/>
            </w:tcBorders>
          </w:tcPr>
          <w:p>
            <w:pPr>
              <w:jc w:val="right"/>
              <w:ind w:right="385"/>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175,741</w:t>
            </w:r>
          </w:p>
        </w:tc>
      </w:tr>
      <w:tr>
        <w:trPr>
          <w:trHeight w:val="31"/>
        </w:trPr>
        <w:tc>
          <w:tcPr>
            <w:tcW w:w="8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the Consolidated Financial Statements are an integral part of these statements.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APPFOLIO,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7"/>
              </w:rPr>
              <w:t>Year Ended December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41"/>
        </w:trPr>
        <w:tc>
          <w:tcPr>
            <w:tcW w:w="67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2017</w:t>
            </w:r>
          </w:p>
        </w:tc>
      </w:tr>
      <w:tr>
        <w:trPr>
          <w:trHeight w:val="226"/>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256,012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190,071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143,803</w:t>
            </w:r>
          </w:p>
        </w:tc>
      </w:tr>
      <w:tr>
        <w:trPr>
          <w:trHeight w:val="224"/>
        </w:trPr>
        <w:tc>
          <w:tcPr>
            <w:tcW w:w="6760" w:type="dxa"/>
            <w:vAlign w:val="bottom"/>
          </w:tcPr>
          <w:p>
            <w:pPr>
              <w:ind w:left="20"/>
              <w:spacing w:after="0"/>
              <w:rPr>
                <w:sz w:val="20"/>
                <w:szCs w:val="20"/>
                <w:color w:val="auto"/>
              </w:rPr>
            </w:pPr>
            <w:r>
              <w:rPr>
                <w:rFonts w:ascii="Arial" w:cs="Arial" w:eastAsia="Arial" w:hAnsi="Arial"/>
                <w:sz w:val="17"/>
                <w:szCs w:val="17"/>
                <w:color w:val="auto"/>
              </w:rPr>
              <w:t>Costs and operating expenses: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Cost of revenue (exclusive of depreciation and amortization)</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101,642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73,549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55,283</w:t>
            </w:r>
          </w:p>
        </w:tc>
      </w:tr>
      <w:tr>
        <w:trPr>
          <w:trHeight w:val="224"/>
        </w:trPr>
        <w:tc>
          <w:tcPr>
            <w:tcW w:w="676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3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51,528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7"/>
                <w:szCs w:val="17"/>
                <w:color w:val="auto"/>
              </w:rPr>
              <w:t>33,288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28,709</w:t>
            </w:r>
          </w:p>
        </w:tc>
      </w:tr>
      <w:tr>
        <w:trPr>
          <w:trHeight w:val="25"/>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4"/>
        </w:trPr>
        <w:tc>
          <w:tcPr>
            <w:tcW w:w="6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product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39,508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24,111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16,578</w:t>
            </w:r>
          </w:p>
        </w:tc>
      </w:tr>
      <w:tr>
        <w:trPr>
          <w:trHeight w:val="25"/>
        </w:trPr>
        <w:tc>
          <w:tcPr>
            <w:tcW w:w="6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031" w:right="239" w:bottom="0" w:gutter="0" w:footer="0" w:header="0"/>
          <w:type w:val="continuous"/>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460" w:type="dxa"/>
            <w:vAlign w:val="bottom"/>
          </w:tcPr>
          <w:p>
            <w:pPr>
              <w:spacing w:after="0"/>
              <w:rPr>
                <w:sz w:val="18"/>
                <w:szCs w:val="18"/>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34,478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24,891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21,199</w:t>
            </w:r>
          </w:p>
        </w:tc>
      </w:tr>
      <w:tr>
        <w:trPr>
          <w:trHeight w:val="25"/>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9"/>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22,395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14,576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12,699</w:t>
            </w:r>
          </w:p>
        </w:tc>
      </w:tr>
      <w:tr>
        <w:trPr>
          <w:trHeight w:val="217"/>
        </w:trPr>
        <w:tc>
          <w:tcPr>
            <w:tcW w:w="6760" w:type="dxa"/>
            <w:vAlign w:val="bottom"/>
          </w:tcPr>
          <w:p>
            <w:pPr>
              <w:ind w:left="640"/>
              <w:spacing w:after="0"/>
              <w:rPr>
                <w:sz w:val="20"/>
                <w:szCs w:val="20"/>
                <w:color w:val="auto"/>
              </w:rPr>
            </w:pPr>
            <w:r>
              <w:rPr>
                <w:rFonts w:ascii="Arial" w:cs="Arial" w:eastAsia="Arial" w:hAnsi="Arial"/>
                <w:sz w:val="17"/>
                <w:szCs w:val="17"/>
                <w:color w:val="auto"/>
              </w:rPr>
              <w:t>Total costs and operating expenses</w:t>
            </w: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249,551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170,415</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134,468</w:t>
            </w:r>
          </w:p>
        </w:tc>
      </w:tr>
      <w:tr>
        <w:trPr>
          <w:trHeight w:val="25"/>
        </w:trPr>
        <w:tc>
          <w:tcPr>
            <w:tcW w:w="67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1"/>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6,461</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19,656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9,335</w:t>
            </w:r>
          </w:p>
        </w:tc>
      </w:tr>
      <w:tr>
        <w:trPr>
          <w:trHeight w:val="224"/>
        </w:trPr>
        <w:tc>
          <w:tcPr>
            <w:tcW w:w="676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46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5"/>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9"/>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535</w:t>
            </w:r>
          </w:p>
        </w:tc>
      </w:tr>
      <w:tr>
        <w:trPr>
          <w:trHeight w:val="217"/>
        </w:trPr>
        <w:tc>
          <w:tcPr>
            <w:tcW w:w="6760" w:type="dxa"/>
            <w:vAlign w:val="bottom"/>
          </w:tcPr>
          <w:p>
            <w:pPr>
              <w:ind w:left="20"/>
              <w:spacing w:after="0"/>
              <w:rPr>
                <w:sz w:val="20"/>
                <w:szCs w:val="20"/>
                <w:color w:val="auto"/>
              </w:rPr>
            </w:pPr>
            <w:r>
              <w:rPr>
                <w:rFonts w:ascii="Arial" w:cs="Arial" w:eastAsia="Arial" w:hAnsi="Arial"/>
                <w:sz w:val="17"/>
                <w:szCs w:val="17"/>
                <w:color w:val="auto"/>
              </w:rPr>
              <w:t>Income before provision for (benefit from) income taxes</w:t>
            </w: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4,823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20,387</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9,774</w:t>
            </w:r>
          </w:p>
        </w:tc>
      </w:tr>
      <w:tr>
        <w:trPr>
          <w:trHeight w:val="25"/>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9"/>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(31,459)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58</w:t>
            </w:r>
          </w:p>
        </w:tc>
      </w:tr>
      <w:tr>
        <w:trPr>
          <w:trHeight w:val="217"/>
        </w:trPr>
        <w:tc>
          <w:tcPr>
            <w:tcW w:w="67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46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36,282</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19,967</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9,716</w:t>
            </w:r>
          </w:p>
        </w:tc>
      </w:tr>
      <w:tr>
        <w:trPr>
          <w:trHeight w:val="65"/>
        </w:trPr>
        <w:tc>
          <w:tcPr>
            <w:tcW w:w="676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06"/>
        </w:trPr>
        <w:tc>
          <w:tcPr>
            <w:tcW w:w="67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7"/>
                <w:szCs w:val="17"/>
                <w:color w:val="auto"/>
              </w:rPr>
              <w:t>Net income per common share:</w:t>
            </w: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7"/>
                <w:szCs w:val="17"/>
                <w:color w:val="auto"/>
              </w:rPr>
              <w:t>Basic</w:t>
            </w:r>
          </w:p>
        </w:tc>
        <w:tc>
          <w:tcPr>
            <w:tcW w:w="460" w:type="dxa"/>
            <w:vAlign w:val="bottom"/>
          </w:tcPr>
          <w:p>
            <w:pPr>
              <w:jc w:val="right"/>
              <w:ind w:right="27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19"/>
                <w:szCs w:val="19"/>
                <w:color w:val="auto"/>
              </w:rPr>
            </w:pPr>
          </w:p>
        </w:tc>
        <w:tc>
          <w:tcPr>
            <w:tcW w:w="460" w:type="dxa"/>
            <w:vAlign w:val="bottom"/>
          </w:tcPr>
          <w:p>
            <w:pPr>
              <w:jc w:val="right"/>
              <w:ind w:right="27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0.59</w:t>
            </w:r>
          </w:p>
        </w:tc>
        <w:tc>
          <w:tcPr>
            <w:tcW w:w="100" w:type="dxa"/>
            <w:vAlign w:val="bottom"/>
          </w:tcPr>
          <w:p>
            <w:pPr>
              <w:spacing w:after="0"/>
              <w:rPr>
                <w:sz w:val="19"/>
                <w:szCs w:val="19"/>
                <w:color w:val="auto"/>
              </w:rPr>
            </w:pPr>
          </w:p>
        </w:tc>
        <w:tc>
          <w:tcPr>
            <w:tcW w:w="480" w:type="dxa"/>
            <w:vAlign w:val="bottom"/>
          </w:tcPr>
          <w:p>
            <w:pPr>
              <w:jc w:val="right"/>
              <w:ind w:right="277"/>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0.29</w:t>
            </w:r>
          </w:p>
        </w:tc>
      </w:tr>
      <w:tr>
        <w:trPr>
          <w:trHeight w:val="25"/>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6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46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1.02</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0.56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0.28</w:t>
            </w:r>
          </w:p>
        </w:tc>
      </w:tr>
      <w:tr>
        <w:trPr>
          <w:trHeight w:val="224"/>
        </w:trPr>
        <w:tc>
          <w:tcPr>
            <w:tcW w:w="676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6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Basic</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34,016</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34,128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33,849</w:t>
            </w:r>
          </w:p>
        </w:tc>
      </w:tr>
      <w:tr>
        <w:trPr>
          <w:trHeight w:val="224"/>
        </w:trPr>
        <w:tc>
          <w:tcPr>
            <w:tcW w:w="6760" w:type="dxa"/>
            <w:vAlign w:val="bottom"/>
          </w:tcPr>
          <w:p>
            <w:pPr>
              <w:ind w:left="240"/>
              <w:spacing w:after="0"/>
              <w:rPr>
                <w:sz w:val="20"/>
                <w:szCs w:val="20"/>
                <w:color w:val="auto"/>
              </w:rPr>
            </w:pPr>
            <w:r>
              <w:rPr>
                <w:rFonts w:ascii="Arial" w:cs="Arial" w:eastAsia="Arial" w:hAnsi="Arial"/>
                <w:sz w:val="17"/>
                <w:szCs w:val="17"/>
                <w:color w:val="auto"/>
              </w:rPr>
              <w:t>Diluted</w:t>
            </w:r>
          </w:p>
        </w:tc>
        <w:tc>
          <w:tcPr>
            <w:tcW w:w="46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35,567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35,562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35,151</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12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t>APPFOLIO,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7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7"/>
              </w:rPr>
              <w:t>Year Ended December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41"/>
        </w:trPr>
        <w:tc>
          <w:tcPr>
            <w:tcW w:w="67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r>
      <w:tr>
        <w:trPr>
          <w:trHeight w:val="226"/>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8"/>
              </w:rPr>
              <w:t>36,282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19,967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9,716</w:t>
            </w:r>
          </w:p>
        </w:tc>
      </w:tr>
      <w:tr>
        <w:trPr>
          <w:trHeight w:val="224"/>
        </w:trPr>
        <w:tc>
          <w:tcPr>
            <w:tcW w:w="676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9"/>
        </w:trPr>
        <w:tc>
          <w:tcPr>
            <w:tcW w:w="6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Changes in unrealized gains (losses) on investment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35"/>
        </w:trPr>
        <w:tc>
          <w:tcPr>
            <w:tcW w:w="676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90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w w:val="88"/>
              </w:rPr>
              <w:t>36,493</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7"/>
                <w:szCs w:val="17"/>
                <w:color w:val="auto"/>
              </w:rPr>
              <w:t>19,998</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9,558</w:t>
            </w: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the Consolidated Financial Statements are an integral part of these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82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color w:val="auto"/>
        </w:rPr>
        <w:t>APPFOLIO,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49"/>
        </w:trPr>
        <w:tc>
          <w:tcPr>
            <w:tcW w:w="2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9"/>
        </w:trPr>
        <w:tc>
          <w:tcPr>
            <w:tcW w:w="264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5"/>
          </w:tcPr>
          <w:p>
            <w:pPr>
              <w:ind w:left="3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1"/>
                <w:szCs w:val="2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Comprehensive</w:t>
            </w:r>
          </w:p>
        </w:tc>
        <w:tc>
          <w:tcPr>
            <w:tcW w:w="12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Treasury</w:t>
            </w:r>
          </w:p>
        </w:tc>
        <w:tc>
          <w:tcPr>
            <w:tcW w:w="14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4"/>
        </w:trPr>
        <w:tc>
          <w:tcPr>
            <w:tcW w:w="2640" w:type="dxa"/>
            <w:vAlign w:val="bottom"/>
          </w:tcPr>
          <w:p>
            <w:pPr>
              <w:spacing w:after="0"/>
              <w:rPr>
                <w:sz w:val="22"/>
                <w:szCs w:val="22"/>
                <w:color w:val="auto"/>
              </w:rPr>
            </w:pPr>
          </w:p>
        </w:tc>
        <w:tc>
          <w:tcPr>
            <w:tcW w:w="124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3"/>
                <w:szCs w:val="13"/>
                <w:b w:val="1"/>
                <w:bCs w:val="1"/>
                <w:color w:val="auto"/>
              </w:rPr>
              <w:t>Class A</w:t>
            </w:r>
          </w:p>
        </w:tc>
        <w:tc>
          <w:tcPr>
            <w:tcW w:w="2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3"/>
                <w:szCs w:val="13"/>
                <w:b w:val="1"/>
                <w:bCs w:val="1"/>
                <w:color w:val="auto"/>
              </w:rPr>
              <w:t>Class B</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90"/>
              </w:rPr>
              <w:t>Income (Loss)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Total</w:t>
            </w:r>
          </w:p>
        </w:tc>
      </w:tr>
      <w:tr>
        <w:trPr>
          <w:trHeight w:val="241"/>
        </w:trPr>
        <w:tc>
          <w:tcPr>
            <w:tcW w:w="264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840" w:type="dxa"/>
            <w:vAlign w:val="bottom"/>
            <w:gridSpan w:val="3"/>
          </w:tcPr>
          <w:p>
            <w:pPr>
              <w:ind w:left="120"/>
              <w:spacing w:after="0"/>
              <w:rPr>
                <w:sz w:val="20"/>
                <w:szCs w:val="20"/>
                <w:color w:val="auto"/>
              </w:rPr>
            </w:pPr>
            <w:r>
              <w:rPr>
                <w:rFonts w:ascii="Arial" w:cs="Arial" w:eastAsia="Arial" w:hAnsi="Arial"/>
                <w:sz w:val="13"/>
                <w:szCs w:val="13"/>
                <w:b w:val="1"/>
                <w:bCs w:val="1"/>
                <w:color w:val="auto"/>
              </w:rPr>
              <w:t>Amount</w:t>
            </w: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2016</w:t>
            </w:r>
          </w:p>
        </w:tc>
        <w:tc>
          <w:tcPr>
            <w:tcW w:w="7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11,691</w:t>
            </w:r>
          </w:p>
        </w:tc>
        <w:tc>
          <w:tcPr>
            <w:tcW w:w="1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22,028</w:t>
            </w: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CCEEFF"/>
            </w:tcBorders>
            <w:shd w:val="clear" w:color="auto" w:fill="CCEEFF"/>
          </w:tcPr>
          <w:p>
            <w:pPr>
              <w:jc w:val="right"/>
              <w:ind w:right="34"/>
              <w:spacing w:after="0"/>
              <w:rPr>
                <w:sz w:val="20"/>
                <w:szCs w:val="20"/>
                <w:color w:val="auto"/>
              </w:rPr>
            </w:pPr>
            <w:r>
              <w:rPr>
                <w:rFonts w:ascii="Arial" w:cs="Arial" w:eastAsia="Arial" w:hAnsi="Arial"/>
                <w:sz w:val="13"/>
                <w:szCs w:val="13"/>
                <w:color w:val="auto"/>
              </w:rPr>
              <w:t>146,692</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CCEEFF"/>
            </w:tcBorders>
            <w:shd w:val="clear" w:color="auto" w:fill="CCEEFF"/>
          </w:tcPr>
          <w:p>
            <w:pPr>
              <w:jc w:val="right"/>
              <w:ind w:right="14"/>
              <w:spacing w:after="0"/>
              <w:rPr>
                <w:sz w:val="20"/>
                <w:szCs w:val="20"/>
                <w:color w:val="auto"/>
              </w:rPr>
            </w:pPr>
            <w:r>
              <w:rPr>
                <w:rFonts w:ascii="Arial" w:cs="Arial" w:eastAsia="Arial" w:hAnsi="Arial"/>
                <w:sz w:val="13"/>
                <w:szCs w:val="13"/>
                <w:color w:val="auto"/>
              </w:rPr>
              <w:t>(76,963)</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CCEEFF"/>
            </w:tcBorders>
            <w:shd w:val="clear" w:color="auto" w:fill="CCEEFF"/>
          </w:tcPr>
          <w:p>
            <w:pPr>
              <w:jc w:val="right"/>
              <w:ind w:right="34"/>
              <w:spacing w:after="0"/>
              <w:rPr>
                <w:sz w:val="20"/>
                <w:szCs w:val="20"/>
                <w:color w:val="auto"/>
              </w:rPr>
            </w:pPr>
            <w:r>
              <w:rPr>
                <w:rFonts w:ascii="Arial" w:cs="Arial" w:eastAsia="Arial" w:hAnsi="Arial"/>
                <w:sz w:val="13"/>
                <w:szCs w:val="13"/>
                <w:color w:val="auto"/>
              </w:rPr>
              <w:t>69,682</w:t>
            </w:r>
          </w:p>
        </w:tc>
      </w:tr>
      <w:tr>
        <w:trPr>
          <w:trHeight w:val="244"/>
        </w:trPr>
        <w:tc>
          <w:tcPr>
            <w:tcW w:w="26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165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663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663</w:t>
            </w:r>
          </w:p>
        </w:tc>
      </w:tr>
      <w:tr>
        <w:trPr>
          <w:trHeight w:val="254"/>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6,618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6,618</w:t>
            </w:r>
          </w:p>
        </w:tc>
      </w:tr>
      <w:tr>
        <w:trPr>
          <w:trHeight w:val="145"/>
        </w:trPr>
        <w:tc>
          <w:tcPr>
            <w:tcW w:w="2640" w:type="dxa"/>
            <w:vAlign w:val="bottom"/>
          </w:tcPr>
          <w:p>
            <w:pPr>
              <w:ind w:left="20"/>
              <w:spacing w:after="0" w:line="146" w:lineRule="exact"/>
              <w:rPr>
                <w:sz w:val="20"/>
                <w:szCs w:val="20"/>
                <w:color w:val="auto"/>
              </w:rPr>
            </w:pPr>
            <w:r>
              <w:rPr>
                <w:rFonts w:ascii="Arial" w:cs="Arial" w:eastAsia="Arial" w:hAnsi="Arial"/>
                <w:sz w:val="13"/>
                <w:szCs w:val="13"/>
                <w:color w:val="auto"/>
                <w:w w:val="99"/>
              </w:rPr>
              <w:t>Vesting of restricted stock units, net of shares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3"/>
        </w:trPr>
        <w:tc>
          <w:tcPr>
            <w:tcW w:w="2640" w:type="dxa"/>
            <w:vAlign w:val="bottom"/>
          </w:tcPr>
          <w:p>
            <w:pPr>
              <w:ind w:left="20"/>
              <w:spacing w:after="0"/>
              <w:rPr>
                <w:sz w:val="20"/>
                <w:szCs w:val="20"/>
                <w:color w:val="auto"/>
              </w:rPr>
            </w:pPr>
            <w:r>
              <w:rPr>
                <w:rFonts w:ascii="Arial" w:cs="Arial" w:eastAsia="Arial" w:hAnsi="Arial"/>
                <w:sz w:val="13"/>
                <w:szCs w:val="13"/>
                <w:color w:val="auto"/>
              </w:rPr>
              <w:t>withheld for taxes</w:t>
            </w: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(1,559)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(1,559)</w:t>
            </w:r>
          </w:p>
        </w:tc>
      </w:tr>
      <w:tr>
        <w:trPr>
          <w:trHeight w:val="254"/>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shares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117</w:t>
            </w:r>
          </w:p>
        </w:tc>
      </w:tr>
      <w:tr>
        <w:trPr>
          <w:trHeight w:val="244"/>
        </w:trPr>
        <w:tc>
          <w:tcPr>
            <w:tcW w:w="2640" w:type="dxa"/>
            <w:vAlign w:val="bottom"/>
          </w:tcPr>
          <w:p>
            <w:pPr>
              <w:ind w:left="20"/>
              <w:spacing w:after="0"/>
              <w:rPr>
                <w:sz w:val="20"/>
                <w:szCs w:val="20"/>
                <w:color w:val="auto"/>
              </w:rPr>
            </w:pPr>
            <w:r>
              <w:rPr>
                <w:rFonts w:ascii="Arial" w:cs="Arial" w:eastAsia="Arial" w:hAnsi="Arial"/>
                <w:sz w:val="13"/>
                <w:szCs w:val="13"/>
                <w:color w:val="auto"/>
              </w:rPr>
              <w:t>Conversion of Class B stock to Class A stock</w:t>
            </w: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2,926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(2,926)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54"/>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stock awards</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r>
      <w:tr>
        <w:trPr>
          <w:trHeight w:val="244"/>
        </w:trPr>
        <w:tc>
          <w:tcPr>
            <w:tcW w:w="264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(158)</w:t>
            </w:r>
          </w:p>
        </w:tc>
      </w:tr>
      <w:tr>
        <w:trPr>
          <w:trHeight w:val="254"/>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7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9,716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9,716</w:t>
            </w:r>
          </w:p>
        </w:tc>
      </w:tr>
      <w:tr>
        <w:trPr>
          <w:trHeight w:val="224"/>
        </w:trPr>
        <w:tc>
          <w:tcPr>
            <w:tcW w:w="264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2017</w:t>
            </w: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14,879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jc w:val="right"/>
              <w:ind w:right="54"/>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9"/>
                <w:szCs w:val="19"/>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19,102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34"/>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152,531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3"/>
                <w:szCs w:val="13"/>
                <w:color w:val="auto"/>
              </w:rPr>
              <w:t>(67,247)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85,079</w:t>
            </w:r>
          </w:p>
        </w:tc>
      </w:tr>
      <w:tr>
        <w:trPr>
          <w:trHeight w:val="254"/>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170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1,035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1,035</w:t>
            </w:r>
          </w:p>
        </w:tc>
      </w:tr>
      <w:tr>
        <w:trPr>
          <w:trHeight w:val="244"/>
        </w:trPr>
        <w:tc>
          <w:tcPr>
            <w:tcW w:w="26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7,187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7,187</w:t>
            </w:r>
          </w:p>
        </w:tc>
      </w:tr>
      <w:tr>
        <w:trPr>
          <w:trHeight w:val="150"/>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Vesting of restricted stock units, net of shares</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8"/>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withheld for taxes</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(2,890)</w:t>
            </w:r>
          </w:p>
        </w:tc>
      </w:tr>
      <w:tr>
        <w:trPr>
          <w:trHeight w:val="244"/>
        </w:trPr>
        <w:tc>
          <w:tcPr>
            <w:tcW w:w="2640" w:type="dxa"/>
            <w:vAlign w:val="bottom"/>
          </w:tcPr>
          <w:p>
            <w:pPr>
              <w:ind w:left="20"/>
              <w:spacing w:after="0"/>
              <w:rPr>
                <w:sz w:val="20"/>
                <w:szCs w:val="20"/>
                <w:color w:val="auto"/>
              </w:rPr>
            </w:pPr>
            <w:r>
              <w:rPr>
                <w:rFonts w:ascii="Arial" w:cs="Arial" w:eastAsia="Arial" w:hAnsi="Arial"/>
                <w:sz w:val="13"/>
                <w:szCs w:val="13"/>
                <w:color w:val="auto"/>
              </w:rPr>
              <w:t>Vesting of early exercised shares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35</w:t>
            </w:r>
          </w:p>
        </w:tc>
      </w:tr>
      <w:tr>
        <w:trPr>
          <w:trHeight w:val="254"/>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Class B stock to Class A stock</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993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(993)</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r>
      <w:tr>
        <w:trPr>
          <w:trHeight w:val="244"/>
        </w:trPr>
        <w:tc>
          <w:tcPr>
            <w:tcW w:w="2640" w:type="dxa"/>
            <w:vAlign w:val="bottom"/>
          </w:tcPr>
          <w:p>
            <w:pPr>
              <w:ind w:left="20"/>
              <w:spacing w:after="0"/>
              <w:rPr>
                <w:sz w:val="20"/>
                <w:szCs w:val="20"/>
                <w:color w:val="auto"/>
              </w:rPr>
            </w:pPr>
            <w:r>
              <w:rPr>
                <w:rFonts w:ascii="Arial" w:cs="Arial" w:eastAsia="Arial" w:hAnsi="Arial"/>
                <w:sz w:val="13"/>
                <w:szCs w:val="13"/>
                <w:color w:val="auto"/>
              </w:rPr>
              <w:t>Issuance of restricted stock awards</w:t>
            </w: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54"/>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31</w:t>
            </w:r>
          </w:p>
        </w:tc>
      </w:tr>
      <w:tr>
        <w:trPr>
          <w:trHeight w:val="244"/>
        </w:trPr>
        <w:tc>
          <w:tcPr>
            <w:tcW w:w="2640" w:type="dxa"/>
            <w:vAlign w:val="bottom"/>
          </w:tcPr>
          <w:p>
            <w:pPr>
              <w:ind w:left="20"/>
              <w:spacing w:after="0"/>
              <w:rPr>
                <w:sz w:val="20"/>
                <w:szCs w:val="20"/>
                <w:color w:val="auto"/>
              </w:rPr>
            </w:pPr>
            <w:r>
              <w:rPr>
                <w:rFonts w:ascii="Arial" w:cs="Arial" w:eastAsia="Arial" w:hAnsi="Arial"/>
                <w:sz w:val="13"/>
                <w:szCs w:val="13"/>
                <w:color w:val="auto"/>
              </w:rPr>
              <w:t>Repurchase of common stock</w:t>
            </w:r>
          </w:p>
        </w:tc>
        <w:tc>
          <w:tcPr>
            <w:tcW w:w="700" w:type="dxa"/>
            <w:vAlign w:val="bottom"/>
          </w:tcPr>
          <w:p>
            <w:pPr>
              <w:jc w:val="right"/>
              <w:ind w:right="14"/>
              <w:spacing w:after="0"/>
              <w:rPr>
                <w:sz w:val="20"/>
                <w:szCs w:val="20"/>
                <w:color w:val="auto"/>
              </w:rPr>
            </w:pPr>
            <w:r>
              <w:rPr>
                <w:rFonts w:ascii="Arial" w:cs="Arial" w:eastAsia="Arial" w:hAnsi="Arial"/>
                <w:sz w:val="13"/>
                <w:szCs w:val="13"/>
                <w:color w:val="auto"/>
              </w:rPr>
              <w:t>(371)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(21,562)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(21,562)</w:t>
            </w:r>
          </w:p>
        </w:tc>
      </w:tr>
      <w:tr>
        <w:trPr>
          <w:trHeight w:val="150"/>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Cumulative-effect adjustment resulting from</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8"/>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adoption of ASU 2014-09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2,964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2,964</w:t>
            </w:r>
          </w:p>
        </w:tc>
      </w:tr>
      <w:tr>
        <w:trPr>
          <w:trHeight w:val="244"/>
        </w:trPr>
        <w:tc>
          <w:tcPr>
            <w:tcW w:w="26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19,967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19,967</w:t>
            </w:r>
          </w:p>
        </w:tc>
      </w:tr>
      <w:tr>
        <w:trPr>
          <w:trHeight w:val="234"/>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7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15,789</w:t>
            </w:r>
          </w:p>
        </w:tc>
        <w:tc>
          <w:tcPr>
            <w:tcW w:w="1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w:t>
            </w:r>
          </w:p>
        </w:tc>
        <w:tc>
          <w:tcPr>
            <w:tcW w:w="14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18,109</w:t>
            </w: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157,898</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(21,562)</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(44,316)</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91,846</w:t>
            </w:r>
          </w:p>
        </w:tc>
      </w:tr>
      <w:tr>
        <w:trPr>
          <w:trHeight w:val="244"/>
        </w:trPr>
        <w:tc>
          <w:tcPr>
            <w:tcW w:w="26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553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553</w:t>
            </w:r>
          </w:p>
        </w:tc>
      </w:tr>
      <w:tr>
        <w:trPr>
          <w:trHeight w:val="254"/>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8,985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8,985</w:t>
            </w:r>
          </w:p>
        </w:tc>
      </w:tr>
      <w:tr>
        <w:trPr>
          <w:trHeight w:val="145"/>
        </w:trPr>
        <w:tc>
          <w:tcPr>
            <w:tcW w:w="2640" w:type="dxa"/>
            <w:vAlign w:val="bottom"/>
          </w:tcPr>
          <w:p>
            <w:pPr>
              <w:ind w:left="20"/>
              <w:spacing w:after="0" w:line="146" w:lineRule="exact"/>
              <w:rPr>
                <w:sz w:val="20"/>
                <w:szCs w:val="20"/>
                <w:color w:val="auto"/>
              </w:rPr>
            </w:pPr>
            <w:r>
              <w:rPr>
                <w:rFonts w:ascii="Arial" w:cs="Arial" w:eastAsia="Arial" w:hAnsi="Arial"/>
                <w:sz w:val="13"/>
                <w:szCs w:val="13"/>
                <w:color w:val="auto"/>
                <w:w w:val="99"/>
              </w:rPr>
              <w:t>Vesting of restricted stock units, net of shares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3"/>
        </w:trPr>
        <w:tc>
          <w:tcPr>
            <w:tcW w:w="2640" w:type="dxa"/>
            <w:vAlign w:val="bottom"/>
          </w:tcPr>
          <w:p>
            <w:pPr>
              <w:ind w:left="20"/>
              <w:spacing w:after="0"/>
              <w:rPr>
                <w:sz w:val="20"/>
                <w:szCs w:val="20"/>
                <w:color w:val="auto"/>
              </w:rPr>
            </w:pPr>
            <w:r>
              <w:rPr>
                <w:rFonts w:ascii="Arial" w:cs="Arial" w:eastAsia="Arial" w:hAnsi="Arial"/>
                <w:sz w:val="13"/>
                <w:szCs w:val="13"/>
                <w:color w:val="auto"/>
              </w:rPr>
              <w:t>withheld for taxes</w:t>
            </w: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(5,933)</w:t>
            </w:r>
          </w:p>
        </w:tc>
      </w:tr>
      <w:tr>
        <w:trPr>
          <w:trHeight w:val="254"/>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shares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w:t>
            </w:r>
          </w:p>
        </w:tc>
      </w:tr>
      <w:tr>
        <w:trPr>
          <w:trHeight w:val="244"/>
        </w:trPr>
        <w:tc>
          <w:tcPr>
            <w:tcW w:w="2640" w:type="dxa"/>
            <w:vAlign w:val="bottom"/>
          </w:tcPr>
          <w:p>
            <w:pPr>
              <w:ind w:left="20"/>
              <w:spacing w:after="0"/>
              <w:rPr>
                <w:sz w:val="20"/>
                <w:szCs w:val="20"/>
                <w:color w:val="auto"/>
              </w:rPr>
            </w:pPr>
            <w:r>
              <w:rPr>
                <w:rFonts w:ascii="Arial" w:cs="Arial" w:eastAsia="Arial" w:hAnsi="Arial"/>
                <w:sz w:val="13"/>
                <w:szCs w:val="13"/>
                <w:color w:val="auto"/>
              </w:rPr>
              <w:t>Conversion of Class B stock to Class A stock</w:t>
            </w: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515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(515)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54"/>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stock awards</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r>
      <w:tr>
        <w:trPr>
          <w:trHeight w:val="244"/>
        </w:trPr>
        <w:tc>
          <w:tcPr>
            <w:tcW w:w="264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3"/>
                <w:szCs w:val="13"/>
                <w:color w:val="auto"/>
              </w:rPr>
              <w:t>211</w:t>
            </w:r>
          </w:p>
        </w:tc>
      </w:tr>
      <w:tr>
        <w:trPr>
          <w:trHeight w:val="249"/>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36,282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36,282</w:t>
            </w:r>
          </w:p>
        </w:tc>
      </w:tr>
      <w:tr>
        <w:trPr>
          <w:trHeight w:val="221"/>
        </w:trPr>
        <w:tc>
          <w:tcPr>
            <w:tcW w:w="264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7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16,552</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rPr>
              <w:t>17,594</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color w:val="auto"/>
              </w:rPr>
              <w:t>161,509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(21,562)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3"/>
                <w:szCs w:val="13"/>
                <w:color w:val="auto"/>
              </w:rPr>
              <w:t>(8,034)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color w:val="auto"/>
              </w:rPr>
              <w:t>131,950</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the Consolidated Financial Statements are an integral part of these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6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5"/>
          <w:szCs w:val="15"/>
          <w:b w:val="1"/>
          <w:bCs w:val="1"/>
          <w:color w:val="auto"/>
        </w:rPr>
        <w:t>APPFOLIO, INC.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41"/>
        </w:trPr>
        <w:tc>
          <w:tcPr>
            <w:tcW w:w="70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2017</w:t>
            </w:r>
          </w:p>
        </w:tc>
      </w:tr>
      <w:tr>
        <w:trPr>
          <w:trHeight w:val="22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from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18"/>
        </w:trPr>
        <w:tc>
          <w:tcPr>
            <w:tcW w:w="70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36,282</w:t>
            </w:r>
          </w:p>
        </w:tc>
        <w:tc>
          <w:tcPr>
            <w:tcW w:w="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19,967</w:t>
            </w:r>
          </w:p>
        </w:tc>
        <w:tc>
          <w:tcPr>
            <w:tcW w:w="120" w:type="dxa"/>
            <w:vAlign w:val="bottom"/>
          </w:tcPr>
          <w:p>
            <w:pPr>
              <w:spacing w:after="0"/>
              <w:rPr>
                <w:sz w:val="18"/>
                <w:szCs w:val="18"/>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9,716</w:t>
            </w:r>
          </w:p>
        </w:tc>
      </w:tr>
      <w:tr>
        <w:trPr>
          <w:trHeight w:val="31"/>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18"/>
        </w:trPr>
        <w:tc>
          <w:tcPr>
            <w:tcW w:w="7080" w:type="dxa"/>
            <w:vAlign w:val="bottom"/>
          </w:tcPr>
          <w:p>
            <w:pPr>
              <w:ind w:left="34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22,395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14,576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12,699</w:t>
            </w:r>
          </w:p>
        </w:tc>
      </w:tr>
      <w:tr>
        <w:trPr>
          <w:trHeight w:val="31"/>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Amortization of operating lease right-of-use assets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4,130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218"/>
        </w:trPr>
        <w:tc>
          <w:tcPr>
            <w:tcW w:w="7080" w:type="dxa"/>
            <w:vAlign w:val="bottom"/>
          </w:tcPr>
          <w:p>
            <w:pPr>
              <w:ind w:left="340"/>
              <w:spacing w:after="0"/>
              <w:rPr>
                <w:sz w:val="20"/>
                <w:szCs w:val="20"/>
                <w:color w:val="auto"/>
              </w:rPr>
            </w:pPr>
            <w:r>
              <w:rPr>
                <w:rFonts w:ascii="Arial" w:cs="Arial" w:eastAsia="Arial" w:hAnsi="Arial"/>
                <w:sz w:val="15"/>
                <w:szCs w:val="15"/>
                <w:color w:val="auto"/>
              </w:rPr>
              <w:t>Stock-based compensation</w:t>
            </w:r>
          </w:p>
        </w:tc>
        <w:tc>
          <w:tcPr>
            <w:tcW w:w="3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7,309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6,337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6,096</w:t>
            </w:r>
          </w:p>
        </w:tc>
      </w:tr>
      <w:tr>
        <w:trPr>
          <w:trHeight w:val="31"/>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Deferred income taxes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(31,455)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218"/>
        </w:trPr>
        <w:tc>
          <w:tcPr>
            <w:tcW w:w="7080" w:type="dxa"/>
            <w:vAlign w:val="bottom"/>
          </w:tcPr>
          <w:p>
            <w:pPr>
              <w:ind w:left="340"/>
              <w:spacing w:after="0"/>
              <w:rPr>
                <w:sz w:val="20"/>
                <w:szCs w:val="20"/>
                <w:color w:val="auto"/>
              </w:rPr>
            </w:pPr>
            <w:r>
              <w:rPr>
                <w:rFonts w:ascii="Arial" w:cs="Arial" w:eastAsia="Arial" w:hAnsi="Arial"/>
                <w:sz w:val="15"/>
                <w:szCs w:val="15"/>
                <w:color w:val="auto"/>
              </w:rPr>
              <w:t>Other</w:t>
            </w:r>
          </w:p>
        </w:tc>
        <w:tc>
          <w:tcPr>
            <w:tcW w:w="3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224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121</w:t>
            </w:r>
          </w:p>
        </w:tc>
      </w:tr>
      <w:tr>
        <w:trPr>
          <w:trHeight w:val="31"/>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Changes in operating assets and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18"/>
        </w:trPr>
        <w:tc>
          <w:tcPr>
            <w:tcW w:w="7080" w:type="dxa"/>
            <w:vAlign w:val="bottom"/>
          </w:tcPr>
          <w:p>
            <w:pPr>
              <w:ind w:left="640"/>
              <w:spacing w:after="0"/>
              <w:rPr>
                <w:sz w:val="20"/>
                <w:szCs w:val="20"/>
                <w:color w:val="auto"/>
              </w:rPr>
            </w:pPr>
            <w:r>
              <w:rPr>
                <w:rFonts w:ascii="Arial" w:cs="Arial" w:eastAsia="Arial" w:hAnsi="Arial"/>
                <w:sz w:val="15"/>
                <w:szCs w:val="15"/>
                <w:color w:val="auto"/>
              </w:rPr>
              <w:t>Accounts receivable</w:t>
            </w:r>
          </w:p>
        </w:tc>
        <w:tc>
          <w:tcPr>
            <w:tcW w:w="340" w:type="dxa"/>
            <w:vAlign w:val="bottom"/>
          </w:tcPr>
          <w:p>
            <w:pPr>
              <w:spacing w:after="0"/>
              <w:rPr>
                <w:sz w:val="18"/>
                <w:szCs w:val="18"/>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(2,031)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(876)</w:t>
            </w:r>
          </w:p>
        </w:tc>
      </w:tr>
      <w:tr>
        <w:trPr>
          <w:trHeight w:val="31"/>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Prepaid expenses and other current assets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(4,031)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(6,073)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(1,009)</w:t>
            </w:r>
          </w:p>
        </w:tc>
      </w:tr>
      <w:tr>
        <w:trPr>
          <w:trHeight w:val="218"/>
        </w:trPr>
        <w:tc>
          <w:tcPr>
            <w:tcW w:w="7080" w:type="dxa"/>
            <w:vAlign w:val="bottom"/>
          </w:tcPr>
          <w:p>
            <w:pPr>
              <w:ind w:left="640"/>
              <w:spacing w:after="0"/>
              <w:rPr>
                <w:sz w:val="20"/>
                <w:szCs w:val="20"/>
                <w:color w:val="auto"/>
              </w:rPr>
            </w:pPr>
            <w:r>
              <w:rPr>
                <w:rFonts w:ascii="Arial" w:cs="Arial" w:eastAsia="Arial" w:hAnsi="Arial"/>
                <w:sz w:val="15"/>
                <w:szCs w:val="15"/>
                <w:color w:val="auto"/>
              </w:rPr>
              <w:t>Other assets</w:t>
            </w:r>
          </w:p>
        </w:tc>
        <w:tc>
          <w:tcPr>
            <w:tcW w:w="3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1,376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(4,447)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31"/>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Accounts payable</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511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614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218"/>
        </w:trPr>
        <w:tc>
          <w:tcPr>
            <w:tcW w:w="7080" w:type="dxa"/>
            <w:vAlign w:val="bottom"/>
          </w:tcPr>
          <w:p>
            <w:pPr>
              <w:ind w:left="640"/>
              <w:spacing w:after="0"/>
              <w:rPr>
                <w:sz w:val="20"/>
                <w:szCs w:val="20"/>
                <w:color w:val="auto"/>
              </w:rPr>
            </w:pPr>
            <w:r>
              <w:rPr>
                <w:rFonts w:ascii="Arial" w:cs="Arial" w:eastAsia="Arial" w:hAnsi="Arial"/>
                <w:sz w:val="15"/>
                <w:szCs w:val="15"/>
                <w:color w:val="auto"/>
              </w:rPr>
              <w:t>Accrued employee expenses</w:t>
            </w:r>
          </w:p>
        </w:tc>
        <w:tc>
          <w:tcPr>
            <w:tcW w:w="3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4,542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1,219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3,243</w:t>
            </w:r>
          </w:p>
        </w:tc>
      </w:tr>
      <w:tr>
        <w:trPr>
          <w:trHeight w:val="31"/>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Accrued expenses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3,281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271</w:t>
            </w:r>
          </w:p>
        </w:tc>
      </w:tr>
      <w:tr>
        <w:trPr>
          <w:trHeight w:val="218"/>
        </w:trPr>
        <w:tc>
          <w:tcPr>
            <w:tcW w:w="7080" w:type="dxa"/>
            <w:vAlign w:val="bottom"/>
          </w:tcPr>
          <w:p>
            <w:pPr>
              <w:ind w:left="640"/>
              <w:spacing w:after="0"/>
              <w:rPr>
                <w:sz w:val="20"/>
                <w:szCs w:val="20"/>
                <w:color w:val="auto"/>
              </w:rPr>
            </w:pPr>
            <w:r>
              <w:rPr>
                <w:rFonts w:ascii="Arial" w:cs="Arial" w:eastAsia="Arial" w:hAnsi="Arial"/>
                <w:sz w:val="15"/>
                <w:szCs w:val="15"/>
                <w:color w:val="auto"/>
              </w:rPr>
              <w:t>Deferred revenue</w:t>
            </w:r>
          </w:p>
        </w:tc>
        <w:tc>
          <w:tcPr>
            <w:tcW w:w="3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1,193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(4,589)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(558)</w:t>
            </w:r>
          </w:p>
        </w:tc>
      </w:tr>
      <w:tr>
        <w:trPr>
          <w:trHeight w:val="31"/>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Operating lease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(2,662)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218"/>
        </w:trPr>
        <w:tc>
          <w:tcPr>
            <w:tcW w:w="7080" w:type="dxa"/>
            <w:vAlign w:val="bottom"/>
          </w:tcPr>
          <w:p>
            <w:pPr>
              <w:ind w:left="640"/>
              <w:spacing w:after="0"/>
              <w:rPr>
                <w:sz w:val="20"/>
                <w:szCs w:val="20"/>
                <w:color w:val="auto"/>
              </w:rPr>
            </w:pPr>
            <w:r>
              <w:rPr>
                <w:rFonts w:ascii="Arial" w:cs="Arial" w:eastAsia="Arial" w:hAnsi="Arial"/>
                <w:sz w:val="15"/>
                <w:szCs w:val="15"/>
                <w:color w:val="auto"/>
              </w:rPr>
              <w:t>Other liabilities</w:t>
            </w:r>
          </w:p>
        </w:tc>
        <w:tc>
          <w:tcPr>
            <w:tcW w:w="3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1,241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6,067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(148)</w:t>
            </w:r>
          </w:p>
        </w:tc>
      </w:tr>
      <w:tr>
        <w:trPr>
          <w:trHeight w:val="31"/>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38,887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36,268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29,371</w:t>
            </w:r>
          </w:p>
        </w:tc>
      </w:tr>
      <w:tr>
        <w:trPr>
          <w:trHeight w:val="186"/>
        </w:trPr>
        <w:tc>
          <w:tcPr>
            <w:tcW w:w="7080" w:type="dxa"/>
            <w:vAlign w:val="bottom"/>
          </w:tcPr>
          <w:p>
            <w:pPr>
              <w:ind w:left="20"/>
              <w:spacing w:after="0"/>
              <w:rPr>
                <w:sz w:val="20"/>
                <w:szCs w:val="20"/>
                <w:color w:val="auto"/>
              </w:rPr>
            </w:pPr>
            <w:r>
              <w:rPr>
                <w:rFonts w:ascii="Arial" w:cs="Arial" w:eastAsia="Arial" w:hAnsi="Arial"/>
                <w:sz w:val="15"/>
                <w:szCs w:val="15"/>
                <w:b w:val="1"/>
                <w:bCs w:val="1"/>
                <w:color w:val="auto"/>
              </w:rPr>
              <w:t>Cash from investing activities</w:t>
            </w: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55"/>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2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Purchases of property, equipment and intangible assets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(8,084)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(2,102)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(2,214)</w:t>
            </w:r>
          </w:p>
        </w:tc>
      </w:tr>
      <w:tr>
        <w:trPr>
          <w:trHeight w:val="218"/>
        </w:trPr>
        <w:tc>
          <w:tcPr>
            <w:tcW w:w="7080" w:type="dxa"/>
            <w:vAlign w:val="bottom"/>
          </w:tcPr>
          <w:p>
            <w:pPr>
              <w:ind w:left="20"/>
              <w:spacing w:after="0"/>
              <w:rPr>
                <w:sz w:val="20"/>
                <w:szCs w:val="20"/>
                <w:color w:val="auto"/>
              </w:rPr>
            </w:pPr>
            <w:r>
              <w:rPr>
                <w:rFonts w:ascii="Arial" w:cs="Arial" w:eastAsia="Arial" w:hAnsi="Arial"/>
                <w:sz w:val="15"/>
                <w:szCs w:val="15"/>
                <w:color w:val="auto"/>
              </w:rPr>
              <w:t>Additions to capitalized software</w:t>
            </w:r>
          </w:p>
        </w:tc>
        <w:tc>
          <w:tcPr>
            <w:tcW w:w="340" w:type="dxa"/>
            <w:vAlign w:val="bottom"/>
          </w:tcPr>
          <w:p>
            <w:pPr>
              <w:spacing w:after="0"/>
              <w:rPr>
                <w:sz w:val="18"/>
                <w:szCs w:val="18"/>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(20,998)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(12,304)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(10,455)</w:t>
            </w:r>
          </w:p>
        </w:tc>
      </w:tr>
      <w:tr>
        <w:trPr>
          <w:trHeight w:val="31"/>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Purchases of investment securities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(25,198)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(29,516)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(26,648)</w:t>
            </w:r>
          </w:p>
        </w:tc>
      </w:tr>
      <w:tr>
        <w:trPr>
          <w:trHeight w:val="218"/>
        </w:trPr>
        <w:tc>
          <w:tcPr>
            <w:tcW w:w="7080" w:type="dxa"/>
            <w:vAlign w:val="bottom"/>
          </w:tcPr>
          <w:p>
            <w:pPr>
              <w:ind w:left="20"/>
              <w:spacing w:after="0"/>
              <w:rPr>
                <w:sz w:val="20"/>
                <w:szCs w:val="20"/>
                <w:color w:val="auto"/>
              </w:rPr>
            </w:pPr>
            <w:r>
              <w:rPr>
                <w:rFonts w:ascii="Arial" w:cs="Arial" w:eastAsia="Arial" w:hAnsi="Arial"/>
                <w:sz w:val="15"/>
                <w:szCs w:val="15"/>
                <w:color w:val="auto"/>
              </w:rPr>
              <w:t>Sales of investment securities</w:t>
            </w:r>
          </w:p>
        </w:tc>
        <w:tc>
          <w:tcPr>
            <w:tcW w:w="3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2,750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20,900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15</w:t>
            </w:r>
          </w:p>
        </w:tc>
      </w:tr>
      <w:tr>
        <w:trPr>
          <w:trHeight w:val="31"/>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Maturities of investment securities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15,660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32,819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16,474</w:t>
            </w:r>
          </w:p>
        </w:tc>
      </w:tr>
      <w:tr>
        <w:trPr>
          <w:trHeight w:val="218"/>
        </w:trPr>
        <w:tc>
          <w:tcPr>
            <w:tcW w:w="7080" w:type="dxa"/>
            <w:vAlign w:val="bottom"/>
          </w:tcPr>
          <w:p>
            <w:pPr>
              <w:ind w:left="20"/>
              <w:spacing w:after="0"/>
              <w:rPr>
                <w:sz w:val="20"/>
                <w:szCs w:val="20"/>
                <w:color w:val="auto"/>
              </w:rPr>
            </w:pPr>
            <w:r>
              <w:rPr>
                <w:rFonts w:ascii="Arial" w:cs="Arial" w:eastAsia="Arial" w:hAnsi="Arial"/>
                <w:sz w:val="15"/>
                <w:szCs w:val="15"/>
                <w:color w:val="auto"/>
              </w:rPr>
              <w:t>Acquisition, net of cash acquired</w:t>
            </w:r>
          </w:p>
        </w:tc>
        <w:tc>
          <w:tcPr>
            <w:tcW w:w="340" w:type="dxa"/>
            <w:vAlign w:val="bottom"/>
          </w:tcPr>
          <w:p>
            <w:pPr>
              <w:spacing w:after="0"/>
              <w:rPr>
                <w:sz w:val="18"/>
                <w:szCs w:val="18"/>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(54,004)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(14,441)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31"/>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(89,874)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(4,644)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(22,828)</w:t>
            </w:r>
          </w:p>
        </w:tc>
      </w:tr>
      <w:tr>
        <w:trPr>
          <w:trHeight w:val="186"/>
        </w:trPr>
        <w:tc>
          <w:tcPr>
            <w:tcW w:w="7080" w:type="dxa"/>
            <w:vAlign w:val="bottom"/>
          </w:tcPr>
          <w:p>
            <w:pPr>
              <w:ind w:left="20"/>
              <w:spacing w:after="0"/>
              <w:rPr>
                <w:sz w:val="20"/>
                <w:szCs w:val="20"/>
                <w:color w:val="auto"/>
              </w:rPr>
            </w:pPr>
            <w:r>
              <w:rPr>
                <w:rFonts w:ascii="Arial" w:cs="Arial" w:eastAsia="Arial" w:hAnsi="Arial"/>
                <w:sz w:val="15"/>
                <w:szCs w:val="15"/>
                <w:b w:val="1"/>
                <w:bCs w:val="1"/>
                <w:color w:val="auto"/>
              </w:rPr>
              <w:t>Cash from financing activities</w:t>
            </w: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55"/>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2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Proceeds from stock option exercises</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553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1,035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663</w:t>
            </w:r>
          </w:p>
        </w:tc>
      </w:tr>
      <w:tr>
        <w:trPr>
          <w:trHeight w:val="218"/>
        </w:trPr>
        <w:tc>
          <w:tcPr>
            <w:tcW w:w="7080" w:type="dxa"/>
            <w:vAlign w:val="bottom"/>
          </w:tcPr>
          <w:p>
            <w:pPr>
              <w:ind w:left="20"/>
              <w:spacing w:after="0"/>
              <w:rPr>
                <w:sz w:val="20"/>
                <w:szCs w:val="20"/>
                <w:color w:val="auto"/>
              </w:rPr>
            </w:pPr>
            <w:r>
              <w:rPr>
                <w:rFonts w:ascii="Arial" w:cs="Arial" w:eastAsia="Arial" w:hAnsi="Arial"/>
                <w:sz w:val="15"/>
                <w:szCs w:val="15"/>
                <w:color w:val="auto"/>
              </w:rPr>
              <w:t>Tax withholding for net share settlement</w:t>
            </w:r>
          </w:p>
        </w:tc>
        <w:tc>
          <w:tcPr>
            <w:tcW w:w="340" w:type="dxa"/>
            <w:vAlign w:val="bottom"/>
          </w:tcPr>
          <w:p>
            <w:pPr>
              <w:spacing w:after="0"/>
              <w:rPr>
                <w:sz w:val="18"/>
                <w:szCs w:val="18"/>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(6,155)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(1,796)</w:t>
            </w:r>
          </w:p>
        </w:tc>
      </w:tr>
      <w:tr>
        <w:trPr>
          <w:trHeight w:val="31"/>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 of treasury stock</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(21,562)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218"/>
        </w:trPr>
        <w:tc>
          <w:tcPr>
            <w:tcW w:w="7080" w:type="dxa"/>
            <w:vAlign w:val="bottom"/>
          </w:tcPr>
          <w:p>
            <w:pPr>
              <w:ind w:left="20"/>
              <w:spacing w:after="0"/>
              <w:rPr>
                <w:sz w:val="20"/>
                <w:szCs w:val="20"/>
                <w:color w:val="auto"/>
              </w:rPr>
            </w:pPr>
            <w:r>
              <w:rPr>
                <w:rFonts w:ascii="Arial" w:cs="Arial" w:eastAsia="Arial" w:hAnsi="Arial"/>
                <w:sz w:val="15"/>
                <w:szCs w:val="15"/>
                <w:color w:val="auto"/>
              </w:rPr>
              <w:t>Proceeds from issuance of debt</w:t>
            </w:r>
          </w:p>
        </w:tc>
        <w:tc>
          <w:tcPr>
            <w:tcW w:w="3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2,169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50,138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118</w:t>
            </w:r>
          </w:p>
        </w:tc>
      </w:tr>
      <w:tr>
        <w:trPr>
          <w:trHeight w:val="31"/>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Principal payments on debt</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(3,419)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w:t>
            </w:r>
          </w:p>
        </w:tc>
      </w:tr>
      <w:tr>
        <w:trPr>
          <w:trHeight w:val="218"/>
        </w:trPr>
        <w:tc>
          <w:tcPr>
            <w:tcW w:w="7080" w:type="dxa"/>
            <w:vAlign w:val="bottom"/>
          </w:tcPr>
          <w:p>
            <w:pPr>
              <w:ind w:left="20"/>
              <w:spacing w:after="0"/>
              <w:rPr>
                <w:sz w:val="20"/>
                <w:szCs w:val="20"/>
                <w:color w:val="auto"/>
              </w:rPr>
            </w:pPr>
            <w:r>
              <w:rPr>
                <w:rFonts w:ascii="Arial" w:cs="Arial" w:eastAsia="Arial" w:hAnsi="Arial"/>
                <w:sz w:val="15"/>
                <w:szCs w:val="15"/>
                <w:color w:val="auto"/>
              </w:rPr>
              <w:t>Payment of debt issuance costs</w:t>
            </w:r>
          </w:p>
        </w:tc>
        <w:tc>
          <w:tcPr>
            <w:tcW w:w="340" w:type="dxa"/>
            <w:vAlign w:val="bottom"/>
          </w:tcPr>
          <w:p>
            <w:pPr>
              <w:spacing w:after="0"/>
              <w:rPr>
                <w:sz w:val="18"/>
                <w:szCs w:val="18"/>
                <w:color w:val="auto"/>
              </w:rPr>
            </w:pPr>
          </w:p>
        </w:tc>
        <w:tc>
          <w:tcPr>
            <w:tcW w:w="1060" w:type="dxa"/>
            <w:vAlign w:val="bottom"/>
          </w:tcPr>
          <w:p>
            <w:pPr>
              <w:jc w:val="right"/>
              <w:ind w:right="6"/>
              <w:spacing w:after="0"/>
              <w:rPr>
                <w:sz w:val="20"/>
                <w:szCs w:val="20"/>
                <w:color w:val="auto"/>
              </w:rPr>
            </w:pPr>
            <w:r>
              <w:rPr>
                <w:rFonts w:ascii="Arial" w:cs="Arial" w:eastAsia="Arial" w:hAnsi="Arial"/>
                <w:sz w:val="15"/>
                <w:szCs w:val="15"/>
                <w:color w:val="auto"/>
              </w:rPr>
              <w:t>(420)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31"/>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70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5"/>
                <w:szCs w:val="15"/>
                <w:color w:val="auto"/>
              </w:rPr>
              <w:t>Net cash (used in) provided by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(7,272)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26,346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(1,133)</w:t>
            </w:r>
          </w:p>
        </w:tc>
      </w:tr>
      <w:tr>
        <w:trPr>
          <w:trHeight w:val="20"/>
        </w:trPr>
        <w:tc>
          <w:tcPr>
            <w:tcW w:w="7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62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5"/>
          <w:szCs w:val="15"/>
          <w:b w:val="1"/>
          <w:bCs w:val="1"/>
          <w:color w:val="auto"/>
        </w:rPr>
        <w:t>APPFOLIO,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29"/>
        </w:trPr>
        <w:tc>
          <w:tcPr>
            <w:tcW w:w="7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2017</w:t>
            </w:r>
          </w:p>
        </w:tc>
      </w:tr>
      <w:tr>
        <w:trPr>
          <w:trHeight w:val="214"/>
        </w:trPr>
        <w:tc>
          <w:tcPr>
            <w:tcW w:w="70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5"/>
                <w:szCs w:val="15"/>
                <w:color w:val="auto"/>
              </w:rPr>
              <w:t>Net (decrease) increase in cash and cash equivalents</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(58,259)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57,970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5,410</w:t>
            </w:r>
          </w:p>
        </w:tc>
      </w:tr>
      <w:tr>
        <w:trPr>
          <w:trHeight w:val="206"/>
        </w:trPr>
        <w:tc>
          <w:tcPr>
            <w:tcW w:w="7080" w:type="dxa"/>
            <w:vAlign w:val="bottom"/>
          </w:tcPr>
          <w:p>
            <w:pPr>
              <w:ind w:left="20"/>
              <w:spacing w:after="0"/>
              <w:rPr>
                <w:sz w:val="20"/>
                <w:szCs w:val="20"/>
                <w:color w:val="auto"/>
              </w:rPr>
            </w:pPr>
            <w:r>
              <w:rPr>
                <w:rFonts w:ascii="Arial" w:cs="Arial" w:eastAsia="Arial" w:hAnsi="Arial"/>
                <w:sz w:val="15"/>
                <w:szCs w:val="15"/>
                <w:b w:val="1"/>
                <w:bCs w:val="1"/>
                <w:color w:val="auto"/>
              </w:rPr>
              <w:t>Cash, cash equivalents and restricted cash</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3"/>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of period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74,506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16,536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11,126</w:t>
            </w:r>
          </w:p>
        </w:tc>
      </w:tr>
      <w:tr>
        <w:trPr>
          <w:trHeight w:val="198"/>
        </w:trPr>
        <w:tc>
          <w:tcPr>
            <w:tcW w:w="7080" w:type="dxa"/>
            <w:vAlign w:val="bottom"/>
          </w:tcPr>
          <w:p>
            <w:pPr>
              <w:ind w:left="20"/>
              <w:spacing w:after="0"/>
              <w:rPr>
                <w:sz w:val="20"/>
                <w:szCs w:val="20"/>
                <w:color w:val="auto"/>
              </w:rPr>
            </w:pPr>
            <w:r>
              <w:rPr>
                <w:rFonts w:ascii="Arial" w:cs="Arial" w:eastAsia="Arial" w:hAnsi="Arial"/>
                <w:sz w:val="15"/>
                <w:szCs w:val="15"/>
                <w:color w:val="auto"/>
              </w:rPr>
              <w:t>End of period</w:t>
            </w:r>
          </w:p>
        </w:tc>
        <w:tc>
          <w:tcPr>
            <w:tcW w:w="34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16,247</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74,506</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16,536</w:t>
            </w:r>
          </w:p>
        </w:tc>
      </w:tr>
      <w:tr>
        <w:trPr>
          <w:trHeight w:val="71"/>
        </w:trPr>
        <w:tc>
          <w:tcPr>
            <w:tcW w:w="70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51"/>
        </w:trPr>
        <w:tc>
          <w:tcPr>
            <w:tcW w:w="7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06"/>
        </w:trPr>
        <w:tc>
          <w:tcPr>
            <w:tcW w:w="7080" w:type="dxa"/>
            <w:vAlign w:val="bottom"/>
          </w:tcPr>
          <w:p>
            <w:pPr>
              <w:ind w:left="20"/>
              <w:spacing w:after="0"/>
              <w:rPr>
                <w:sz w:val="20"/>
                <w:szCs w:val="20"/>
                <w:color w:val="auto"/>
              </w:rPr>
            </w:pPr>
            <w:r>
              <w:rPr>
                <w:rFonts w:ascii="Arial" w:cs="Arial" w:eastAsia="Arial" w:hAnsi="Arial"/>
                <w:sz w:val="15"/>
                <w:szCs w:val="15"/>
                <w:color w:val="auto"/>
              </w:rPr>
              <w:t>Supplemental disclosure of cash flow information</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3"/>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for interest</w:t>
            </w: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2,169</w:t>
            </w:r>
          </w:p>
        </w:tc>
        <w:tc>
          <w:tcPr>
            <w:tcW w:w="440" w:type="dxa"/>
            <w:vAlign w:val="bottom"/>
            <w:tcBorders>
              <w:bottom w:val="single" w:sz="8" w:color="CCEEFF"/>
            </w:tcBorders>
            <w:gridSpan w:val="2"/>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118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182</w:t>
            </w:r>
          </w:p>
        </w:tc>
      </w:tr>
      <w:tr>
        <w:trPr>
          <w:trHeight w:val="218"/>
        </w:trPr>
        <w:tc>
          <w:tcPr>
            <w:tcW w:w="7080" w:type="dxa"/>
            <w:vAlign w:val="bottom"/>
          </w:tcPr>
          <w:p>
            <w:pPr>
              <w:ind w:left="20"/>
              <w:spacing w:after="0"/>
              <w:rPr>
                <w:sz w:val="20"/>
                <w:szCs w:val="20"/>
                <w:color w:val="auto"/>
              </w:rPr>
            </w:pPr>
            <w:r>
              <w:rPr>
                <w:rFonts w:ascii="Arial" w:cs="Arial" w:eastAsia="Arial" w:hAnsi="Arial"/>
                <w:sz w:val="15"/>
                <w:szCs w:val="15"/>
                <w:color w:val="auto"/>
              </w:rPr>
              <w:t>Cash paid for income taxes</w:t>
            </w:r>
          </w:p>
        </w:tc>
        <w:tc>
          <w:tcPr>
            <w:tcW w:w="3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545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30</w:t>
            </w:r>
          </w:p>
        </w:tc>
      </w:tr>
      <w:tr>
        <w:trPr>
          <w:trHeight w:val="31"/>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4"/>
        </w:trPr>
        <w:tc>
          <w:tcPr>
            <w:tcW w:w="70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06"/>
        </w:trPr>
        <w:tc>
          <w:tcPr>
            <w:tcW w:w="7080" w:type="dxa"/>
            <w:vAlign w:val="bottom"/>
          </w:tcPr>
          <w:p>
            <w:pPr>
              <w:ind w:left="20"/>
              <w:spacing w:after="0"/>
              <w:rPr>
                <w:sz w:val="20"/>
                <w:szCs w:val="20"/>
                <w:color w:val="auto"/>
              </w:rPr>
            </w:pPr>
            <w:r>
              <w:rPr>
                <w:rFonts w:ascii="Arial" w:cs="Arial" w:eastAsia="Arial" w:hAnsi="Arial"/>
                <w:sz w:val="15"/>
                <w:szCs w:val="15"/>
                <w:b w:val="1"/>
                <w:bCs w:val="1"/>
                <w:color w:val="auto"/>
              </w:rPr>
              <w:t>Noncash investing and financing activities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3"/>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Purchases of property and equipment included in accounts payable and accrued expenses</w:t>
            </w: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3,447</w:t>
            </w:r>
          </w:p>
        </w:tc>
        <w:tc>
          <w:tcPr>
            <w:tcW w:w="440" w:type="dxa"/>
            <w:vAlign w:val="bottom"/>
            <w:tcBorders>
              <w:bottom w:val="single" w:sz="8" w:color="CCEEFF"/>
            </w:tcBorders>
            <w:gridSpan w:val="2"/>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518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21</w:t>
            </w:r>
          </w:p>
        </w:tc>
      </w:tr>
      <w:tr>
        <w:trPr>
          <w:trHeight w:val="218"/>
        </w:trPr>
        <w:tc>
          <w:tcPr>
            <w:tcW w:w="7080" w:type="dxa"/>
            <w:vAlign w:val="bottom"/>
          </w:tcPr>
          <w:p>
            <w:pPr>
              <w:ind w:left="20"/>
              <w:spacing w:after="0"/>
              <w:rPr>
                <w:sz w:val="20"/>
                <w:szCs w:val="20"/>
                <w:color w:val="auto"/>
              </w:rPr>
            </w:pPr>
            <w:r>
              <w:rPr>
                <w:rFonts w:ascii="Arial" w:cs="Arial" w:eastAsia="Arial" w:hAnsi="Arial"/>
                <w:sz w:val="15"/>
                <w:szCs w:val="15"/>
                <w:color w:val="auto"/>
              </w:rPr>
              <w:t>Additions of capitalized software included in accrued and accrued employee expenses</w:t>
            </w:r>
          </w:p>
        </w:tc>
        <w:tc>
          <w:tcPr>
            <w:tcW w:w="3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1,187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6"/>
              <w:spacing w:after="0"/>
              <w:rPr>
                <w:sz w:val="20"/>
                <w:szCs w:val="20"/>
                <w:color w:val="auto"/>
              </w:rPr>
            </w:pPr>
            <w:r>
              <w:rPr>
                <w:rFonts w:ascii="Arial" w:cs="Arial" w:eastAsia="Arial" w:hAnsi="Arial"/>
                <w:sz w:val="15"/>
                <w:szCs w:val="15"/>
                <w:color w:val="auto"/>
              </w:rPr>
              <w:t>825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374</w:t>
            </w:r>
          </w:p>
        </w:tc>
      </w:tr>
      <w:tr>
        <w:trPr>
          <w:trHeight w:val="31"/>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Stock-based compensation capitalized for software development</w:t>
            </w: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1,844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1,087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759</w:t>
            </w:r>
          </w:p>
        </w:tc>
      </w:tr>
      <w:tr>
        <w:trPr>
          <w:trHeight w:val="218"/>
        </w:trPr>
        <w:tc>
          <w:tcPr>
            <w:tcW w:w="7080" w:type="dxa"/>
            <w:vAlign w:val="bottom"/>
          </w:tcPr>
          <w:p>
            <w:pPr>
              <w:ind w:left="20"/>
              <w:spacing w:after="0"/>
              <w:rPr>
                <w:sz w:val="20"/>
                <w:szCs w:val="20"/>
                <w:color w:val="auto"/>
              </w:rPr>
            </w:pPr>
            <w:r>
              <w:rPr>
                <w:rFonts w:ascii="Arial" w:cs="Arial" w:eastAsia="Arial" w:hAnsi="Arial"/>
                <w:sz w:val="15"/>
                <w:szCs w:val="15"/>
                <w:color w:val="auto"/>
              </w:rPr>
              <w:t>Purchase consideration for acquisitions included in other current liabilities</w:t>
            </w:r>
          </w:p>
        </w:tc>
        <w:tc>
          <w:tcPr>
            <w:tcW w:w="340" w:type="dxa"/>
            <w:vAlign w:val="bottom"/>
          </w:tcPr>
          <w:p>
            <w:pPr>
              <w:spacing w:after="0"/>
              <w:rPr>
                <w:sz w:val="18"/>
                <w:szCs w:val="18"/>
                <w:color w:val="auto"/>
              </w:rPr>
            </w:pPr>
          </w:p>
        </w:tc>
        <w:tc>
          <w:tcPr>
            <w:tcW w:w="1060" w:type="dxa"/>
            <w:vAlign w:val="bottom"/>
          </w:tcPr>
          <w:p>
            <w:pPr>
              <w:jc w:val="right"/>
              <w:ind w:right="46"/>
              <w:spacing w:after="0"/>
              <w:rPr>
                <w:sz w:val="20"/>
                <w:szCs w:val="20"/>
                <w:color w:val="auto"/>
              </w:rPr>
            </w:pPr>
            <w:r>
              <w:rPr>
                <w:rFonts w:ascii="Arial" w:cs="Arial" w:eastAsia="Arial" w:hAnsi="Arial"/>
                <w:sz w:val="15"/>
                <w:szCs w:val="15"/>
                <w:color w:val="auto"/>
              </w:rPr>
              <w:t>5,977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31"/>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8"/>
        </w:trPr>
        <w:tc>
          <w:tcPr>
            <w:tcW w:w="7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Debt issuance and other financing costs accrued, not paid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31"/>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The following table presents a reconciliation of cash, cash equivalents and restricted cash reported within the Consolidated Balance Sheets to the total of the same such amounts shown above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41"/>
        </w:trPr>
        <w:tc>
          <w:tcPr>
            <w:tcW w:w="70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2017</w:t>
            </w:r>
          </w:p>
        </w:tc>
      </w:tr>
      <w:tr>
        <w:trPr>
          <w:trHeight w:val="22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15,813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74,076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16,109</w:t>
            </w:r>
          </w:p>
        </w:tc>
      </w:tr>
      <w:tr>
        <w:trPr>
          <w:trHeight w:val="224"/>
        </w:trPr>
        <w:tc>
          <w:tcPr>
            <w:tcW w:w="7080" w:type="dxa"/>
            <w:vAlign w:val="bottom"/>
          </w:tcPr>
          <w:p>
            <w:pPr>
              <w:ind w:left="20"/>
              <w:spacing w:after="0"/>
              <w:rPr>
                <w:sz w:val="20"/>
                <w:szCs w:val="20"/>
                <w:color w:val="auto"/>
              </w:rPr>
            </w:pPr>
            <w:r>
              <w:rPr>
                <w:rFonts w:ascii="Arial" w:cs="Arial" w:eastAsia="Arial" w:hAnsi="Arial"/>
                <w:sz w:val="17"/>
                <w:szCs w:val="17"/>
                <w:color w:val="auto"/>
              </w:rPr>
              <w:t>Restricted cash included in other assets</w:t>
            </w:r>
          </w:p>
        </w:tc>
        <w:tc>
          <w:tcPr>
            <w:tcW w:w="34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7"/>
                <w:szCs w:val="17"/>
                <w:color w:val="auto"/>
              </w:rPr>
              <w:t>434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44"/>
              <w:spacing w:after="0"/>
              <w:rPr>
                <w:sz w:val="20"/>
                <w:szCs w:val="20"/>
                <w:color w:val="auto"/>
              </w:rPr>
            </w:pPr>
            <w:r>
              <w:rPr>
                <w:rFonts w:ascii="Arial" w:cs="Arial" w:eastAsia="Arial" w:hAnsi="Arial"/>
                <w:sz w:val="17"/>
                <w:szCs w:val="17"/>
                <w:color w:val="auto"/>
              </w:rPr>
              <w:t>430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427</w:t>
            </w:r>
          </w:p>
        </w:tc>
      </w:tr>
      <w:tr>
        <w:trPr>
          <w:trHeight w:val="25"/>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5"/>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cash equivalents and restricted cash</w:t>
            </w:r>
          </w:p>
        </w:tc>
        <w:tc>
          <w:tcPr>
            <w:tcW w:w="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16,247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7"/>
                <w:szCs w:val="17"/>
                <w:color w:val="auto"/>
              </w:rPr>
              <w:t>74,506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16,536</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the Consolidated Financial Statements are an integral part of these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82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APPFOLIO,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AUDITED FINANCIAL STATEMENTS</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w:t>
      </w:r>
    </w:p>
    <w:p>
      <w:pPr>
        <w:spacing w:after="0" w:line="107"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AppFolio, Inc.'s (“we,” "us" or "our") mission is to revolutionize vertical industry businesses by providing great software and services. Today we offer industry-specific, cloud-based business software solutions, services and data analytics to the real estate market, which represents over 90% of our revenue, and, to a lesser extent, to the legal market.</w:t>
      </w:r>
    </w:p>
    <w:p>
      <w:pPr>
        <w:spacing w:after="0" w:line="76" w:lineRule="exact"/>
        <w:rPr>
          <w:sz w:val="20"/>
          <w:szCs w:val="20"/>
          <w:color w:val="auto"/>
        </w:rPr>
      </w:pPr>
    </w:p>
    <w:p>
      <w:pPr>
        <w:jc w:val="both"/>
        <w:ind w:firstLine="597"/>
        <w:spacing w:after="0" w:line="285" w:lineRule="auto"/>
        <w:rPr>
          <w:sz w:val="20"/>
          <w:szCs w:val="20"/>
          <w:color w:val="auto"/>
        </w:rPr>
      </w:pPr>
      <w:r>
        <w:rPr>
          <w:rFonts w:ascii="Arial" w:cs="Arial" w:eastAsia="Arial" w:hAnsi="Arial"/>
          <w:sz w:val="15"/>
          <w:szCs w:val="15"/>
          <w:color w:val="auto"/>
        </w:rPr>
        <w:t>Our real estate software solutions provide our property management customers with a system of record to automate essential business processes, a system of engagement to enhance business interactions between our customers and their clients and other stakeholders, and a system of intelligence designed to leverage data to predict and optimize business workflows in order to enable superior customer experiences and increase efficiency across our customers' businesses. Although specific functionality varies by product, our core solutions address common business operations and interactions of businesses in our targeted verticals. In addition to our core solutions, we offer a range of optional, but often business-critical, Value+ services. Our Value+ services are built to enhance, automate and streamline property management processes and support workflows essential to our customers' businesses. We also provide software solutions to the legal market that enable law firms to administer their practice and manage their caseloads more efficiently by centralizing case details in a single system of record and system of engagement.</w:t>
      </w:r>
    </w:p>
    <w:p>
      <w:pPr>
        <w:spacing w:after="0" w:line="59" w:lineRule="exact"/>
        <w:rPr>
          <w:sz w:val="20"/>
          <w:szCs w:val="20"/>
          <w:color w:val="auto"/>
        </w:rPr>
      </w:pPr>
    </w:p>
    <w:p>
      <w:pPr>
        <w:jc w:val="both"/>
        <w:ind w:firstLine="597"/>
        <w:spacing w:after="0" w:line="304" w:lineRule="auto"/>
        <w:rPr>
          <w:sz w:val="20"/>
          <w:szCs w:val="20"/>
          <w:color w:val="auto"/>
        </w:rPr>
      </w:pPr>
      <w:r>
        <w:rPr>
          <w:rFonts w:ascii="Arial" w:cs="Arial" w:eastAsia="Arial" w:hAnsi="Arial"/>
          <w:sz w:val="15"/>
          <w:szCs w:val="15"/>
          <w:color w:val="auto"/>
        </w:rPr>
        <w:t>The significant majority of our customers in the real estate market use our property management solutions. Our property management customers include third-party property managers and owner-operators who manage single- and mutli- family residences, community associations, commercial properties, and student housing, as well as mixed real estate portfolios. Our legal customers are typically small law firms that directly and indirectly account for less than 10% of our annual revenue.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Basis of Presentation and Significant Accounting Policies</w:t>
      </w:r>
    </w:p>
    <w:p>
      <w:pPr>
        <w:spacing w:after="0" w:line="202"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The accompanying Consolidated Financial Statements were prepared in accordance with accounting principles generally accepted in the United States of America (“GAAP”).</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02"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The accompanying Consolidated Financial Statements include the operations of AppFolio, Inc. and its wholly owned subsidiaries. All intercompany balances and transactions have been eliminated in consolidation.</w:t>
      </w:r>
    </w:p>
    <w:p>
      <w:pPr>
        <w:spacing w:after="0" w:line="130"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Our investment in SecureDocs, Inc. (“SecureDocs”) is accounted for under the equity method of accounting as we have the ability to exert significant influence, but do not control and are not the primary beneficiary of the entity. Our investment in SecureDocs is not material and any income (loss) activity is not material individually or in the aggregate to our Consolidated Financial Statements for any period presented.</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02"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 Actual results could differ materially from those estimates. Assets and liabilities which are subject to judgment and use of estimates include the fair value of assets and liabilities assumed in business combinations, fair value of financial instruments, capitalized software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and valuation and assumptions underlying stock-based compensation and other equity instruments. On an ongoing basis, management evaluates its estimates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571" w:right="239" w:bottom="1440" w:gutter="0" w:footer="0" w:header="0"/>
        </w:sectPr>
      </w:pPr>
    </w:p>
    <w:bookmarkStart w:id="64" w:name="page65"/>
    <w:bookmarkEnd w:id="64"/>
    <w:p>
      <w:pPr>
        <w:ind w:left="600"/>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03"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Our chief operating decision maker reviews financial information presented on an aggregated and consolidated basis, together with revenue information for our core solutions, Value+ and other service offerings, principally to make decisions about how to allocate resources and to measure our performance. Accordingly, management has determined that we have one reportable and operating segment.</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202"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Financial instruments that potentially subject us to credit risk consist principally of cash, accounts receivable, investment securities and notes receivable. We maintain cash balances at financial institutions in excess of amounts insured by United States government agencies or payable by the United States government directly. We place our cash with high credit, quality financial institutions. We invest in investment securities with a minimum rating of A by Standard &amp; Poor's or A-1 by Moody's and regularly monitor our investment security portfolio for changes in credit ratings.</w:t>
      </w:r>
    </w:p>
    <w:p>
      <w:pPr>
        <w:spacing w:after="0" w:line="243"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6"/>
          <w:szCs w:val="16"/>
          <w:color w:val="auto"/>
        </w:rPr>
        <w:t>Concentrations of credit risk with respect to accounts receivable and revenue are limited due to a large, diverse customer base. No individual customer represented 10% or more of accounts receivable at December 31, 2019 and 2018 or revenue for the years ended December 31, 2019, 2018 and 2017.</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03"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7"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6"/>
          <w:szCs w:val="16"/>
          <w:color w:val="auto"/>
        </w:rPr>
        <w:t xml:space="preserve">Valuation techniques used to measure fair value must maximize the use of observable inputs and minimize the use of unobservable inputs. Accounting Standard Codification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describes a fair value hierarchy based on three levels of inputs, of which the first two are considered observable and the last unobservable, that may be used to measure fair value, which are the following:</w:t>
      </w:r>
    </w:p>
    <w:p>
      <w:pPr>
        <w:spacing w:after="0" w:line="59" w:lineRule="exact"/>
        <w:rPr>
          <w:sz w:val="20"/>
          <w:szCs w:val="20"/>
          <w:color w:val="auto"/>
        </w:rPr>
      </w:pPr>
    </w:p>
    <w:p>
      <w:pPr>
        <w:ind w:left="140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Quoted prices in active markets for identical assets or liabilities or funds.</w:t>
      </w:r>
    </w:p>
    <w:p>
      <w:pPr>
        <w:spacing w:after="0" w:line="103" w:lineRule="exact"/>
        <w:rPr>
          <w:sz w:val="20"/>
          <w:szCs w:val="20"/>
          <w:color w:val="auto"/>
        </w:rPr>
      </w:pPr>
    </w:p>
    <w:p>
      <w:pPr>
        <w:jc w:val="both"/>
        <w:ind w:left="800" w:firstLine="597"/>
        <w:spacing w:after="0" w:line="254"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Inputs other than Level 1 that are observable, either directly or indirectly, such as quoted prices for similar assets or liabilities; quoted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in markets that are not active; or other inputs that are observable or can be corroborated by observable market data for substantially the full term of the assets or liabilities.</w:t>
      </w:r>
    </w:p>
    <w:p>
      <w:pPr>
        <w:spacing w:after="0" w:line="76" w:lineRule="exact"/>
        <w:rPr>
          <w:sz w:val="20"/>
          <w:szCs w:val="20"/>
          <w:color w:val="auto"/>
        </w:rPr>
      </w:pPr>
    </w:p>
    <w:p>
      <w:pPr>
        <w:ind w:left="600" w:right="460" w:firstLine="796"/>
        <w:spacing w:after="0" w:line="462"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Cash, Cash Equivalents and Restricted Cash</w:t>
      </w:r>
    </w:p>
    <w:p>
      <w:pPr>
        <w:spacing w:after="0" w:line="6"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6"/>
          <w:szCs w:val="16"/>
          <w:color w:val="auto"/>
        </w:rPr>
        <w:t>We consider all highly liquid investments, readily convertible to cash, and which have a remaining maturity date of three months or less at the date of purchase, to be cash equivalents. Cash and cash equivalents are recorded at fair value and consist primarily of bank deposits and money market funds.</w:t>
      </w:r>
    </w:p>
    <w:p>
      <w:pPr>
        <w:spacing w:after="0" w:line="145" w:lineRule="exact"/>
        <w:rPr>
          <w:sz w:val="20"/>
          <w:szCs w:val="20"/>
          <w:color w:val="auto"/>
        </w:rPr>
      </w:pPr>
    </w:p>
    <w:p>
      <w:pPr>
        <w:jc w:val="both"/>
        <w:ind w:firstLine="597"/>
        <w:spacing w:after="0" w:line="331" w:lineRule="auto"/>
        <w:rPr>
          <w:sz w:val="20"/>
          <w:szCs w:val="20"/>
          <w:color w:val="auto"/>
        </w:rPr>
      </w:pPr>
      <w:r>
        <w:rPr>
          <w:rFonts w:ascii="Arial" w:cs="Arial" w:eastAsia="Arial" w:hAnsi="Arial"/>
          <w:sz w:val="15"/>
          <w:szCs w:val="15"/>
          <w:color w:val="auto"/>
        </w:rPr>
        <w:t>Restricted cash of $0.4 million at December 31, 2019 and 2018, is comprised of certificates of deposits relating to collateral requirements for customer automated clearing house and credit card chargebacks and minimum collateral requirements for our insurance services, which are recorded in other long-term assets.</w:t>
      </w:r>
    </w:p>
    <w:p>
      <w:pPr>
        <w:spacing w:after="0" w:line="8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Investment Securities</w:t>
      </w:r>
    </w:p>
    <w:p>
      <w:pPr>
        <w:spacing w:after="0" w:line="202"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color w:val="auto"/>
        </w:rPr>
        <w:t>Our investment securities currently consist of corporate bonds, United States government agency securities ("Agency Securities") and treasury securities. We classify investment securities as available-for-sale at the time of purchase and reevaluate such classification at each balance sheet date. All investments are recorded at estimated fair value. Unrealized gains and losses for available-for-sale investment securities are included in accumulated other comprehensive income (loss), a component of stockholders’ equity. We classify our investments as current when the period of time between the reporting date and the contractual maturity is twelve months or less and as noncurrent when the period of time between the reporting date and the contractual maturity is more than twelve months.</w:t>
      </w:r>
    </w:p>
    <w:p>
      <w:pPr>
        <w:spacing w:after="0" w:line="276"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We evaluate our investments to assess whether those with unrealized loss positions are other than temporarily impaired. We consider impairments to be other than temporary if they are related to deterioration in credit risk or if it is likely we will sell the securities before the recovery of their cost basis. Declines in value judged to be other than temporary are determined based on the specific identification method and are reported in other income (expense), net in the Consolidated Statements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674" w:right="239" w:bottom="1440" w:gutter="0" w:footer="0" w:header="0"/>
        </w:sectPr>
      </w:pPr>
    </w:p>
    <w:bookmarkStart w:id="65" w:name="page66"/>
    <w:bookmarkEnd w:id="65"/>
    <w:p>
      <w:pPr>
        <w:ind w:left="600"/>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202" w:lineRule="exact"/>
        <w:rPr>
          <w:sz w:val="20"/>
          <w:szCs w:val="20"/>
          <w:color w:val="auto"/>
        </w:rPr>
      </w:pPr>
    </w:p>
    <w:p>
      <w:pPr>
        <w:jc w:val="both"/>
        <w:ind w:firstLine="597"/>
        <w:spacing w:after="0" w:line="271" w:lineRule="auto"/>
        <w:rPr>
          <w:sz w:val="20"/>
          <w:szCs w:val="20"/>
          <w:color w:val="auto"/>
        </w:rPr>
      </w:pPr>
      <w:r>
        <w:rPr>
          <w:rFonts w:ascii="Arial" w:cs="Arial" w:eastAsia="Arial" w:hAnsi="Arial"/>
          <w:sz w:val="16"/>
          <w:szCs w:val="16"/>
          <w:color w:val="auto"/>
        </w:rPr>
        <w:t>Accounts receivable are recorded at the invoiced amount, net of an allowance for doubtful accounts. The allowance for doubtful accounts is based on historical loss experience, the number of days that receivables are past due, and an evaluation of the potential risk of loss associated with delinquent accounts. Accounts receivable considered uncollectible are charged against the allowance for doubtful accounts when identified. We do not have any off-balance sheet credit exposure related to our customers. At December 31, 2019 and 2018, our allowance for doubtful accounts was not material.</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03"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Property and equipment is stated at cost, less accumulated depreciation. Depreciation is calculated using the straight-line method over the estimated useful lives of assets. The estimated useful lives of our property and equipment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gridSpan w:val="2"/>
          </w:tcPr>
          <w:p>
            <w:pPr>
              <w:ind w:left="2360"/>
              <w:spacing w:after="0"/>
              <w:rPr>
                <w:sz w:val="20"/>
                <w:szCs w:val="20"/>
                <w:color w:val="auto"/>
              </w:rPr>
            </w:pPr>
            <w:r>
              <w:rPr>
                <w:rFonts w:ascii="Arial" w:cs="Arial" w:eastAsia="Arial" w:hAnsi="Arial"/>
                <w:sz w:val="17"/>
                <w:szCs w:val="17"/>
                <w:b w:val="1"/>
                <w:bCs w:val="1"/>
                <w:color w:val="auto"/>
              </w:rPr>
              <w:t>Asset Type</w:t>
            </w:r>
          </w:p>
        </w:tc>
        <w:tc>
          <w:tcPr>
            <w:tcW w:w="5580" w:type="dxa"/>
            <w:vAlign w:val="bottom"/>
          </w:tcPr>
          <w:p>
            <w:pPr>
              <w:jc w:val="center"/>
              <w:spacing w:after="0"/>
              <w:rPr>
                <w:sz w:val="20"/>
                <w:szCs w:val="20"/>
                <w:color w:val="auto"/>
              </w:rPr>
            </w:pPr>
            <w:r>
              <w:rPr>
                <w:rFonts w:ascii="Arial" w:cs="Arial" w:eastAsia="Arial" w:hAnsi="Arial"/>
                <w:sz w:val="17"/>
                <w:szCs w:val="17"/>
                <w:b w:val="1"/>
                <w:bCs w:val="1"/>
                <w:color w:val="auto"/>
                <w:w w:val="88"/>
              </w:rPr>
              <w:t>Depreciation Period</w:t>
            </w:r>
          </w:p>
        </w:tc>
      </w:tr>
      <w:tr>
        <w:trPr>
          <w:trHeight w:val="25"/>
        </w:trPr>
        <w:tc>
          <w:tcPr>
            <w:tcW w:w="55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21"/>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Data center and computer equipment</w:t>
            </w:r>
          </w:p>
        </w:tc>
        <w:tc>
          <w:tcPr>
            <w:tcW w:w="5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2"/>
              </w:rPr>
              <w:t>3 years</w:t>
            </w:r>
          </w:p>
        </w:tc>
      </w:tr>
      <w:tr>
        <w:trPr>
          <w:trHeight w:val="22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Furniture and fixtures</w:t>
            </w:r>
          </w:p>
        </w:tc>
        <w:tc>
          <w:tcPr>
            <w:tcW w:w="5580" w:type="dxa"/>
            <w:vAlign w:val="bottom"/>
          </w:tcPr>
          <w:p>
            <w:pPr>
              <w:jc w:val="center"/>
              <w:spacing w:after="0"/>
              <w:rPr>
                <w:sz w:val="20"/>
                <w:szCs w:val="20"/>
                <w:color w:val="auto"/>
              </w:rPr>
            </w:pPr>
            <w:r>
              <w:rPr>
                <w:rFonts w:ascii="Arial" w:cs="Arial" w:eastAsia="Arial" w:hAnsi="Arial"/>
                <w:sz w:val="17"/>
                <w:szCs w:val="17"/>
                <w:color w:val="auto"/>
                <w:w w:val="82"/>
              </w:rPr>
              <w:t>7 years</w:t>
            </w:r>
          </w:p>
        </w:tc>
      </w:tr>
      <w:tr>
        <w:trPr>
          <w:trHeight w:val="25"/>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29"/>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Office equipment</w:t>
            </w:r>
          </w:p>
        </w:tc>
        <w:tc>
          <w:tcPr>
            <w:tcW w:w="5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2 to 5 years</w:t>
            </w:r>
          </w:p>
        </w:tc>
      </w:tr>
      <w:tr>
        <w:trPr>
          <w:trHeight w:val="22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5580" w:type="dxa"/>
            <w:vAlign w:val="bottom"/>
          </w:tcPr>
          <w:p>
            <w:pPr>
              <w:jc w:val="center"/>
              <w:spacing w:after="0"/>
              <w:rPr>
                <w:sz w:val="20"/>
                <w:szCs w:val="20"/>
                <w:color w:val="auto"/>
              </w:rPr>
            </w:pPr>
            <w:r>
              <w:rPr>
                <w:rFonts w:ascii="Arial" w:cs="Arial" w:eastAsia="Arial" w:hAnsi="Arial"/>
                <w:sz w:val="17"/>
                <w:szCs w:val="17"/>
                <w:color w:val="auto"/>
                <w:w w:val="89"/>
              </w:rPr>
              <w:t>Shorter of remaining life of lease or asset life</w:t>
            </w:r>
          </w:p>
        </w:tc>
      </w:tr>
    </w:tbl>
    <w:p>
      <w:pPr>
        <w:spacing w:after="0" w:line="200" w:lineRule="exact"/>
        <w:rPr>
          <w:sz w:val="20"/>
          <w:szCs w:val="20"/>
          <w:color w:val="auto"/>
        </w:rPr>
      </w:pPr>
    </w:p>
    <w:p>
      <w:pPr>
        <w:spacing w:after="0" w:line="210"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Repair and maintenance costs are expensed as incurred. Renewals and improvements are capitalized. Assets disposed of or retired are removed from the cost and accumulated depreciation accounts and any resulting gain or loss is reflected in our results of operations.</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Leases</w:t>
      </w:r>
    </w:p>
    <w:p>
      <w:pPr>
        <w:spacing w:after="0" w:line="128"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6"/>
          <w:szCs w:val="16"/>
          <w:color w:val="auto"/>
        </w:rPr>
        <w:t>We determine if an arrangement is a lease at inception. Operating leases are included in prepaid expenses and other current assets, operating lease right-of-use (“ROU”) assets, other current liabilities, and operating lease liabilities on our Consolidated Balance Sheets. Operating lease ROU assets and operating lease liabilities are recognized based on the present value of the future minimum lease payments, over the lease term at commencement date. As none of our leases provide an implicit rate, we use our incremental borrowing rate based on the information available at commencement date in determining the present value of future payments. The operating lease ROU assets also include any lease payments made and excludes lease incentives received and initial direct costs incurred. Our lease terms may include options to extend or terminate the lease when it is reasonably certain that we will exercise that option.</w:t>
      </w:r>
    </w:p>
    <w:p>
      <w:pPr>
        <w:spacing w:after="0" w:line="169"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Lease expense for minimum lease payments is recognized on a straight-line basis over the lease term. We have lease arrangements with lease and non-lease components, which are generally accounted for as a single lease component. Leases with an initial term of twelve months or less are not recorded on the balance sheet; we recognize lease expense for these leases on a straight-line basis over the lease term.</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Capitalized Software Development Costs</w:t>
      </w:r>
    </w:p>
    <w:p>
      <w:pPr>
        <w:spacing w:after="0" w:line="265"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Software development cost consist of certain payroll and stock compensation costs incurred to develop functionality of our internal-use software solutions. We capitalize certain software development costs for new offerings as well as significant upgrades and enhancements to our existing software solutions. Capitalized software development costs are amortized using the straight-line method over an estimated useful life of three years. We do not transfer ownership of our software, or lease our software, to third parties. We believe there are two key estimates within the capitalized software balance, which are the determination of the useful life of the software and the determination of the amounts to be capitalized.</w:t>
      </w:r>
    </w:p>
    <w:p>
      <w:pPr>
        <w:spacing w:after="0" w:line="80"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We determined that a three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three years before being significantly replaced or modified to keep up with evolving customer and company needs. While we do not anticipate any significant changes to this three year estimate, a change in this estimate could produce a material impact on our financial statements.</w:t>
      </w:r>
    </w:p>
    <w:p>
      <w:pPr>
        <w:spacing w:after="0" w:line="80"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We determine the amount of internal software costs to be capitalized based on the amount of time spent by our software engineers on projects. Costs associated with building or significantly enhancing our software solutions and new internally built software solutions are capitalized, while costs associated with planning new developments and maintaining our software solutions are expensed as incurred.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736" w:right="239" w:bottom="1440" w:gutter="0" w:footer="0" w:header="0"/>
        </w:sectPr>
      </w:pPr>
    </w:p>
    <w:bookmarkStart w:id="66" w:name="page67"/>
    <w:bookmarkEnd w:id="66"/>
    <w:p>
      <w:pPr>
        <w:ind w:left="600"/>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03"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Goodwill represents the excess of the purchase price over the estimated fair value of the net tangible and identifiable intangible assets acquired in business combinations. Goodwill is tested for impairment at least annually at the reporting unit level or at other times if an event occurs or circumstances change that would more likely than not reduce the fair value of a reporting unit below its carrying amount.</w:t>
      </w:r>
    </w:p>
    <w:p>
      <w:pPr>
        <w:spacing w:after="0" w:line="76"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We have the option to assess goodwill for possible impairment by performing a qualitative analysis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that the reporting unit’s carrying value exceeds its fair value.</w:t>
      </w:r>
    </w:p>
    <w:p>
      <w:pPr>
        <w:spacing w:after="0" w:line="130"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We have one reporting unit and we test for goodwill impairment annually during the fourth quarter of the calendar year. Based on the assessment performed November 1, 2019, we determined it was unlikely that our reporting unit fair value was less than its carrying value and no quantitative impairment test assessment was required. There were no indicators that our goodwill has become impaired since that date, and as such, there was no impairment of goodwill as of November 1, 2019 or December 31, 2019.</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 impairment losses were recorded for goodwill during the years ended December 31, 2019, 2018 and 2017.</w:t>
      </w:r>
    </w:p>
    <w:p>
      <w:pPr>
        <w:spacing w:after="0" w:line="153"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Intangible assets primarily consist of acquired database and technology, non-compete agreements, customer and partner relationships, trademarks, domain names and patents, which are recorded at cost, less accumulated amortization. We determine the appropriate useful life of our intangible assets by performing an analysis of expected cash flows of the acquired assets. Intangible assets are amortized over their estimated useful lives on a straight-line basis, which approximates the pattern in which the economic benefits of the assets are consumed.</w:t>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66"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We assess the recoverability of our long-lived assets when events or changes in circumstances indicate that the carrying value of an asset may not be recoverable or that the useful lives of those assets are no longer appropriate. An impairment charge would be recognized when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 There were no impairment charges related to the identified long-lived assets for the years ended December 31, 2019, 2018 and 2017.</w:t>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66"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6"/>
          <w:szCs w:val="16"/>
          <w:color w:val="auto"/>
        </w:rPr>
        <w:t>The results of a business acquired in a business combination are included in our Consolidated Financial Statements from the date of acquisition. We allocate the purchase price, including the fair value of contingent consideration, to the identifiable assets and liabilities of the acquired business at their acquisition date fair values. The excess of the purchase price over the amount allocated to the identifiable assets and liabilities, if any, is recorded as goodwill.</w:t>
      </w:r>
    </w:p>
    <w:p>
      <w:pPr>
        <w:spacing w:after="0" w:line="122"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 The Company engages the assistance of valuation specialists in concluding on fair value measurements in connection with determining fair values of assets acquired and liabilities assumed in a business combination.</w:t>
      </w:r>
    </w:p>
    <w:p>
      <w:pPr>
        <w:spacing w:after="0" w:line="143"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Acquisition-related transaction costs are not included as a component of consideration transferred, but are accounted for as an operating expense in the period in which the costs are incurred.</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3"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color w:val="auto"/>
        </w:rPr>
        <w:t xml:space="preserve">We generate revenue from our customers primarily for subscriptions to access our core solutions and Value+ services for our cloud-based software solutions. Revenue is recognized upon transfer of control of promised services in an amount that reflects the consideration we expect to receive in exchange for those services. We enter into contracts that can include various combinations of services, which are generally capable of being distinct, distinct within the context of the contract, and accounted for as separate performance obligations. Revenue is recognized net of any taxes collected from customers, which are subsequently remitted to governmental authorities. Refer to Note 14, </w:t>
      </w:r>
      <w:r>
        <w:rPr>
          <w:rFonts w:ascii="Arial" w:cs="Arial" w:eastAsia="Arial" w:hAnsi="Arial"/>
          <w:sz w:val="15"/>
          <w:szCs w:val="15"/>
          <w:i w:val="1"/>
          <w:iCs w:val="1"/>
          <w:color w:val="auto"/>
        </w:rPr>
        <w:t>Revenue and Other Information</w:t>
      </w:r>
      <w:r>
        <w:rPr>
          <w:rFonts w:ascii="Arial" w:cs="Arial" w:eastAsia="Arial" w:hAnsi="Arial"/>
          <w:sz w:val="15"/>
          <w:szCs w:val="15"/>
          <w:color w:val="auto"/>
        </w:rPr>
        <w:t xml:space="preserve"> for the disaggregated breakdown of revenue between core solutions, Value+ services and other revenue.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674" w:right="239" w:bottom="1440" w:gutter="0" w:footer="0" w:header="0"/>
        </w:sectPr>
      </w:pPr>
    </w:p>
    <w:bookmarkStart w:id="67" w:name="page68"/>
    <w:bookmarkEnd w:id="67"/>
    <w:p>
      <w:pPr>
        <w:ind w:left="600"/>
        <w:spacing w:after="0"/>
        <w:rPr>
          <w:sz w:val="20"/>
          <w:szCs w:val="20"/>
          <w:color w:val="auto"/>
        </w:rPr>
      </w:pPr>
      <w:r>
        <w:rPr>
          <w:rFonts w:ascii="Arial" w:cs="Arial" w:eastAsia="Arial" w:hAnsi="Arial"/>
          <w:sz w:val="17"/>
          <w:szCs w:val="17"/>
          <w:i w:val="1"/>
          <w:iCs w:val="1"/>
          <w:color w:val="auto"/>
        </w:rPr>
        <w:t>Core Solutions</w:t>
      </w:r>
    </w:p>
    <w:p>
      <w:pPr>
        <w:spacing w:after="0" w:line="202" w:lineRule="exact"/>
        <w:rPr>
          <w:sz w:val="20"/>
          <w:szCs w:val="20"/>
          <w:color w:val="auto"/>
        </w:rPr>
      </w:pPr>
    </w:p>
    <w:p>
      <w:pPr>
        <w:jc w:val="both"/>
        <w:ind w:firstLine="597"/>
        <w:spacing w:after="0" w:line="248" w:lineRule="auto"/>
        <w:rPr>
          <w:sz w:val="20"/>
          <w:szCs w:val="20"/>
          <w:color w:val="auto"/>
        </w:rPr>
      </w:pPr>
      <w:r>
        <w:rPr>
          <w:rFonts w:ascii="Arial" w:cs="Arial" w:eastAsia="Arial" w:hAnsi="Arial"/>
          <w:sz w:val="17"/>
          <w:szCs w:val="17"/>
          <w:color w:val="auto"/>
        </w:rPr>
        <w:t>We charge our customers on a subscription basis for our core solutions. Our subscription fees are designed to scale to the size of our customers' businesses. Subscription fees for our core solutions are charged on a per-unit per-month basis for our property management software solution and on a per-user per-month basis for our legal software solution. Our customers do not have rights to the underlying software code of our solutions, and, accordingly, we recognize subscription revenue over time on a straight-line basis over the contract term beginning on the date that our service is made available to the customer. The term of our core solutions subscription agreements typically ranges from one month to one year. We typically invoice our customers for subscription services in monthly or annual installments, in advance of the subscription period.</w:t>
      </w:r>
    </w:p>
    <w:p>
      <w:pPr>
        <w:spacing w:after="0" w:line="305"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Value+ Services</w:t>
      </w:r>
    </w:p>
    <w:p>
      <w:pPr>
        <w:spacing w:after="0" w:line="202" w:lineRule="exact"/>
        <w:rPr>
          <w:sz w:val="20"/>
          <w:szCs w:val="20"/>
          <w:color w:val="auto"/>
        </w:rPr>
      </w:pPr>
    </w:p>
    <w:p>
      <w:pPr>
        <w:jc w:val="both"/>
        <w:ind w:firstLine="597"/>
        <w:spacing w:after="0" w:line="287" w:lineRule="auto"/>
        <w:rPr>
          <w:sz w:val="20"/>
          <w:szCs w:val="20"/>
          <w:color w:val="auto"/>
        </w:rPr>
      </w:pPr>
      <w:r>
        <w:rPr>
          <w:rFonts w:ascii="Arial" w:cs="Arial" w:eastAsia="Arial" w:hAnsi="Arial"/>
          <w:sz w:val="15"/>
          <w:szCs w:val="15"/>
          <w:color w:val="auto"/>
        </w:rPr>
        <w:t>We charge our customers on a subscription or usage basis for our Value+ services. Subscription-based fees are charged on a per-unit basis. We typically invoice our customers for subscription-based services in monthly installments, in advance of the subscription period. We recognize revenue for subscription-based services over time on a straight-line basis over the contract term beginning on the date that our service is made available to the customer. Usage-based fees are charged on a flat rate per transaction basis with no minimum usage commitments. We recognize revenue for usage-based services in the period the service is rendered. We generally invoice our customers for usage-based services on a monthly basis for services rendered in the preceding month. In addition, some subscription or usage-based Value+ services, such as fees for electronic payment services, are paid by either our customers or clients of our customers at the time the services are rendered.</w:t>
      </w:r>
    </w:p>
    <w:p>
      <w:pPr>
        <w:spacing w:after="0" w:line="56"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We work with third-party partners to provide certain of our Value+ services. For these Value+ services, we evaluate whether we are the principal, and report revenue on a gross basis, or the agent, and report revenue on a net basis. In this assessment we consider if we obtain control of the specified services before they are transferred to the customer, as well as other indicators such as whether we are the party primarily responsible for fulfillment, and whether we have discretion in establishing price.</w:t>
      </w:r>
    </w:p>
    <w:p>
      <w:pPr>
        <w:spacing w:after="0" w:line="305"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Other Revenue</w:t>
      </w:r>
    </w:p>
    <w:p>
      <w:pPr>
        <w:spacing w:after="0" w:line="202"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Other revenue include fees from one-time services related to the implementation of our software solutions and other recurring or one-time fees related to our customers who are not otherwise using our core solutions. This includes legacy customers of businesses we have acquired where the customers haven't migrated to our core solutions. The fees for implementation and data migration services are billed upon signing our core subscription contract and are not recognized until the core solution is accessible and fully functional for our customer's use. Other services are billed when the services rendered are completed and delivered to the customer or billed in advance and deferred over the subscription period.</w:t>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Contracts with Multiple Performance Obligations</w:t>
      </w:r>
    </w:p>
    <w:p>
      <w:pPr>
        <w:spacing w:after="0" w:line="202"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Many of our contracts with customers contain multiple performance obligations. Determining whether products and services are considered distinct performance obligations that should be accounted for separately versus together may require judgment. We account for individual performance obligations separately if they are distinct. The performance obligations for these contracts include access and use of our core solutions, implementation services, and customer support. Access and use of our core solutions and implementation services are considered distinct.</w:t>
      </w:r>
    </w:p>
    <w:p>
      <w:pPr>
        <w:spacing w:after="0" w:line="243"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The transaction price is allocated to each performance obligation on a relative standalone selling price basis. Judgment is required to determine the standalone selling price for each distinct performance obligation. We typically have more than one standalone selling price for individual products and services due to the stratification of those products and services by customers and circumstances. In these instances, we determine the standalone selling price based on our overall pricing objectives, taking into consideration customer demographics and other factors. Fees are fixed based on rates specified in the subscription agreements, which do not provide for any refunds or adjustments.</w:t>
      </w:r>
    </w:p>
    <w:p>
      <w:pPr>
        <w:spacing w:after="0" w:line="24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Deferred Revenue</w:t>
      </w:r>
    </w:p>
    <w:p>
      <w:pPr>
        <w:spacing w:after="0" w:line="327" w:lineRule="exact"/>
        <w:rPr>
          <w:sz w:val="20"/>
          <w:szCs w:val="20"/>
          <w:color w:val="auto"/>
        </w:rPr>
      </w:pPr>
    </w:p>
    <w:p>
      <w:pPr>
        <w:jc w:val="both"/>
        <w:ind w:firstLine="597"/>
        <w:spacing w:after="0" w:line="331" w:lineRule="auto"/>
        <w:rPr>
          <w:sz w:val="20"/>
          <w:szCs w:val="20"/>
          <w:color w:val="auto"/>
        </w:rPr>
      </w:pPr>
      <w:r>
        <w:rPr>
          <w:rFonts w:ascii="Arial" w:cs="Arial" w:eastAsia="Arial" w:hAnsi="Arial"/>
          <w:sz w:val="15"/>
          <w:szCs w:val="15"/>
          <w:color w:val="auto"/>
        </w:rPr>
        <w:t>We record deferred revenue when cash payments are received in advance of our performance. During the twelve months ended December 31, 2019 and 2018, we recognized $3.4 million and $7.1 million, respectively, that were included in the deferred revenue balances at December 31, 2018 and 2017, respectively.</w:t>
      </w:r>
    </w:p>
    <w:p>
      <w:pPr>
        <w:spacing w:after="0" w:line="183"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Our payment terms vary by the type of our customer and the products or services offered. The time between invoicing and when payment is due is not significant. In instances where the timing of revenue recognition differs from the timing of invoicing, we have determined that our contracts do not include a significant financing component.</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Practical Expedients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736" w:right="239" w:bottom="1440" w:gutter="0" w:footer="0" w:header="0"/>
        </w:sectPr>
      </w:pPr>
    </w:p>
    <w:bookmarkStart w:id="68" w:name="page69"/>
    <w:bookmarkEnd w:id="68"/>
    <w:p>
      <w:pPr>
        <w:jc w:val="both"/>
        <w:ind w:firstLine="597"/>
        <w:spacing w:after="0" w:line="264" w:lineRule="auto"/>
        <w:rPr>
          <w:sz w:val="20"/>
          <w:szCs w:val="20"/>
          <w:color w:val="auto"/>
        </w:rPr>
      </w:pPr>
      <w:r>
        <w:rPr>
          <w:rFonts w:ascii="Arial" w:cs="Arial" w:eastAsia="Arial" w:hAnsi="Arial"/>
          <w:sz w:val="17"/>
          <w:szCs w:val="17"/>
          <w:color w:val="auto"/>
        </w:rPr>
        <w:t>In determining the transaction price, we have applied the practical expedient which allows us not to adjust the consideration for the effects of the time value of money as long as the time between when we transfer the promised service to a customer and when a customer pays is one year or less.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do not disclose the value of unsatisfied performance obligations for contracts with an original expected term of one year or less.</w:t>
      </w:r>
    </w:p>
    <w:p>
      <w:pPr>
        <w:spacing w:after="0" w:line="265"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We recognize revenue in proportion to the amount we have the right to invoice for certain core solutions and Value+ services revenue, as that amount corresponds directly with our performance completed to date.</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Deferred Costs</w:t>
      </w:r>
    </w:p>
    <w:p>
      <w:pPr>
        <w:spacing w:after="0" w:line="202"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6"/>
          <w:szCs w:val="16"/>
          <w:color w:val="auto"/>
        </w:rPr>
        <w:t xml:space="preserve">Deferred costs, which primarily consist of sales commissions, are considered incremental and recoverable costs of obtaining a contract with a customer. These costs are deferred and then amortized on a straight-line basis over a period of benefit that we have determined to be three years. We typically do not pay commissions for contract renewals. We determined the period of benefit by taking into consideration our customer contract term, the useful life of our internal-use software, average customer life, and other factors. Amortization expense for the deferred costs is allocated based on the employee's department and included within sales and marketing expense in the accompanying Consolidated Statements of Operations. Prior to the adoption of Accounting Standards Update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("ASU 2014-09" or the "New Revenue Standard")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ASU 2014-09, our commissions were expensed as incurred.</w:t>
      </w:r>
    </w:p>
    <w:p>
      <w:pPr>
        <w:spacing w:after="0" w:line="165" w:lineRule="exact"/>
        <w:rPr>
          <w:sz w:val="20"/>
          <w:szCs w:val="20"/>
          <w:color w:val="auto"/>
        </w:rPr>
      </w:pPr>
    </w:p>
    <w:p>
      <w:pPr>
        <w:jc w:val="both"/>
        <w:ind w:firstLine="597"/>
        <w:spacing w:after="0" w:line="271" w:lineRule="auto"/>
        <w:rPr>
          <w:sz w:val="20"/>
          <w:szCs w:val="20"/>
          <w:color w:val="auto"/>
        </w:rPr>
      </w:pPr>
      <w:r>
        <w:rPr>
          <w:rFonts w:ascii="Arial" w:cs="Arial" w:eastAsia="Arial" w:hAnsi="Arial"/>
          <w:sz w:val="16"/>
          <w:szCs w:val="16"/>
          <w:color w:val="auto"/>
        </w:rPr>
        <w:t>Deferred costs were $9.5 million and $7.2 million at December 31, 2019 and 2018, respectively, of which $4.8 million and $3.2 million, respectively, are included in prepaid expenses and other current assets and $4.6 million and $4.0 million, respectively, are included in other assets in the accompanying Consolidated Balance Sheets. Amortization expense for deferred costs was $4.2 million and $2.0 million for the years ended December 31, 2019 and 2018, respectively. For the years ended December 31, 2019 and 2018, no impairments were identified in relation to the costs capitalized for the periods presented.</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03"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6"/>
          <w:szCs w:val="16"/>
          <w:color w:val="auto"/>
        </w:rPr>
        <w:t>Cost of revenue consists of fees paid to third-party service providers associated with delivering certain of our Value+ services (including legal fees and costs associated with the delivery and provision of those services, as well as loss reserves and other costs associated with our legal liability to landlord insurance services), personnel-related costs (including salaries, incentive-based compensation, benefits, and stock-based compensation) for our employees focused on customer service and the support of our operations, platform infrastructure costs (such as data center operations and hosting-related costs), payment processing fees, and allocated shared costs. We typically allocate shared costs across our organization based on headcount within the applicable part of our organization. Cost of revenue excludes depreciation of property and equipment, and amortization of capitalized software development costs and intangible assets.</w:t>
      </w:r>
    </w:p>
    <w:p>
      <w:pPr>
        <w:spacing w:after="0" w:line="13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103" w:lineRule="exact"/>
        <w:rPr>
          <w:sz w:val="20"/>
          <w:szCs w:val="20"/>
          <w:color w:val="auto"/>
        </w:rPr>
      </w:pPr>
    </w:p>
    <w:p>
      <w:pPr>
        <w:jc w:val="both"/>
        <w:ind w:firstLine="597"/>
        <w:spacing w:after="0" w:line="285" w:lineRule="auto"/>
        <w:rPr>
          <w:sz w:val="20"/>
          <w:szCs w:val="20"/>
          <w:color w:val="auto"/>
        </w:rPr>
      </w:pPr>
      <w:r>
        <w:rPr>
          <w:rFonts w:ascii="Arial" w:cs="Arial" w:eastAsia="Arial" w:hAnsi="Arial"/>
          <w:sz w:val="15"/>
          <w:szCs w:val="15"/>
          <w:color w:val="auto"/>
        </w:rPr>
        <w:t>Sales and marketing expense consists of personnel-related costs (including salaries, sales commissions, incentive-based compensation, benefits, and stock-based compensation) for our employees focused on sales and marketing, costs associated with sales and marketing activities, and allocated shared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services by our new and existing customers are deferred and then amortized on a straight-line basis over a period of benefit that we have determined to be three years. We focus our sales and marketing efforts on generating awareness of our software solutions, creating sales leads, establishing and promoting our brands, and cultivating an educated community of successful and vocal customers. Advertising expenses were $5.8 million, $4.5 million and $3.6 million for each of the years ended December 31, 2019, 2018 and 2017, respectively, and are expensed as incurred.</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Research and Product Development</w:t>
      </w:r>
    </w:p>
    <w:p>
      <w:pPr>
        <w:spacing w:after="0" w:line="103"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color w:val="auto"/>
        </w:rPr>
        <w:t>Research and product development expense consists of personnel-related costs (including salaries, incentive-based compensation, benefits, and stock-based compensation) for our employees focused on research and product development, fees for third-party development resources, and allocated shared costs. Our research and product development efforts are focused on enhancing the ease of use and functionality of our existing software solutions by adding new core functionality, Value+ services and other improvements, as well as developing new products and services for new and existing markets. We capitalize the portion of our software development costs that meets the criteria for capitalization. Amortization of capitalized software development costs is included in depreciation and amortization expense.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737" w:right="239" w:bottom="1440" w:gutter="0" w:footer="0" w:header="0"/>
        </w:sectPr>
      </w:pPr>
    </w:p>
    <w:bookmarkStart w:id="69" w:name="page70"/>
    <w:bookmarkEnd w:id="69"/>
    <w:p>
      <w:pPr>
        <w:ind w:left="60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03"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General and administrative expense consists of personnel-related costs (including salaries, a majority of total incentive-based compensation, benefits, and stock-based compensation) for employees in our executive, finance, information technology, human resources, corporate development, legal and administrative organizations. In addition, general and administrative expense includes fees for third-party professional services (including audit, legal, tax, and consulting services), transaction costs related to business combinations, other corporate expenses, and allocated shared costs.</w:t>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103"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3"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6"/>
          <w:szCs w:val="16"/>
          <w:color w:val="auto"/>
        </w:rPr>
        <w:t>We recognize stock-based compensation expense for stock-based awards granted to employees and directors that can be settled in shares of our common stock. We estimate the fair value of stock options and performance-based stock options ("PSOs"), using the Black-Scholes option-pricing model. We estimate the fair value of RSAs, RSUs and performance-based RSUs or PSU's based on the fair value of our common stock on the date of grant.</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Stock Options</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the years ended December 31, 2019 and 2018, we did not grant time-based stock options or PSOs.</w:t>
      </w:r>
    </w:p>
    <w:p>
      <w:pPr>
        <w:spacing w:after="0" w:line="103"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For the year ended December 31, 2017, we determined the fair value of awards using the Black-Scholes option-pricing model which requires the use of subjective assumptions. Key assumptions used in this model were (1) the fair value of the underlying ordinary shares, (2) the time period for which we expect the options will be outstanding (the expected term), (3) the expected volatility of our stock price, (4) the risk-free interest rate, and (5) the expected dividend yield. Expected term and expected volatility are the judgments that we believe are subjective in estimating fair value (and related share-based compensation expense) of our option awards.</w:t>
      </w:r>
    </w:p>
    <w:p>
      <w:pPr>
        <w:spacing w:after="0" w:line="47" w:lineRule="exact"/>
        <w:rPr>
          <w:sz w:val="20"/>
          <w:szCs w:val="20"/>
          <w:color w:val="auto"/>
        </w:rPr>
      </w:pPr>
    </w:p>
    <w:p>
      <w:pPr>
        <w:jc w:val="both"/>
        <w:ind w:firstLine="597"/>
        <w:spacing w:after="0" w:line="268" w:lineRule="auto"/>
        <w:rPr>
          <w:sz w:val="20"/>
          <w:szCs w:val="20"/>
          <w:color w:val="auto"/>
        </w:rPr>
      </w:pPr>
      <w:r>
        <w:rPr>
          <w:rFonts w:ascii="Arial" w:cs="Arial" w:eastAsia="Arial" w:hAnsi="Arial"/>
          <w:sz w:val="16"/>
          <w:szCs w:val="16"/>
          <w:color w:val="auto"/>
        </w:rPr>
        <w:t>For the year ended December 31, 2017, the expected term was determined using the simplified method, which is calculated as the midpoint of the stock option vesting term and the expiration date of the stock option. We considered historical average volatilities of publicly traded industry peers, in estimating expected volatility for options. Other assumptions used include risk-free interest rate and expected dividend yield. The risk-free interest rate is based on the yield for a U.S. Treasury security having a maturity similar to the expected term of the related option grant. This assumption was dependent on the assumed expected term. The dividend yield of 0% is based on us not paying or anticipating paying any cash dividends in the foreseeable future.</w:t>
      </w:r>
    </w:p>
    <w:p>
      <w:pPr>
        <w:spacing w:after="0" w:line="6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Restricted Stock Units</w:t>
      </w:r>
    </w:p>
    <w:p>
      <w:pPr>
        <w:spacing w:after="0" w:line="103"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RSUs vest in equal tranches over four annual periods and are expensed on a straight-line basis over the vesting period. The shares underlying the RSU grants are not issued and outstanding until the applicable vesting date.</w:t>
      </w:r>
    </w:p>
    <w:p>
      <w:pPr>
        <w:spacing w:after="0" w:line="6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Performance-Based Equity Awards</w:t>
      </w:r>
    </w:p>
    <w:p>
      <w:pPr>
        <w:spacing w:after="0" w:line="103"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Our PSOs and PSUs, include performance conditions that require us to estimate the probable outcome of the performance condition. This assessment is based on management's judgment using internally developed forecasts and assessed at each reporting period. Compensation cost is recorded if it is probable that the performance condition will be achieved. Adjustments to compensation expense are made each period based on changes in our estimate of the number of PSOs and PSUs that are probable of vesting. PSOs and PSUs will vest upon achievement of the relevant performance metric once such calculation is reviewed and approved by our Board of Directors.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736" w:right="239" w:bottom="1440" w:gutter="0" w:footer="0" w:header="0"/>
        </w:sectPr>
      </w:pPr>
    </w:p>
    <w:bookmarkStart w:id="70" w:name="page71"/>
    <w:bookmarkEnd w:id="70"/>
    <w:p>
      <w:pPr>
        <w:ind w:left="600"/>
        <w:spacing w:after="0"/>
        <w:rPr>
          <w:sz w:val="20"/>
          <w:szCs w:val="20"/>
          <w:color w:val="auto"/>
        </w:rPr>
      </w:pPr>
      <w:r>
        <w:rPr>
          <w:rFonts w:ascii="Arial" w:cs="Arial" w:eastAsia="Arial" w:hAnsi="Arial"/>
          <w:sz w:val="17"/>
          <w:szCs w:val="17"/>
          <w:i w:val="1"/>
          <w:iCs w:val="1"/>
          <w:color w:val="auto"/>
        </w:rPr>
        <w:t>Forfeiture Rate</w:t>
      </w:r>
    </w:p>
    <w:p>
      <w:pPr>
        <w:spacing w:after="0" w:line="103" w:lineRule="exact"/>
        <w:rPr>
          <w:sz w:val="20"/>
          <w:szCs w:val="20"/>
          <w:color w:val="auto"/>
        </w:rPr>
      </w:pPr>
    </w:p>
    <w:p>
      <w:pPr>
        <w:jc w:val="both"/>
        <w:ind w:firstLine="597"/>
        <w:spacing w:after="0" w:line="247" w:lineRule="auto"/>
        <w:rPr>
          <w:sz w:val="20"/>
          <w:szCs w:val="20"/>
          <w:color w:val="auto"/>
        </w:rPr>
      </w:pPr>
      <w:r>
        <w:rPr>
          <w:rFonts w:ascii="Arial" w:cs="Arial" w:eastAsia="Arial" w:hAnsi="Arial"/>
          <w:sz w:val="17"/>
          <w:szCs w:val="17"/>
          <w:color w:val="auto"/>
        </w:rPr>
        <w:t>We estimate a forfeiture rate to calculate our stock-based compensation expense for our stock-based awards. The forfeiture rate is based on an analysis of actual forfeitures. We will continue to evaluate the appropriateness of the forfeiture rate based on actual forfeiture experience, analysis of employee turnover, and other factors. Changes in the estimated forfeiture rate can have a significant impact on our stock-based compensation expense as the cumulative effect of adjusting the rate is recognized in the period the estimated forfeiture rate is changed. If a revised forfeiture rate is higher than the previously-estimated forfeiture rate, an adjustment is made that will result in a decrease to our stock-based compensation expense recognized in our Consolidated Financial Statements. If a revised forfeiture rate is lower than the previously-estimated forfeiture rate, an adjustment is made that will result in an increase to our stock-based compensation expense recognized in our Consolidated Financial Statements.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Income Taxes</w:t>
      </w:r>
    </w:p>
    <w:p>
      <w:pPr>
        <w:spacing w:after="0" w:line="103"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We recognize deferred tax liabilities and assets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the Consolidated Statements of Operations in the period that includes the enactment date. A valuation allowance is recorded when it is more likely than not that some of the deferred tax assets will not be realized. In evaluating the need for a valuation allowance, management considers the weighting of all available positive and negative evidence, which includes, among other things, the nature, frequency and severity of current and cumulative taxable income or losses, future projections of profitability, and the duration of statutory carryforward periods.</w:t>
      </w:r>
    </w:p>
    <w:p>
      <w:pPr>
        <w:spacing w:after="0" w:line="170"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in our Consolidated Financial Statements from such positions are then measured based on the largest benefit that has a greater than 50% likelihood of being realized. We recognize interest and penalties accrued with respect to uncertain tax positions, if any, in our provision for income taxes in the Consolidated Statements of Operations.</w:t>
      </w:r>
    </w:p>
    <w:p>
      <w:pPr>
        <w:spacing w:after="0" w:line="8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Net Income per Share</w:t>
      </w:r>
    </w:p>
    <w:p>
      <w:pPr>
        <w:spacing w:after="0" w:line="103"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Basic net income per share includes no dilution and is computed by dividing net income for the period by the weighted average number of common shares outstanding during the period. Diluted net income per share is computed by dividing net income for the period by the weighted average number of shares of common stock and potentially dilutive common stock outstanding during the period. The dilutive effect of outstanding options and equity incentive awards is reflected in diluted net income per share by application of the treasury stock method. The calculation of diluted net income per share excludes all anti-dilutive common shares.</w:t>
      </w:r>
    </w:p>
    <w:p>
      <w:pPr>
        <w:spacing w:after="0" w:line="47"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The net income per common share was the same for our Class A and Class B common shares because they are entitled to the same liquidation and dividend rights and are therefore combined in the table below. The following table presents a reconciliation of our weighted average number of Class A and Class B common shares used to compute net income per share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8"/>
              </w:rPr>
              <w:t>Year Ended December 31,</w:t>
            </w:r>
          </w:p>
        </w:tc>
        <w:tc>
          <w:tcPr>
            <w:tcW w:w="760" w:type="dxa"/>
            <w:vAlign w:val="bottom"/>
            <w:tcBorders>
              <w:bottom w:val="single" w:sz="8" w:color="auto"/>
            </w:tcBorders>
          </w:tcPr>
          <w:p>
            <w:pPr>
              <w:spacing w:after="0"/>
              <w:rPr>
                <w:sz w:val="15"/>
                <w:szCs w:val="15"/>
                <w:color w:val="auto"/>
              </w:rPr>
            </w:pPr>
          </w:p>
        </w:tc>
      </w:tr>
      <w:tr>
        <w:trPr>
          <w:trHeight w:val="241"/>
        </w:trPr>
        <w:tc>
          <w:tcPr>
            <w:tcW w:w="8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3"/>
                <w:szCs w:val="13"/>
                <w:b w:val="1"/>
                <w:bCs w:val="1"/>
                <w:color w:val="auto"/>
              </w:rPr>
              <w:t>2017</w:t>
            </w:r>
          </w:p>
        </w:tc>
      </w:tr>
      <w:tr>
        <w:trPr>
          <w:trHeight w:val="22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34,020</w:t>
            </w:r>
          </w:p>
        </w:tc>
        <w:tc>
          <w:tcPr>
            <w:tcW w:w="126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34,139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33,876</w:t>
            </w:r>
          </w:p>
        </w:tc>
      </w:tr>
      <w:tr>
        <w:trPr>
          <w:trHeight w:val="224"/>
        </w:trPr>
        <w:tc>
          <w:tcPr>
            <w:tcW w:w="8120" w:type="dxa"/>
            <w:vAlign w:val="bottom"/>
          </w:tcPr>
          <w:p>
            <w:pPr>
              <w:ind w:left="20"/>
              <w:spacing w:after="0"/>
              <w:rPr>
                <w:sz w:val="20"/>
                <w:szCs w:val="20"/>
                <w:color w:val="auto"/>
              </w:rPr>
            </w:pPr>
            <w:r>
              <w:rPr>
                <w:rFonts w:ascii="Arial" w:cs="Arial" w:eastAsia="Arial" w:hAnsi="Arial"/>
                <w:sz w:val="17"/>
                <w:szCs w:val="17"/>
                <w:color w:val="auto"/>
              </w:rPr>
              <w:t>Less: Weighted average unvested restricted shares subject to repurchase</w:t>
            </w:r>
          </w:p>
        </w:tc>
        <w:tc>
          <w:tcPr>
            <w:tcW w:w="920" w:type="dxa"/>
            <w:vAlign w:val="bottom"/>
          </w:tcPr>
          <w:p>
            <w:pPr>
              <w:jc w:val="right"/>
              <w:spacing w:after="0"/>
              <w:rPr>
                <w:sz w:val="20"/>
                <w:szCs w:val="20"/>
                <w:color w:val="auto"/>
              </w:rPr>
            </w:pPr>
            <w:r>
              <w:rPr>
                <w:rFonts w:ascii="Arial" w:cs="Arial" w:eastAsia="Arial" w:hAnsi="Arial"/>
                <w:sz w:val="17"/>
                <w:szCs w:val="17"/>
                <w:color w:val="auto"/>
              </w:rPr>
              <w:t>4</w:t>
            </w:r>
          </w:p>
        </w:tc>
        <w:tc>
          <w:tcPr>
            <w:tcW w:w="1260" w:type="dxa"/>
            <w:vAlign w:val="bottom"/>
            <w:gridSpan w:val="3"/>
          </w:tcPr>
          <w:p>
            <w:pPr>
              <w:jc w:val="right"/>
              <w:ind w:right="54"/>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27</w:t>
            </w:r>
          </w:p>
        </w:tc>
      </w:tr>
      <w:tr>
        <w:trPr>
          <w:trHeight w:val="25"/>
        </w:trPr>
        <w:tc>
          <w:tcPr>
            <w:tcW w:w="8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basic</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34,016</w:t>
            </w:r>
          </w:p>
        </w:tc>
        <w:tc>
          <w:tcPr>
            <w:tcW w:w="126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34,128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33,849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88"/>
        </w:trPr>
        <w:tc>
          <w:tcPr>
            <w:tcW w:w="8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basic</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34,016</w:t>
            </w:r>
          </w:p>
        </w:tc>
        <w:tc>
          <w:tcPr>
            <w:tcW w:w="1260" w:type="dxa"/>
            <w:vAlign w:val="bottom"/>
            <w:tcBorders>
              <w:bottom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34,128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33,849</w:t>
            </w:r>
          </w:p>
        </w:tc>
      </w:tr>
      <w:tr>
        <w:trPr>
          <w:trHeight w:val="211"/>
        </w:trPr>
        <w:tc>
          <w:tcPr>
            <w:tcW w:w="8120" w:type="dxa"/>
            <w:vAlign w:val="bottom"/>
          </w:tcPr>
          <w:p>
            <w:pPr>
              <w:ind w:left="20"/>
              <w:spacing w:after="0"/>
              <w:rPr>
                <w:sz w:val="20"/>
                <w:szCs w:val="20"/>
                <w:color w:val="auto"/>
              </w:rPr>
            </w:pPr>
            <w:r>
              <w:rPr>
                <w:rFonts w:ascii="Arial" w:cs="Arial" w:eastAsia="Arial" w:hAnsi="Arial"/>
                <w:sz w:val="17"/>
                <w:szCs w:val="17"/>
                <w:color w:val="auto"/>
                <w:w w:val="92"/>
              </w:rPr>
              <w:t>Plus: Weighted average options, restricted stock units and restricted shares used to compute diluted net income per</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8120" w:type="dxa"/>
            <w:vAlign w:val="bottom"/>
          </w:tcPr>
          <w:p>
            <w:pPr>
              <w:ind w:left="20"/>
              <w:spacing w:after="0"/>
              <w:rPr>
                <w:sz w:val="20"/>
                <w:szCs w:val="20"/>
                <w:color w:val="auto"/>
              </w:rPr>
            </w:pPr>
            <w:r>
              <w:rPr>
                <w:rFonts w:ascii="Arial" w:cs="Arial" w:eastAsia="Arial" w:hAnsi="Arial"/>
                <w:sz w:val="17"/>
                <w:szCs w:val="17"/>
                <w:color w:val="auto"/>
              </w:rPr>
              <w:t>common share</w:t>
            </w:r>
          </w:p>
        </w:tc>
        <w:tc>
          <w:tcPr>
            <w:tcW w:w="920" w:type="dxa"/>
            <w:vAlign w:val="bottom"/>
          </w:tcPr>
          <w:p>
            <w:pPr>
              <w:jc w:val="right"/>
              <w:spacing w:after="0"/>
              <w:rPr>
                <w:sz w:val="20"/>
                <w:szCs w:val="20"/>
                <w:color w:val="auto"/>
              </w:rPr>
            </w:pPr>
            <w:r>
              <w:rPr>
                <w:rFonts w:ascii="Arial" w:cs="Arial" w:eastAsia="Arial" w:hAnsi="Arial"/>
                <w:sz w:val="17"/>
                <w:szCs w:val="17"/>
                <w:color w:val="auto"/>
              </w:rPr>
              <w:t>1,551</w:t>
            </w:r>
          </w:p>
        </w:tc>
        <w:tc>
          <w:tcPr>
            <w:tcW w:w="1260" w:type="dxa"/>
            <w:vAlign w:val="bottom"/>
            <w:gridSpan w:val="3"/>
          </w:tcPr>
          <w:p>
            <w:pPr>
              <w:jc w:val="right"/>
              <w:ind w:right="54"/>
              <w:spacing w:after="0"/>
              <w:rPr>
                <w:sz w:val="20"/>
                <w:szCs w:val="20"/>
                <w:color w:val="auto"/>
              </w:rPr>
            </w:pPr>
            <w:r>
              <w:rPr>
                <w:rFonts w:ascii="Arial" w:cs="Arial" w:eastAsia="Arial" w:hAnsi="Arial"/>
                <w:sz w:val="17"/>
                <w:szCs w:val="17"/>
                <w:color w:val="auto"/>
              </w:rPr>
              <w:t>1,434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1,302</w:t>
            </w:r>
          </w:p>
        </w:tc>
      </w:tr>
      <w:tr>
        <w:trPr>
          <w:trHeight w:val="25"/>
        </w:trPr>
        <w:tc>
          <w:tcPr>
            <w:tcW w:w="8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5"/>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diluted</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35,567</w:t>
            </w:r>
          </w:p>
        </w:tc>
        <w:tc>
          <w:tcPr>
            <w:tcW w:w="126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35,562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35,151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Approximately 187,000, 358,000 and 548,000 shares of PSOs and PSUs are not included in the computations of diluted and anti-dilutive shares for the years ended December 31, 2019, 2018 and 2017, respectively, as they are considered contingently issuable upon the satisfaction of pre-defined performance measures and their respective performance measures have not been met.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674" w:right="239" w:bottom="1440" w:gutter="0" w:footer="0" w:header="0"/>
        </w:sectPr>
      </w:pPr>
    </w:p>
    <w:bookmarkStart w:id="71" w:name="page72"/>
    <w:bookmarkEnd w:id="71"/>
    <w:p>
      <w:pPr>
        <w:ind w:firstLine="597"/>
        <w:spacing w:after="0" w:line="264" w:lineRule="auto"/>
        <w:rPr>
          <w:sz w:val="20"/>
          <w:szCs w:val="20"/>
          <w:color w:val="auto"/>
        </w:rPr>
      </w:pPr>
      <w:r>
        <w:rPr>
          <w:rFonts w:ascii="Arial" w:cs="Arial" w:eastAsia="Arial" w:hAnsi="Arial"/>
          <w:sz w:val="17"/>
          <w:szCs w:val="17"/>
          <w:color w:val="auto"/>
        </w:rPr>
        <w:t>The following table presents the number of anti-dilutive common shares excluded from the calculation of weighted average number of shares used to compute diluted net income per share for the years ended December 31, 2019, 2018 and 2017 (in thousands):</w:t>
      </w:r>
    </w:p>
    <w:p>
      <w:pPr>
        <w:spacing w:after="0" w:line="172" w:lineRule="exact"/>
        <w:rPr>
          <w:sz w:val="20"/>
          <w:szCs w:val="20"/>
          <w:color w:val="auto"/>
        </w:rPr>
      </w:pPr>
    </w:p>
    <w:p>
      <w:pPr>
        <w:ind w:left="924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20320</wp:posOffset>
            </wp:positionV>
            <wp:extent cx="23139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13940" cy="762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2019</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4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120" w:type="dxa"/>
            <w:vAlign w:val="bottom"/>
          </w:tcPr>
          <w:p>
            <w:pPr>
              <w:jc w:val="right"/>
              <w:ind w:right="341"/>
              <w:spacing w:after="0"/>
              <w:rPr>
                <w:sz w:val="20"/>
                <w:szCs w:val="20"/>
                <w:color w:val="auto"/>
              </w:rPr>
            </w:pPr>
            <w:r>
              <w:rPr>
                <w:rFonts w:ascii="Arial" w:cs="Arial" w:eastAsia="Arial" w:hAnsi="Arial"/>
                <w:sz w:val="13"/>
                <w:szCs w:val="13"/>
                <w:b w:val="1"/>
                <w:bCs w:val="1"/>
                <w:color w:val="auto"/>
              </w:rPr>
              <w:t>2017</w:t>
            </w:r>
          </w:p>
        </w:tc>
      </w:tr>
      <w:tr>
        <w:trPr>
          <w:trHeight w:val="226"/>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restricted stock units</w:t>
            </w: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21</w:t>
            </w:r>
          </w:p>
        </w:tc>
      </w:tr>
      <w:tr>
        <w:trPr>
          <w:trHeight w:val="249"/>
        </w:trPr>
        <w:tc>
          <w:tcPr>
            <w:tcW w:w="8580" w:type="dxa"/>
            <w:vAlign w:val="bottom"/>
            <w:gridSpan w:val="2"/>
          </w:tcPr>
          <w:p>
            <w:pPr>
              <w:ind w:left="20"/>
              <w:spacing w:after="0" w:line="248" w:lineRule="exact"/>
              <w:rPr>
                <w:sz w:val="20"/>
                <w:szCs w:val="20"/>
                <w:color w:val="auto"/>
              </w:rPr>
            </w:pPr>
            <w:r>
              <w:rPr>
                <w:rFonts w:ascii="Arial" w:cs="Arial" w:eastAsia="Arial" w:hAnsi="Arial"/>
                <w:sz w:val="17"/>
                <w:szCs w:val="17"/>
                <w:color w:val="auto"/>
              </w:rPr>
              <w:t>Contingent restricted stock units</w:t>
            </w:r>
            <w:r>
              <w:rPr>
                <w:rFonts w:ascii="Arial" w:cs="Arial" w:eastAsia="Arial" w:hAnsi="Arial"/>
                <w:sz w:val="23"/>
                <w:szCs w:val="23"/>
                <w:color w:val="auto"/>
                <w:vertAlign w:val="superscript"/>
              </w:rPr>
              <w:t>(1)</w:t>
            </w:r>
          </w:p>
        </w:tc>
        <w:tc>
          <w:tcPr>
            <w:tcW w:w="4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
              <w:spacing w:after="0"/>
              <w:rPr>
                <w:sz w:val="20"/>
                <w:szCs w:val="20"/>
                <w:color w:val="auto"/>
              </w:rPr>
            </w:pPr>
            <w:r>
              <w:rPr>
                <w:rFonts w:ascii="Arial" w:cs="Arial" w:eastAsia="Arial" w:hAnsi="Arial"/>
                <w:sz w:val="17"/>
                <w:szCs w:val="17"/>
                <w:color w:val="auto"/>
              </w:rPr>
              <w:t>6</w:t>
            </w:r>
          </w:p>
        </w:tc>
      </w:tr>
      <w:tr>
        <w:trPr>
          <w:trHeight w:val="246"/>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shares excluded from diluted net income per common share</w:t>
            </w: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jc w:val="both"/>
        <w:ind w:firstLine="397"/>
        <w:spacing w:after="0" w:line="269" w:lineRule="auto"/>
        <w:tabs>
          <w:tab w:leader="none" w:pos="562"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The reported shares are based on fixed price RSU commitments for which the number of shares has not been determined at the grant date. The number of shares have been determined by dividing the fixed price commitment to issue shares in the future by the closing price of our common stock at the applicable reporting period date.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65"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6"/>
          <w:szCs w:val="16"/>
          <w:color w:val="auto"/>
        </w:rPr>
        <w:t xml:space="preserve">In May 2014, the Financial Accounting Standards Board ("FASB") issued the New Revenue Standard, which requires an entity to recognize the amount of revenue to which it expects to be entitled for the transfer of promised goods or services to customers. The New Revenue Standard also includes Subtopic 340-40, </w:t>
      </w:r>
      <w:r>
        <w:rPr>
          <w:rFonts w:ascii="Arial" w:cs="Arial" w:eastAsia="Arial" w:hAnsi="Arial"/>
          <w:sz w:val="16"/>
          <w:szCs w:val="16"/>
          <w:i w:val="1"/>
          <w:iCs w:val="1"/>
          <w:color w:val="auto"/>
        </w:rPr>
        <w:t>Other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Deferred Costs - Contracts with Customers</w:t>
      </w:r>
      <w:r>
        <w:rPr>
          <w:rFonts w:ascii="Arial" w:cs="Arial" w:eastAsia="Arial" w:hAnsi="Arial"/>
          <w:sz w:val="16"/>
          <w:szCs w:val="16"/>
          <w:color w:val="auto"/>
        </w:rPr>
        <w:t>, which discusses the deferral of incremental costs of obtaining a contract with a customer.</w:t>
      </w:r>
    </w:p>
    <w:p>
      <w:pPr>
        <w:spacing w:after="0" w:line="159" w:lineRule="exact"/>
        <w:rPr>
          <w:sz w:val="20"/>
          <w:szCs w:val="20"/>
          <w:color w:val="auto"/>
        </w:rPr>
      </w:pPr>
    </w:p>
    <w:p>
      <w:pPr>
        <w:jc w:val="both"/>
        <w:ind w:firstLine="597"/>
        <w:spacing w:after="0" w:line="331" w:lineRule="auto"/>
        <w:rPr>
          <w:sz w:val="20"/>
          <w:szCs w:val="20"/>
          <w:color w:val="auto"/>
        </w:rPr>
      </w:pPr>
      <w:r>
        <w:rPr>
          <w:rFonts w:ascii="Arial" w:cs="Arial" w:eastAsia="Arial" w:hAnsi="Arial"/>
          <w:sz w:val="15"/>
          <w:szCs w:val="15"/>
          <w:color w:val="auto"/>
        </w:rPr>
        <w:t>We adopted the New Revenue Standard at January 1, 2018 using the modified retrospective transition method applied to those contracts which were not completed at that date. We recognized the cumulative effect of initially applying the New Revenue Standard as an adjustment to the opening balance of retained earnings.</w:t>
      </w:r>
    </w:p>
    <w:p>
      <w:pPr>
        <w:spacing w:after="0" w:line="121"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The adoption of the New Revenue Standard did not have an impact on our revenues. It did, however, have a significant impact related to the deferral of incremental costs of obtaining contracts. Prior to the adoption of the New Revenue Standard, our commissions were expensed as incurred.</w:t>
      </w:r>
    </w:p>
    <w:p>
      <w:pPr>
        <w:spacing w:after="0" w:line="167"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The cumulative effects of the changes made to our Consolidated Balance Sheet at January 1, 2018 for the adoption of the New Revenue Standard were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Balance at</w:t>
            </w:r>
          </w:p>
        </w:tc>
        <w:tc>
          <w:tcPr>
            <w:tcW w:w="260" w:type="dxa"/>
            <w:vAlign w:val="bottom"/>
          </w:tcPr>
          <w:p>
            <w:pPr>
              <w:spacing w:after="0"/>
              <w:rPr>
                <w:sz w:val="13"/>
                <w:szCs w:val="13"/>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Adjustments</w:t>
            </w:r>
          </w:p>
        </w:tc>
        <w:tc>
          <w:tcPr>
            <w:tcW w:w="220" w:type="dxa"/>
            <w:vAlign w:val="bottom"/>
          </w:tcPr>
          <w:p>
            <w:pPr>
              <w:spacing w:after="0"/>
              <w:rPr>
                <w:sz w:val="13"/>
                <w:szCs w:val="13"/>
                <w:color w:val="auto"/>
              </w:rPr>
            </w:pPr>
          </w:p>
        </w:tc>
        <w:tc>
          <w:tcPr>
            <w:tcW w:w="1360" w:type="dxa"/>
            <w:vAlign w:val="bottom"/>
          </w:tcPr>
          <w:p>
            <w:pPr>
              <w:jc w:val="right"/>
              <w:ind w:right="424"/>
              <w:spacing w:after="0"/>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77"/>
        </w:trPr>
        <w:tc>
          <w:tcPr>
            <w:tcW w:w="6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December 31, 2017</w:t>
            </w:r>
          </w:p>
        </w:tc>
        <w:tc>
          <w:tcPr>
            <w:tcW w:w="2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264"/>
              <w:spacing w:after="0"/>
              <w:rPr>
                <w:sz w:val="20"/>
                <w:szCs w:val="20"/>
                <w:color w:val="auto"/>
              </w:rPr>
            </w:pPr>
            <w:r>
              <w:rPr>
                <w:rFonts w:ascii="Arial" w:cs="Arial" w:eastAsia="Arial" w:hAnsi="Arial"/>
                <w:sz w:val="13"/>
                <w:szCs w:val="13"/>
                <w:b w:val="1"/>
                <w:bCs w:val="1"/>
                <w:color w:val="auto"/>
              </w:rPr>
              <w:t>January 1, 2018</w:t>
            </w:r>
          </w:p>
        </w:tc>
        <w:tc>
          <w:tcPr>
            <w:tcW w:w="0" w:type="dxa"/>
            <w:vAlign w:val="bottom"/>
          </w:tcPr>
          <w:p>
            <w:pPr>
              <w:spacing w:after="0"/>
              <w:rPr>
                <w:sz w:val="1"/>
                <w:szCs w:val="1"/>
                <w:color w:val="auto"/>
              </w:rPr>
            </w:pPr>
          </w:p>
        </w:tc>
      </w:tr>
      <w:tr>
        <w:trPr>
          <w:trHeight w:val="226"/>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44"/>
              <w:spacing w:after="0"/>
              <w:rPr>
                <w:sz w:val="20"/>
                <w:szCs w:val="20"/>
                <w:color w:val="auto"/>
              </w:rPr>
            </w:pPr>
            <w:r>
              <w:rPr>
                <w:rFonts w:ascii="Arial" w:cs="Arial" w:eastAsia="Arial" w:hAnsi="Arial"/>
                <w:sz w:val="17"/>
                <w:szCs w:val="17"/>
                <w:color w:val="auto"/>
              </w:rPr>
              <w:t>4,546</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21"/>
              <w:spacing w:after="0"/>
              <w:rPr>
                <w:sz w:val="20"/>
                <w:szCs w:val="20"/>
                <w:color w:val="auto"/>
              </w:rPr>
            </w:pPr>
            <w:r>
              <w:rPr>
                <w:rFonts w:ascii="Arial" w:cs="Arial" w:eastAsia="Arial" w:hAnsi="Arial"/>
                <w:sz w:val="17"/>
                <w:szCs w:val="17"/>
                <w:color w:val="auto"/>
              </w:rPr>
              <w:t>1,148</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24"/>
              <w:spacing w:after="0"/>
              <w:rPr>
                <w:sz w:val="20"/>
                <w:szCs w:val="20"/>
                <w:color w:val="auto"/>
              </w:rPr>
            </w:pPr>
            <w:r>
              <w:rPr>
                <w:rFonts w:ascii="Arial" w:cs="Arial" w:eastAsia="Arial" w:hAnsi="Arial"/>
                <w:sz w:val="17"/>
                <w:szCs w:val="17"/>
                <w:color w:val="auto"/>
              </w:rPr>
              <w:t>5,694</w:t>
            </w:r>
          </w:p>
        </w:tc>
        <w:tc>
          <w:tcPr>
            <w:tcW w:w="0" w:type="dxa"/>
            <w:vAlign w:val="bottom"/>
          </w:tcPr>
          <w:p>
            <w:pPr>
              <w:spacing w:after="0"/>
              <w:rPr>
                <w:sz w:val="1"/>
                <w:szCs w:val="1"/>
                <w:color w:val="auto"/>
              </w:rPr>
            </w:pPr>
          </w:p>
        </w:tc>
      </w:tr>
      <w:tr>
        <w:trPr>
          <w:trHeight w:val="25"/>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1,238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1,816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3,054</w:t>
            </w:r>
          </w:p>
        </w:tc>
        <w:tc>
          <w:tcPr>
            <w:tcW w:w="0" w:type="dxa"/>
            <w:vAlign w:val="bottom"/>
          </w:tcPr>
          <w:p>
            <w:pPr>
              <w:spacing w:after="0"/>
              <w:rPr>
                <w:sz w:val="1"/>
                <w:szCs w:val="1"/>
                <w:color w:val="auto"/>
              </w:rPr>
            </w:pPr>
          </w:p>
        </w:tc>
      </w:tr>
      <w:tr>
        <w:trPr>
          <w:trHeight w:val="298"/>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Equity</w:t>
            </w: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20"/>
              <w:spacing w:after="0"/>
              <w:rPr>
                <w:sz w:val="20"/>
                <w:szCs w:val="20"/>
                <w:color w:val="auto"/>
              </w:rPr>
            </w:pPr>
            <w:r>
              <w:rPr>
                <w:rFonts w:ascii="Arial" w:cs="Arial" w:eastAsia="Arial" w:hAnsi="Arial"/>
                <w:sz w:val="17"/>
                <w:szCs w:val="17"/>
                <w:color w:val="auto"/>
              </w:rPr>
              <w:t>Accumulated deficit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(67,247)</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21"/>
              <w:spacing w:after="0"/>
              <w:rPr>
                <w:sz w:val="20"/>
                <w:szCs w:val="20"/>
                <w:color w:val="auto"/>
              </w:rPr>
            </w:pPr>
            <w:r>
              <w:rPr>
                <w:rFonts w:ascii="Arial" w:cs="Arial" w:eastAsia="Arial" w:hAnsi="Arial"/>
                <w:sz w:val="17"/>
                <w:szCs w:val="17"/>
                <w:color w:val="auto"/>
              </w:rPr>
              <w:t>2,964</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(64,283)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597"/>
        <w:spacing w:after="0" w:line="285"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("ASU 2016-02"), which requires an entity to recognize ROU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No. 2018-11, Leases (Topic 842): Targeted Improvements ("ASU 2018-11"). Among other things, ASU 2018-11 provides administrative relief by allowing entities to implement the lease standard on a modified retrospective basis (the "Optional Transition Method"). Effectively, the Optional Transition Method permits us to adopt the lease standard through a cumulative effect adjustment to our opening balance sheet as of January 1, 2019, and report under the new lease standard on a post-adoption basis.</w:t>
      </w:r>
    </w:p>
    <w:p>
      <w:pPr>
        <w:spacing w:after="0" w:line="158"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We adopted ASU 2016-02 effective January 1, 2019, using the Optional Transition Method. We elected the package of practical expedients permitted under the transition guidance, which allows us to carry forward our historical lease classification, our assessment of whether a contract is or contains a lease, and our initial direct costs for any leases that existed prior to adoption of the new lease standard. The comparative information has not been recast and continues to be reported under the accounting standards in effect for those periods. We updated our accounting policies, processes, internal controls and information systems that were required to meet the new lease standard's reporting and disclosure requirements.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774" w:right="239" w:bottom="1440" w:gutter="0" w:footer="0" w:header="0"/>
        </w:sectPr>
      </w:pPr>
    </w:p>
    <w:bookmarkStart w:id="72" w:name="page73"/>
    <w:bookmarkEnd w:id="72"/>
    <w:p>
      <w:pPr>
        <w:jc w:val="both"/>
        <w:ind w:firstLine="597"/>
        <w:spacing w:after="0" w:line="254" w:lineRule="auto"/>
        <w:rPr>
          <w:sz w:val="20"/>
          <w:szCs w:val="20"/>
          <w:color w:val="auto"/>
        </w:rPr>
      </w:pPr>
      <w:r>
        <w:rPr>
          <w:rFonts w:ascii="Arial" w:cs="Arial" w:eastAsia="Arial" w:hAnsi="Arial"/>
          <w:sz w:val="17"/>
          <w:szCs w:val="17"/>
          <w:color w:val="auto"/>
        </w:rPr>
        <w:t>The adoption of ASU 2016-02 had a material impact on our Consolidated Balance Sheets, but did not have an impact on our Consolidated Statements of Operations or our Consolidated Statements of Cash Flows. The most significant impact was the recognition of ROU assets and lease liabilities for operating leases. We also reclassified prepaid and deferred rent to the ROU asset balance as of January 1, 2019.</w:t>
      </w:r>
    </w:p>
    <w:p>
      <w:pPr>
        <w:spacing w:after="0" w:line="175"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The cumulative effect of the changes made to our Consolidated Balance Sheet at January 1, 2019 for the adoption of the new lease standard was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Balance at</w:t>
            </w:r>
          </w:p>
        </w:tc>
        <w:tc>
          <w:tcPr>
            <w:tcW w:w="260" w:type="dxa"/>
            <w:vAlign w:val="bottom"/>
          </w:tcPr>
          <w:p>
            <w:pPr>
              <w:spacing w:after="0"/>
              <w:rPr>
                <w:sz w:val="13"/>
                <w:szCs w:val="13"/>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Adjustments</w:t>
            </w:r>
          </w:p>
        </w:tc>
        <w:tc>
          <w:tcPr>
            <w:tcW w:w="220" w:type="dxa"/>
            <w:vAlign w:val="bottom"/>
          </w:tcPr>
          <w:p>
            <w:pPr>
              <w:spacing w:after="0"/>
              <w:rPr>
                <w:sz w:val="13"/>
                <w:szCs w:val="13"/>
                <w:color w:val="auto"/>
              </w:rPr>
            </w:pPr>
          </w:p>
        </w:tc>
        <w:tc>
          <w:tcPr>
            <w:tcW w:w="1360" w:type="dxa"/>
            <w:vAlign w:val="bottom"/>
          </w:tcPr>
          <w:p>
            <w:pPr>
              <w:jc w:val="right"/>
              <w:ind w:right="422"/>
              <w:spacing w:after="0"/>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77"/>
        </w:trPr>
        <w:tc>
          <w:tcPr>
            <w:tcW w:w="6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December 31, 2018</w:t>
            </w:r>
          </w:p>
        </w:tc>
        <w:tc>
          <w:tcPr>
            <w:tcW w:w="2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262"/>
              <w:spacing w:after="0"/>
              <w:rPr>
                <w:sz w:val="20"/>
                <w:szCs w:val="20"/>
                <w:color w:val="auto"/>
              </w:rPr>
            </w:pPr>
            <w:r>
              <w:rPr>
                <w:rFonts w:ascii="Arial" w:cs="Arial" w:eastAsia="Arial" w:hAnsi="Arial"/>
                <w:sz w:val="13"/>
                <w:szCs w:val="13"/>
                <w:b w:val="1"/>
                <w:bCs w:val="1"/>
                <w:color w:val="auto"/>
              </w:rPr>
              <w:t>January 1, 2019</w:t>
            </w:r>
          </w:p>
        </w:tc>
        <w:tc>
          <w:tcPr>
            <w:tcW w:w="0" w:type="dxa"/>
            <w:vAlign w:val="bottom"/>
          </w:tcPr>
          <w:p>
            <w:pPr>
              <w:spacing w:after="0"/>
              <w:rPr>
                <w:sz w:val="1"/>
                <w:szCs w:val="1"/>
                <w:color w:val="auto"/>
              </w:rPr>
            </w:pPr>
          </w:p>
        </w:tc>
      </w:tr>
      <w:tr>
        <w:trPr>
          <w:trHeight w:val="226"/>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42"/>
              <w:spacing w:after="0"/>
              <w:rPr>
                <w:sz w:val="20"/>
                <w:szCs w:val="20"/>
                <w:color w:val="auto"/>
              </w:rPr>
            </w:pPr>
            <w:r>
              <w:rPr>
                <w:rFonts w:ascii="Arial" w:cs="Arial" w:eastAsia="Arial" w:hAnsi="Arial"/>
                <w:sz w:val="17"/>
                <w:szCs w:val="17"/>
                <w:color w:val="auto"/>
              </w:rPr>
              <w:t>11,775</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(317)</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22"/>
              <w:spacing w:after="0"/>
              <w:rPr>
                <w:sz w:val="20"/>
                <w:szCs w:val="20"/>
                <w:color w:val="auto"/>
              </w:rPr>
            </w:pPr>
            <w:r>
              <w:rPr>
                <w:rFonts w:ascii="Arial" w:cs="Arial" w:eastAsia="Arial" w:hAnsi="Arial"/>
                <w:sz w:val="17"/>
                <w:szCs w:val="17"/>
                <w:color w:val="auto"/>
              </w:rPr>
              <w:t>11,458</w:t>
            </w:r>
          </w:p>
        </w:tc>
        <w:tc>
          <w:tcPr>
            <w:tcW w:w="0" w:type="dxa"/>
            <w:vAlign w:val="bottom"/>
          </w:tcPr>
          <w:p>
            <w:pPr>
              <w:spacing w:after="0"/>
              <w:rPr>
                <w:sz w:val="1"/>
                <w:szCs w:val="1"/>
                <w:color w:val="auto"/>
              </w:rPr>
            </w:pPr>
          </w:p>
        </w:tc>
      </w:tr>
      <w:tr>
        <w:trPr>
          <w:trHeight w:val="25"/>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16,945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16,945</w:t>
            </w:r>
          </w:p>
        </w:tc>
        <w:tc>
          <w:tcPr>
            <w:tcW w:w="0" w:type="dxa"/>
            <w:vAlign w:val="bottom"/>
          </w:tcPr>
          <w:p>
            <w:pPr>
              <w:spacing w:after="0"/>
              <w:rPr>
                <w:sz w:val="1"/>
                <w:szCs w:val="1"/>
                <w:color w:val="auto"/>
              </w:rPr>
            </w:pPr>
          </w:p>
        </w:tc>
      </w:tr>
      <w:tr>
        <w:trPr>
          <w:trHeight w:val="298"/>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20"/>
              <w:spacing w:after="0"/>
              <w:rPr>
                <w:sz w:val="20"/>
                <w:szCs w:val="20"/>
                <w:color w:val="auto"/>
              </w:rPr>
            </w:pPr>
            <w:r>
              <w:rPr>
                <w:rFonts w:ascii="Arial" w:cs="Arial" w:eastAsia="Arial" w:hAnsi="Arial"/>
                <w:sz w:val="17"/>
                <w:szCs w:val="17"/>
                <w:color w:val="auto"/>
              </w:rPr>
              <w:t>Other current liabilities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42"/>
              <w:spacing w:after="0"/>
              <w:rPr>
                <w:sz w:val="20"/>
                <w:szCs w:val="20"/>
                <w:color w:val="auto"/>
              </w:rPr>
            </w:pPr>
            <w:r>
              <w:rPr>
                <w:rFonts w:ascii="Arial" w:cs="Arial" w:eastAsia="Arial" w:hAnsi="Arial"/>
                <w:sz w:val="17"/>
                <w:szCs w:val="17"/>
                <w:color w:val="auto"/>
              </w:rPr>
              <w:t>1,447</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20"/>
              <w:spacing w:after="0"/>
              <w:rPr>
                <w:sz w:val="20"/>
                <w:szCs w:val="20"/>
                <w:color w:val="auto"/>
              </w:rPr>
            </w:pPr>
            <w:r>
              <w:rPr>
                <w:rFonts w:ascii="Arial" w:cs="Arial" w:eastAsia="Arial" w:hAnsi="Arial"/>
                <w:sz w:val="17"/>
                <w:szCs w:val="17"/>
                <w:color w:val="auto"/>
              </w:rPr>
              <w:t>3,493</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22"/>
              <w:spacing w:after="0"/>
              <w:rPr>
                <w:sz w:val="20"/>
                <w:szCs w:val="20"/>
                <w:color w:val="auto"/>
              </w:rPr>
            </w:pPr>
            <w:r>
              <w:rPr>
                <w:rFonts w:ascii="Arial" w:cs="Arial" w:eastAsia="Arial" w:hAnsi="Arial"/>
                <w:sz w:val="17"/>
                <w:szCs w:val="17"/>
                <w:color w:val="auto"/>
              </w:rPr>
              <w:t>4,940</w:t>
            </w:r>
          </w:p>
        </w:tc>
        <w:tc>
          <w:tcPr>
            <w:tcW w:w="0" w:type="dxa"/>
            <w:vAlign w:val="bottom"/>
          </w:tcPr>
          <w:p>
            <w:pPr>
              <w:spacing w:after="0"/>
              <w:rPr>
                <w:sz w:val="1"/>
                <w:szCs w:val="1"/>
                <w:color w:val="auto"/>
              </w:rPr>
            </w:pPr>
          </w:p>
        </w:tc>
      </w:tr>
      <w:tr>
        <w:trPr>
          <w:trHeight w:val="25"/>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20,056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20,056</w:t>
            </w:r>
          </w:p>
        </w:tc>
        <w:tc>
          <w:tcPr>
            <w:tcW w:w="0" w:type="dxa"/>
            <w:vAlign w:val="bottom"/>
          </w:tcPr>
          <w:p>
            <w:pPr>
              <w:spacing w:after="0"/>
              <w:rPr>
                <w:sz w:val="1"/>
                <w:szCs w:val="1"/>
                <w:color w:val="auto"/>
              </w:rPr>
            </w:pPr>
          </w:p>
        </w:tc>
      </w:tr>
      <w:tr>
        <w:trPr>
          <w:trHeight w:val="224"/>
        </w:trPr>
        <w:tc>
          <w:tcPr>
            <w:tcW w:w="640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200" w:type="dxa"/>
            <w:vAlign w:val="bottom"/>
          </w:tcPr>
          <w:p>
            <w:pPr>
              <w:spacing w:after="0"/>
              <w:rPr>
                <w:sz w:val="19"/>
                <w:szCs w:val="19"/>
                <w:color w:val="auto"/>
              </w:rPr>
            </w:pPr>
          </w:p>
        </w:tc>
        <w:tc>
          <w:tcPr>
            <w:tcW w:w="1420" w:type="dxa"/>
            <w:vAlign w:val="bottom"/>
          </w:tcPr>
          <w:p>
            <w:pPr>
              <w:jc w:val="right"/>
              <w:ind w:right="42"/>
              <w:spacing w:after="0"/>
              <w:rPr>
                <w:sz w:val="20"/>
                <w:szCs w:val="20"/>
                <w:color w:val="auto"/>
              </w:rPr>
            </w:pPr>
            <w:r>
              <w:rPr>
                <w:rFonts w:ascii="Arial" w:cs="Arial" w:eastAsia="Arial" w:hAnsi="Arial"/>
                <w:sz w:val="17"/>
                <w:szCs w:val="17"/>
                <w:color w:val="auto"/>
              </w:rPr>
              <w:t>7,080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(6,921)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2"/>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jc w:val="both"/>
        <w:ind w:firstLine="597"/>
        <w:spacing w:after="0" w:line="248" w:lineRule="auto"/>
        <w:rPr>
          <w:sz w:val="20"/>
          <w:szCs w:val="20"/>
          <w:color w:val="auto"/>
        </w:rPr>
      </w:pPr>
      <w:r>
        <w:rPr>
          <w:rFonts w:ascii="Arial" w:cs="Arial" w:eastAsia="Arial" w:hAnsi="Arial"/>
          <w:sz w:val="17"/>
          <w:szCs w:val="17"/>
          <w:color w:val="auto"/>
        </w:rPr>
        <w:t>In March 2017, the FASB issued ASU No. 2017-08, Receivables-Nonrefundable Fees and Other Costs (Subtopic 310-20), Premium Amortization on Purchased Callable Debt Securities (“ASU 2017-08”). ASU 2017-08 shortens the amortization period for certain callable debt securities held at a premium. Specifically, ASU 2017-08 requires the premium to be amortized to the earliest call date. ASU 2017-08 does not require an accounting change for securities held at a discount; the discount continues to be amortized to maturity. The amendments should be applied on a modified retrospective basis, with a cumulative-effect adjustment made directly to retained earnings at the beginning of the period of adoption. The adoption of this guidance did not have a material impact on our financial condition, results of operations, cash flows or disclosures.</w:t>
      </w:r>
    </w:p>
    <w:p>
      <w:pPr>
        <w:spacing w:after="0" w:line="106"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In June 2018, the FASB issued ASU No. 2018-07, Compensation - Stock Compensation (Topic 718): Improvements to Nonemployee Share-Based Payment Accounting ("ASU 2018-07"). This amendment expands the scope of Topic 718, Compensation—Stock Compensation (which only included share-based payments to employees) to include share-based payments issued to nonemployees for goods or services. Consequently, the accounting for share-based payments to nonemployees and employees will be substantially aligned. The adoption of this guidance did not have a material impact on our financial condition, results of operations, cash flows or disclosures.</w:t>
      </w:r>
    </w:p>
    <w:p>
      <w:pPr>
        <w:spacing w:after="0" w:line="10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165"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color w:val="auto"/>
        </w:rPr>
        <w:t>In June 2016, the FASB issued ASU No. 2016-13, Financial Instruments - Credit Losses (Topic 326): Measurement of Credit Losses on Financial Instruments ("ASU 2016-13"), which amends the current accounting guidance and requires the measurement of all expected losses based on historical experience, current conditions and reasonable and supportable forecasts. This guidance amends the accounting for credit losses for available-for-sale investment securities and purchased financial assets with credit deterioration. ASU 2016-13 is effective for annual periods beginning after December 15, 2019, and interim periods within those annual periods. We do not expect the adoption of ASU 2016-13 will have a material impact on our financial condition, results of operations, cash flows or disclosures.</w:t>
      </w:r>
    </w:p>
    <w:p>
      <w:pPr>
        <w:spacing w:after="0" w:line="152" w:lineRule="exact"/>
        <w:rPr>
          <w:sz w:val="20"/>
          <w:szCs w:val="20"/>
          <w:color w:val="auto"/>
        </w:rPr>
      </w:pPr>
    </w:p>
    <w:p>
      <w:pPr>
        <w:jc w:val="both"/>
        <w:ind w:firstLine="597"/>
        <w:spacing w:after="0" w:line="247"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("ASU 2018-15"), a series of amendments which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these amendments. For public business entities, the amendments are effective for annual periods, including interim periods within those annual periods, beginning after December 15, 2019. We adopted ASU 2018-15 on January 1, 2020, on a prospective basis for all implementation costs incurred after the date of adoption. We do not expect the adoption of this guidance will have a material impact on our financial condition, results of operations, cash flows or disclosures.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774" w:right="239" w:bottom="1440" w:gutter="0" w:footer="0" w:header="0"/>
        </w:sectPr>
      </w:pPr>
    </w:p>
    <w:bookmarkStart w:id="73" w:name="page74"/>
    <w:bookmarkEnd w:id="73"/>
    <w:p>
      <w:pPr>
        <w:jc w:val="both"/>
        <w:ind w:left="1" w:firstLine="597"/>
        <w:spacing w:after="0" w:line="248"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w:t>
      </w:r>
      <w:r>
        <w:rPr>
          <w:rFonts w:ascii="Arial" w:cs="Arial" w:eastAsia="Arial" w:hAnsi="Arial"/>
          <w:sz w:val="17"/>
          <w:szCs w:val="17"/>
          <w:i w:val="1"/>
          <w:iCs w:val="1"/>
          <w:color w:val="auto"/>
        </w:rPr>
        <w:t>.</w:t>
      </w:r>
      <w:r>
        <w:rPr>
          <w:rFonts w:ascii="Arial" w:cs="Arial" w:eastAsia="Arial" w:hAnsi="Arial"/>
          <w:sz w:val="17"/>
          <w:szCs w:val="17"/>
          <w:color w:val="auto"/>
        </w:rPr>
        <w:t xml:space="preserve"> This amendment was issued to simplify the accounting for income taxes by removing certain exceptions for recognizing deferred taxes, performing intraperiod allocation, and calculating income taxes in interim periods. Further, ASU 2019-12 adds guidance to reduce complexity in certain areas, including recognizing deferred taxes for tax basis goodwill and allocating taxes to members of a consolidated group. ASU 2019-12 is effective for public business entities for fiscal years, and interim periods within those years, beginning after December 15, 2020. We do not expect the adoption of ASU 2019-12 will have a material impact on our financial condition, results of operations, cash flows or disclosures.</w:t>
      </w:r>
    </w:p>
    <w:p>
      <w:pPr>
        <w:spacing w:after="0" w:line="276" w:lineRule="exact"/>
        <w:rPr>
          <w:sz w:val="20"/>
          <w:szCs w:val="20"/>
          <w:color w:val="auto"/>
        </w:rPr>
      </w:pPr>
    </w:p>
    <w:p>
      <w:pPr>
        <w:ind w:left="601" w:right="9260" w:hanging="601"/>
        <w:spacing w:after="0" w:line="642" w:lineRule="auto"/>
        <w:tabs>
          <w:tab w:leader="none" w:pos="169"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Business Combinations </w:t>
      </w:r>
      <w:r>
        <w:rPr>
          <w:rFonts w:ascii="Arial" w:cs="Arial" w:eastAsia="Arial" w:hAnsi="Arial"/>
          <w:sz w:val="13"/>
          <w:szCs w:val="13"/>
          <w:b w:val="1"/>
          <w:bCs w:val="1"/>
          <w:i w:val="1"/>
          <w:iCs w:val="1"/>
          <w:color w:val="auto"/>
        </w:rPr>
        <w:t>Acquisition of Dynasty</w:t>
      </w:r>
    </w:p>
    <w:p>
      <w:pPr>
        <w:jc w:val="both"/>
        <w:ind w:left="1" w:firstLine="597"/>
        <w:spacing w:after="0" w:line="304" w:lineRule="auto"/>
        <w:rPr>
          <w:sz w:val="20"/>
          <w:szCs w:val="20"/>
          <w:color w:val="auto"/>
        </w:rPr>
      </w:pPr>
      <w:r>
        <w:rPr>
          <w:rFonts w:ascii="Arial" w:cs="Arial" w:eastAsia="Arial" w:hAnsi="Arial"/>
          <w:sz w:val="15"/>
          <w:szCs w:val="15"/>
          <w:color w:val="auto"/>
        </w:rPr>
        <w:t>On January 7, 2019, we acquired 100% of the voting equity interest of Dynasty, a provider of advanced AI solutions for the real estate market. Dynasty offers advanced conversational AI solutions that automate leasing communications, replace manual tasks and help customers grow their portfolios. Dynasty’s technology is designed to enable operational efficiency in the leasing process including consistent prospect experience, lead conversion, and improved market insights.</w:t>
      </w:r>
    </w:p>
    <w:p>
      <w:pPr>
        <w:spacing w:after="0" w:line="140" w:lineRule="exact"/>
        <w:rPr>
          <w:sz w:val="20"/>
          <w:szCs w:val="20"/>
          <w:color w:val="auto"/>
        </w:rPr>
      </w:pPr>
    </w:p>
    <w:p>
      <w:pPr>
        <w:jc w:val="both"/>
        <w:ind w:left="1" w:firstLine="597"/>
        <w:spacing w:after="0" w:line="250" w:lineRule="auto"/>
        <w:rPr>
          <w:sz w:val="20"/>
          <w:szCs w:val="20"/>
          <w:color w:val="auto"/>
        </w:rPr>
      </w:pPr>
      <w:r>
        <w:rPr>
          <w:rFonts w:ascii="Arial" w:cs="Arial" w:eastAsia="Arial" w:hAnsi="Arial"/>
          <w:sz w:val="17"/>
          <w:szCs w:val="17"/>
          <w:color w:val="auto"/>
        </w:rPr>
        <w:t xml:space="preserve">The total purchase consideration was $60.2 million, of which $6.0 million (the "Holdback Amount") was retained by the Company to satisfy any such adjustments, including without limitation certain indemnification claims. The balance of the Holdback Amount, less any amount retained with respect to any unresolved indemnification claims, was released to the stockholders of Dynasty on January 10, 2020 in accordance with the terms of the purchase agreement. The Holdback Amount is recorded in </w:t>
      </w:r>
      <w:r>
        <w:rPr>
          <w:rFonts w:ascii="Arial" w:cs="Arial" w:eastAsia="Arial" w:hAnsi="Arial"/>
          <w:sz w:val="17"/>
          <w:szCs w:val="17"/>
          <w:i w:val="1"/>
          <w:iCs w:val="1"/>
          <w:color w:val="auto"/>
        </w:rPr>
        <w:t xml:space="preserve">other current liabilities </w:t>
      </w:r>
      <w:r>
        <w:rPr>
          <w:rFonts w:ascii="Arial" w:cs="Arial" w:eastAsia="Arial" w:hAnsi="Arial"/>
          <w:sz w:val="17"/>
          <w:szCs w:val="17"/>
          <w:color w:val="auto"/>
        </w:rPr>
        <w:t>on the Consolidated Balance Sheet as of December 31, 2019.</w:t>
      </w:r>
    </w:p>
    <w:p>
      <w:pPr>
        <w:spacing w:after="0" w:line="180" w:lineRule="exact"/>
        <w:rPr>
          <w:sz w:val="20"/>
          <w:szCs w:val="20"/>
          <w:color w:val="auto"/>
        </w:rPr>
      </w:pPr>
    </w:p>
    <w:p>
      <w:pPr>
        <w:jc w:val="both"/>
        <w:ind w:left="1" w:firstLine="597"/>
        <w:spacing w:after="0" w:line="290" w:lineRule="auto"/>
        <w:rPr>
          <w:sz w:val="20"/>
          <w:szCs w:val="20"/>
          <w:color w:val="auto"/>
        </w:rPr>
      </w:pPr>
      <w:r>
        <w:rPr>
          <w:rFonts w:ascii="Arial" w:cs="Arial" w:eastAsia="Arial" w:hAnsi="Arial"/>
          <w:sz w:val="15"/>
          <w:szCs w:val="15"/>
          <w:color w:val="auto"/>
        </w:rPr>
        <w:t>The transaction was accounted for using the acquisition method, and as a result, assets acquired and liabilities assumed were recorded at their estimated fair values as of the acquisition date. Determining the fair value of assets acquired and liabilities assumed requires management to make significant judgments and estimates, including the selection of valuation methodologies and comparable companies, estimates of future revenue and cash flows, discount rates, and the software decay rate and database ramp up rate. The following table summarizes the final purchase price allocation (in thousands) as well as the estimated useful lives of the acquired intangible assets over which they are amortized on a straight-line basis, as this approximates the pattern in which economic benefits are consumed:</w:t>
      </w:r>
    </w:p>
    <w:p>
      <w:pPr>
        <w:spacing w:after="0" w:line="281"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439"/>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3"/>
              </w:rPr>
              <w:t>Estimated Useful Life (in</w:t>
            </w:r>
          </w:p>
        </w:tc>
      </w:tr>
      <w:tr>
        <w:trPr>
          <w:trHeight w:val="177"/>
        </w:trPr>
        <w:tc>
          <w:tcPr>
            <w:tcW w:w="8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years)</w:t>
            </w:r>
          </w:p>
        </w:tc>
      </w:tr>
      <w:tr>
        <w:trPr>
          <w:trHeight w:val="226"/>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305</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r>
      <w:tr>
        <w:trPr>
          <w:trHeight w:val="224"/>
        </w:trPr>
        <w:tc>
          <w:tcPr>
            <w:tcW w:w="8360" w:type="dxa"/>
            <w:vAlign w:val="bottom"/>
            <w:gridSpan w:val="2"/>
          </w:tcPr>
          <w:p>
            <w:pPr>
              <w:ind w:left="20"/>
              <w:spacing w:after="0"/>
              <w:rPr>
                <w:sz w:val="20"/>
                <w:szCs w:val="20"/>
                <w:color w:val="auto"/>
              </w:rPr>
            </w:pPr>
            <w:r>
              <w:rPr>
                <w:rFonts w:ascii="Arial" w:cs="Arial" w:eastAsia="Arial" w:hAnsi="Arial"/>
                <w:sz w:val="17"/>
                <w:szCs w:val="17"/>
                <w:color w:val="auto"/>
              </w:rPr>
              <w:t>Identified intangible 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8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Technology</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5,730</w:t>
            </w:r>
          </w:p>
        </w:tc>
        <w:tc>
          <w:tcPr>
            <w:tcW w:w="1580" w:type="dxa"/>
            <w:vAlign w:val="bottom"/>
            <w:tcBorders>
              <w:bottom w:val="single" w:sz="8" w:color="CCEEFF"/>
            </w:tcBorders>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92"/>
              </w:rPr>
              <w:t>4.0</w:t>
            </w:r>
          </w:p>
        </w:tc>
      </w:tr>
      <w:tr>
        <w:trPr>
          <w:trHeight w:val="224"/>
        </w:trPr>
        <w:tc>
          <w:tcPr>
            <w:tcW w:w="8360" w:type="dxa"/>
            <w:vAlign w:val="bottom"/>
            <w:gridSpan w:val="2"/>
          </w:tcPr>
          <w:p>
            <w:pPr>
              <w:ind w:left="240"/>
              <w:spacing w:after="0"/>
              <w:rPr>
                <w:sz w:val="20"/>
                <w:szCs w:val="20"/>
                <w:color w:val="auto"/>
              </w:rPr>
            </w:pPr>
            <w:r>
              <w:rPr>
                <w:rFonts w:ascii="Arial" w:cs="Arial" w:eastAsia="Arial" w:hAnsi="Arial"/>
                <w:sz w:val="17"/>
                <w:szCs w:val="17"/>
                <w:color w:val="auto"/>
              </w:rPr>
              <w:t>Database</w:t>
            </w:r>
          </w:p>
        </w:tc>
        <w:tc>
          <w:tcPr>
            <w:tcW w:w="2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4,710</w:t>
            </w:r>
          </w:p>
        </w:tc>
        <w:tc>
          <w:tcPr>
            <w:tcW w:w="1580" w:type="dxa"/>
            <w:vAlign w:val="bottom"/>
            <w:gridSpan w:val="2"/>
          </w:tcPr>
          <w:p>
            <w:pPr>
              <w:jc w:val="center"/>
              <w:ind w:left="37"/>
              <w:spacing w:after="0"/>
              <w:rPr>
                <w:sz w:val="20"/>
                <w:szCs w:val="20"/>
                <w:color w:val="auto"/>
              </w:rPr>
            </w:pPr>
            <w:r>
              <w:rPr>
                <w:rFonts w:ascii="Arial" w:cs="Arial" w:eastAsia="Arial" w:hAnsi="Arial"/>
                <w:sz w:val="17"/>
                <w:szCs w:val="17"/>
                <w:color w:val="auto"/>
                <w:w w:val="90"/>
              </w:rPr>
              <w:t>10.0</w:t>
            </w: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8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Customer relationships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1,110</w:t>
            </w:r>
          </w:p>
        </w:tc>
        <w:tc>
          <w:tcPr>
            <w:tcW w:w="1580" w:type="dxa"/>
            <w:vAlign w:val="bottom"/>
            <w:tcBorders>
              <w:bottom w:val="single" w:sz="8" w:color="CCEEFF"/>
            </w:tcBorders>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92"/>
              </w:rPr>
              <w:t>5.0</w:t>
            </w:r>
          </w:p>
        </w:tc>
      </w:tr>
      <w:tr>
        <w:trPr>
          <w:trHeight w:val="224"/>
        </w:trPr>
        <w:tc>
          <w:tcPr>
            <w:tcW w:w="8360" w:type="dxa"/>
            <w:vAlign w:val="bottom"/>
            <w:gridSpan w:val="2"/>
          </w:tcPr>
          <w:p>
            <w:pPr>
              <w:ind w:left="240"/>
              <w:spacing w:after="0"/>
              <w:rPr>
                <w:sz w:val="20"/>
                <w:szCs w:val="20"/>
                <w:color w:val="auto"/>
              </w:rPr>
            </w:pPr>
            <w:r>
              <w:rPr>
                <w:rFonts w:ascii="Arial" w:cs="Arial" w:eastAsia="Arial" w:hAnsi="Arial"/>
                <w:sz w:val="17"/>
                <w:szCs w:val="17"/>
                <w:color w:val="auto"/>
              </w:rPr>
              <w:t>Backlog</w:t>
            </w:r>
          </w:p>
        </w:tc>
        <w:tc>
          <w:tcPr>
            <w:tcW w:w="2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470</w:t>
            </w:r>
          </w:p>
        </w:tc>
        <w:tc>
          <w:tcPr>
            <w:tcW w:w="1580" w:type="dxa"/>
            <w:vAlign w:val="bottom"/>
            <w:gridSpan w:val="2"/>
          </w:tcPr>
          <w:p>
            <w:pPr>
              <w:jc w:val="center"/>
              <w:ind w:left="37"/>
              <w:spacing w:after="0"/>
              <w:rPr>
                <w:sz w:val="20"/>
                <w:szCs w:val="20"/>
                <w:color w:val="auto"/>
              </w:rPr>
            </w:pPr>
            <w:r>
              <w:rPr>
                <w:rFonts w:ascii="Arial" w:cs="Arial" w:eastAsia="Arial" w:hAnsi="Arial"/>
                <w:sz w:val="17"/>
                <w:szCs w:val="17"/>
                <w:color w:val="auto"/>
                <w:w w:val="92"/>
              </w:rPr>
              <w:t>1.0</w:t>
            </w: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8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Trademark &amp; trade name</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1,390</w:t>
            </w:r>
          </w:p>
        </w:tc>
        <w:tc>
          <w:tcPr>
            <w:tcW w:w="1580" w:type="dxa"/>
            <w:vAlign w:val="bottom"/>
            <w:tcBorders>
              <w:bottom w:val="single" w:sz="8" w:color="CCEEFF"/>
            </w:tcBorders>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90"/>
              </w:rPr>
              <w:t>10.0</w:t>
            </w:r>
          </w:p>
        </w:tc>
      </w:tr>
      <w:tr>
        <w:trPr>
          <w:trHeight w:val="224"/>
        </w:trPr>
        <w:tc>
          <w:tcPr>
            <w:tcW w:w="8360" w:type="dxa"/>
            <w:vAlign w:val="bottom"/>
            <w:gridSpan w:val="2"/>
          </w:tcPr>
          <w:p>
            <w:pPr>
              <w:ind w:left="240"/>
              <w:spacing w:after="0"/>
              <w:rPr>
                <w:sz w:val="20"/>
                <w:szCs w:val="20"/>
                <w:color w:val="auto"/>
              </w:rPr>
            </w:pPr>
            <w:r>
              <w:rPr>
                <w:rFonts w:ascii="Arial" w:cs="Arial" w:eastAsia="Arial" w:hAnsi="Arial"/>
                <w:sz w:val="17"/>
                <w:szCs w:val="17"/>
                <w:color w:val="auto"/>
              </w:rPr>
              <w:t>Non-compete agreement</w:t>
            </w:r>
          </w:p>
        </w:tc>
        <w:tc>
          <w:tcPr>
            <w:tcW w:w="2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7,340</w:t>
            </w:r>
          </w:p>
        </w:tc>
        <w:tc>
          <w:tcPr>
            <w:tcW w:w="1580" w:type="dxa"/>
            <w:vAlign w:val="bottom"/>
            <w:gridSpan w:val="2"/>
          </w:tcPr>
          <w:p>
            <w:pPr>
              <w:jc w:val="center"/>
              <w:ind w:left="37"/>
              <w:spacing w:after="0"/>
              <w:rPr>
                <w:sz w:val="20"/>
                <w:szCs w:val="20"/>
                <w:color w:val="auto"/>
              </w:rPr>
            </w:pPr>
            <w:r>
              <w:rPr>
                <w:rFonts w:ascii="Arial" w:cs="Arial" w:eastAsia="Arial" w:hAnsi="Arial"/>
                <w:sz w:val="17"/>
                <w:szCs w:val="17"/>
                <w:color w:val="auto"/>
                <w:w w:val="92"/>
              </w:rPr>
              <w:t>5.0</w:t>
            </w:r>
          </w:p>
        </w:tc>
      </w:tr>
      <w:tr>
        <w:trPr>
          <w:trHeight w:val="25"/>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21"/>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intangible assets subject to amortization</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20,750</w:t>
            </w:r>
          </w:p>
        </w:tc>
        <w:tc>
          <w:tcPr>
            <w:tcW w:w="1580" w:type="dxa"/>
            <w:vAlign w:val="bottom"/>
            <w:tcBorders>
              <w:bottom w:val="single" w:sz="8" w:color="CCEEFF"/>
            </w:tcBorders>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92"/>
              </w:rPr>
              <w:t>6.0</w:t>
            </w:r>
          </w:p>
        </w:tc>
      </w:tr>
      <w:tr>
        <w:trPr>
          <w:trHeight w:val="224"/>
        </w:trPr>
        <w:tc>
          <w:tcPr>
            <w:tcW w:w="8360" w:type="dxa"/>
            <w:vAlign w:val="bottom"/>
            <w:gridSpan w:val="2"/>
          </w:tcPr>
          <w:p>
            <w:pPr>
              <w:ind w:left="20"/>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42,877</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5"/>
              </w:rPr>
              <w:t>Indefinite</w:t>
            </w: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9"/>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17"/>
        </w:trPr>
        <w:tc>
          <w:tcPr>
            <w:tcW w:w="8360" w:type="dxa"/>
            <w:vAlign w:val="bottom"/>
            <w:gridSpan w:val="2"/>
          </w:tcPr>
          <w:p>
            <w:pPr>
              <w:ind w:left="20"/>
              <w:spacing w:after="0"/>
              <w:rPr>
                <w:sz w:val="20"/>
                <w:szCs w:val="20"/>
                <w:color w:val="auto"/>
              </w:rPr>
            </w:pPr>
            <w:r>
              <w:rPr>
                <w:rFonts w:ascii="Arial" w:cs="Arial" w:eastAsia="Arial" w:hAnsi="Arial"/>
                <w:sz w:val="17"/>
                <w:szCs w:val="17"/>
                <w:color w:val="auto"/>
              </w:rPr>
              <w:t>Total assets acquired</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63,967</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91"/>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24"/>
        </w:trPr>
        <w:tc>
          <w:tcPr>
            <w:tcW w:w="8360" w:type="dxa"/>
            <w:vAlign w:val="bottom"/>
            <w:gridSpan w:val="2"/>
          </w:tcPr>
          <w:p>
            <w:pPr>
              <w:ind w:left="20"/>
              <w:spacing w:after="0"/>
              <w:rPr>
                <w:sz w:val="20"/>
                <w:szCs w:val="20"/>
                <w:color w:val="auto"/>
              </w:rPr>
            </w:pPr>
            <w:r>
              <w:rPr>
                <w:rFonts w:ascii="Arial" w:cs="Arial" w:eastAsia="Arial" w:hAnsi="Arial"/>
                <w:sz w:val="17"/>
                <w:szCs w:val="17"/>
                <w:color w:val="auto"/>
              </w:rPr>
              <w:t>Accrued and other liabilities</w:t>
            </w:r>
          </w:p>
        </w:tc>
        <w:tc>
          <w:tcPr>
            <w:tcW w:w="2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9"/>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Deferred tax liability,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3,711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17"/>
        </w:trPr>
        <w:tc>
          <w:tcPr>
            <w:tcW w:w="8360" w:type="dxa"/>
            <w:vAlign w:val="bottom"/>
            <w:gridSpan w:val="2"/>
          </w:tcPr>
          <w:p>
            <w:pPr>
              <w:ind w:left="20"/>
              <w:spacing w:after="0"/>
              <w:rPr>
                <w:sz w:val="20"/>
                <w:szCs w:val="20"/>
                <w:color w:val="auto"/>
              </w:rPr>
            </w:pPr>
            <w:r>
              <w:rPr>
                <w:rFonts w:ascii="Arial" w:cs="Arial" w:eastAsia="Arial" w:hAnsi="Arial"/>
                <w:sz w:val="17"/>
                <w:szCs w:val="17"/>
                <w:color w:val="auto"/>
              </w:rPr>
              <w:t>Total liabilities assumed</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3,759</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35"/>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Purchase consideration</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60,208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Goodwill is mainly attributable to synergies expected from the acquisition and assembled workforce and is non-deductible for U.S. federal income tax purposes.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1"/>
          </w:cols>
          <w:pgMar w:left="239" w:top="575" w:right="239" w:bottom="1440" w:gutter="0" w:footer="0" w:header="0"/>
        </w:sectPr>
      </w:pPr>
    </w:p>
    <w:bookmarkStart w:id="74" w:name="page75"/>
    <w:bookmarkEnd w:id="74"/>
    <w:p>
      <w:pPr>
        <w:jc w:val="both"/>
        <w:ind w:firstLine="597"/>
        <w:spacing w:after="0" w:line="250" w:lineRule="auto"/>
        <w:rPr>
          <w:sz w:val="20"/>
          <w:szCs w:val="20"/>
          <w:color w:val="auto"/>
        </w:rPr>
      </w:pPr>
      <w:r>
        <w:rPr>
          <w:rFonts w:ascii="Arial" w:cs="Arial" w:eastAsia="Arial" w:hAnsi="Arial"/>
          <w:sz w:val="17"/>
          <w:szCs w:val="17"/>
          <w:color w:val="auto"/>
        </w:rPr>
        <w:t>We incurred a total of $291,000 in transaction costs related to the acquisition and expensed all transaction costs incurred during the period in which such service was received. The results of operations of Dynasty since the acquisition are included in our Consolidated Statements of Operations for the Year Ended December 31, 2019. Revenue and net loss attributable to Dynasty in the period from the acquisition date of January 7, 2019 through December 31, 2019, was $2.8 million and $9.2 million, respectively.</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Acquisition of WegoWise</w:t>
      </w:r>
    </w:p>
    <w:p>
      <w:pPr>
        <w:spacing w:after="0" w:line="202"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On August 31, 2018, we completed the acquisition of substantially all of the assets of WegoWise, Inc. ("WegoWise"), a provider of cloud-based utility analytics software solutions serving the real estate market. The WegoWise platform empowers building owners and third-party property managers to better manage operating and capital expenditures relating to utilities. Earlier this year we launched our AppFolio Utility Management Value+ service, which has been developed from certain key aspects of the WegoWise platform, and is a fully integrated offering that provides enhanced functionality to our real estate customers for utility analytics and management.</w:t>
      </w:r>
    </w:p>
    <w:p>
      <w:pPr>
        <w:spacing w:after="0" w:line="147"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The consideration paid in cash for the assets was $14.4 million. The transaction was accounted for using the acquisition method, and as a result, assets acquired and liabilities assumed were recorded at their estimated fair values as of the acquisition date. The following table summarizes the final purchase price allocation (in thousands) as well as the estimated useful lives of the acquired intangible assets over which they are amortized on a straight-line basis, as this approximates the pattern in which economic benefits are consumed: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440"/>
              <w:spacing w:after="0"/>
              <w:rPr>
                <w:sz w:val="20"/>
                <w:szCs w:val="20"/>
                <w:color w:val="auto"/>
              </w:rPr>
            </w:pPr>
            <w:r>
              <w:rPr>
                <w:rFonts w:ascii="Arial" w:cs="Arial" w:eastAsia="Arial" w:hAnsi="Arial"/>
                <w:sz w:val="13"/>
                <w:szCs w:val="13"/>
                <w:b w:val="1"/>
                <w:bCs w:val="1"/>
                <w:color w:val="auto"/>
              </w:rPr>
              <w:t>Amount</w:t>
            </w:r>
          </w:p>
        </w:tc>
        <w:tc>
          <w:tcPr>
            <w:tcW w:w="1580" w:type="dxa"/>
            <w:vAlign w:val="bottom"/>
          </w:tcPr>
          <w:p>
            <w:pPr>
              <w:jc w:val="center"/>
              <w:ind w:left="41"/>
              <w:spacing w:after="0"/>
              <w:rPr>
                <w:sz w:val="20"/>
                <w:szCs w:val="20"/>
                <w:color w:val="auto"/>
              </w:rPr>
            </w:pPr>
            <w:r>
              <w:rPr>
                <w:rFonts w:ascii="Arial" w:cs="Arial" w:eastAsia="Arial" w:hAnsi="Arial"/>
                <w:sz w:val="13"/>
                <w:szCs w:val="13"/>
                <w:b w:val="1"/>
                <w:bCs w:val="1"/>
                <w:color w:val="auto"/>
                <w:w w:val="93"/>
              </w:rPr>
              <w:t>Estimated Useful Life (in</w:t>
            </w:r>
          </w:p>
        </w:tc>
      </w:tr>
      <w:tr>
        <w:trPr>
          <w:trHeight w:val="177"/>
        </w:trPr>
        <w:tc>
          <w:tcPr>
            <w:tcW w:w="8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rPr>
              <w:t>(in thousands)</w:t>
            </w:r>
          </w:p>
        </w:tc>
        <w:tc>
          <w:tcPr>
            <w:tcW w:w="1580" w:type="dxa"/>
            <w:vAlign w:val="bottom"/>
            <w:tcBorders>
              <w:bottom w:val="single" w:sz="8" w:color="auto"/>
            </w:tcBorders>
          </w:tcPr>
          <w:p>
            <w:pPr>
              <w:jc w:val="center"/>
              <w:ind w:left="41"/>
              <w:spacing w:after="0"/>
              <w:rPr>
                <w:sz w:val="20"/>
                <w:szCs w:val="20"/>
                <w:color w:val="auto"/>
              </w:rPr>
            </w:pPr>
            <w:r>
              <w:rPr>
                <w:rFonts w:ascii="Arial" w:cs="Arial" w:eastAsia="Arial" w:hAnsi="Arial"/>
                <w:sz w:val="13"/>
                <w:szCs w:val="13"/>
                <w:b w:val="1"/>
                <w:bCs w:val="1"/>
                <w:color w:val="auto"/>
                <w:w w:val="88"/>
              </w:rPr>
              <w:t>years)</w:t>
            </w:r>
          </w:p>
        </w:tc>
      </w:tr>
      <w:tr>
        <w:trPr>
          <w:trHeight w:val="22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tangible assets</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270</w:t>
            </w:r>
          </w:p>
        </w:tc>
        <w:tc>
          <w:tcPr>
            <w:tcW w:w="1580" w:type="dxa"/>
            <w:vAlign w:val="bottom"/>
            <w:tcBorders>
              <w:bottom w:val="single" w:sz="8" w:color="CCEEFF"/>
            </w:tcBorders>
            <w:shd w:val="clear" w:color="auto" w:fill="CCEEFF"/>
          </w:tcPr>
          <w:p>
            <w:pPr>
              <w:spacing w:after="0"/>
              <w:rPr>
                <w:sz w:val="19"/>
                <w:szCs w:val="19"/>
                <w:color w:val="auto"/>
              </w:rPr>
            </w:pPr>
          </w:p>
        </w:tc>
      </w:tr>
      <w:tr>
        <w:trPr>
          <w:trHeight w:val="224"/>
        </w:trPr>
        <w:tc>
          <w:tcPr>
            <w:tcW w:w="8360" w:type="dxa"/>
            <w:vAlign w:val="bottom"/>
          </w:tcPr>
          <w:p>
            <w:pPr>
              <w:ind w:left="20"/>
              <w:spacing w:after="0"/>
              <w:rPr>
                <w:sz w:val="20"/>
                <w:szCs w:val="20"/>
                <w:color w:val="auto"/>
              </w:rPr>
            </w:pPr>
            <w:r>
              <w:rPr>
                <w:rFonts w:ascii="Arial" w:cs="Arial" w:eastAsia="Arial" w:hAnsi="Arial"/>
                <w:sz w:val="17"/>
                <w:szCs w:val="17"/>
                <w:color w:val="auto"/>
              </w:rPr>
              <w:t>Identified intangible 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5"/>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1,170</w:t>
            </w:r>
          </w:p>
        </w:tc>
        <w:tc>
          <w:tcPr>
            <w:tcW w:w="1580" w:type="dxa"/>
            <w:vAlign w:val="bottom"/>
            <w:tcBorders>
              <w:bottom w:val="single" w:sz="8" w:color="CCEEFF"/>
            </w:tcBorders>
            <w:shd w:val="clear" w:color="auto" w:fill="CCEEFF"/>
          </w:tcPr>
          <w:p>
            <w:pPr>
              <w:jc w:val="center"/>
              <w:ind w:left="41"/>
              <w:spacing w:after="0"/>
              <w:rPr>
                <w:sz w:val="20"/>
                <w:szCs w:val="20"/>
                <w:color w:val="auto"/>
              </w:rPr>
            </w:pPr>
            <w:r>
              <w:rPr>
                <w:rFonts w:ascii="Arial" w:cs="Arial" w:eastAsia="Arial" w:hAnsi="Arial"/>
                <w:sz w:val="17"/>
                <w:szCs w:val="17"/>
                <w:color w:val="auto"/>
                <w:w w:val="92"/>
              </w:rPr>
              <w:t>5.0</w:t>
            </w:r>
          </w:p>
        </w:tc>
      </w:tr>
      <w:tr>
        <w:trPr>
          <w:trHeight w:val="224"/>
        </w:trPr>
        <w:tc>
          <w:tcPr>
            <w:tcW w:w="8360" w:type="dxa"/>
            <w:vAlign w:val="bottom"/>
          </w:tcPr>
          <w:p>
            <w:pPr>
              <w:ind w:left="20"/>
              <w:spacing w:after="0"/>
              <w:rPr>
                <w:sz w:val="20"/>
                <w:szCs w:val="20"/>
                <w:color w:val="auto"/>
              </w:rPr>
            </w:pPr>
            <w:r>
              <w:rPr>
                <w:rFonts w:ascii="Arial" w:cs="Arial" w:eastAsia="Arial" w:hAnsi="Arial"/>
                <w:sz w:val="17"/>
                <w:szCs w:val="17"/>
                <w:color w:val="auto"/>
              </w:rPr>
              <w:t>Database</w:t>
            </w:r>
          </w:p>
        </w:tc>
        <w:tc>
          <w:tcPr>
            <w:tcW w:w="22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7"/>
                <w:szCs w:val="17"/>
                <w:color w:val="auto"/>
              </w:rPr>
              <w:t>3,620</w:t>
            </w:r>
          </w:p>
        </w:tc>
        <w:tc>
          <w:tcPr>
            <w:tcW w:w="1580" w:type="dxa"/>
            <w:vAlign w:val="bottom"/>
          </w:tcPr>
          <w:p>
            <w:pPr>
              <w:jc w:val="center"/>
              <w:ind w:left="41"/>
              <w:spacing w:after="0"/>
              <w:rPr>
                <w:sz w:val="20"/>
                <w:szCs w:val="20"/>
                <w:color w:val="auto"/>
              </w:rPr>
            </w:pPr>
            <w:r>
              <w:rPr>
                <w:rFonts w:ascii="Arial" w:cs="Arial" w:eastAsia="Arial" w:hAnsi="Arial"/>
                <w:sz w:val="17"/>
                <w:szCs w:val="17"/>
                <w:color w:val="auto"/>
                <w:w w:val="90"/>
              </w:rPr>
              <w:t>10.0</w:t>
            </w:r>
          </w:p>
        </w:tc>
      </w:tr>
      <w:tr>
        <w:trPr>
          <w:trHeight w:val="25"/>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Trademark and trade name</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370</w:t>
            </w:r>
          </w:p>
        </w:tc>
        <w:tc>
          <w:tcPr>
            <w:tcW w:w="1580" w:type="dxa"/>
            <w:vAlign w:val="bottom"/>
            <w:tcBorders>
              <w:bottom w:val="single" w:sz="8" w:color="CCEEFF"/>
            </w:tcBorders>
            <w:shd w:val="clear" w:color="auto" w:fill="CCEEFF"/>
          </w:tcPr>
          <w:p>
            <w:pPr>
              <w:jc w:val="center"/>
              <w:ind w:left="41"/>
              <w:spacing w:after="0"/>
              <w:rPr>
                <w:sz w:val="20"/>
                <w:szCs w:val="20"/>
                <w:color w:val="auto"/>
              </w:rPr>
            </w:pPr>
            <w:r>
              <w:rPr>
                <w:rFonts w:ascii="Arial" w:cs="Arial" w:eastAsia="Arial" w:hAnsi="Arial"/>
                <w:sz w:val="17"/>
                <w:szCs w:val="17"/>
                <w:color w:val="auto"/>
                <w:w w:val="90"/>
              </w:rPr>
              <w:t>10.0</w:t>
            </w:r>
          </w:p>
        </w:tc>
      </w:tr>
      <w:tr>
        <w:trPr>
          <w:trHeight w:val="224"/>
        </w:trPr>
        <w:tc>
          <w:tcPr>
            <w:tcW w:w="8360" w:type="dxa"/>
            <w:vAlign w:val="bottom"/>
          </w:tcPr>
          <w:p>
            <w:pPr>
              <w:ind w:left="20"/>
              <w:spacing w:after="0"/>
              <w:rPr>
                <w:sz w:val="20"/>
                <w:szCs w:val="20"/>
                <w:color w:val="auto"/>
              </w:rPr>
            </w:pPr>
            <w:r>
              <w:rPr>
                <w:rFonts w:ascii="Arial" w:cs="Arial" w:eastAsia="Arial" w:hAnsi="Arial"/>
                <w:sz w:val="17"/>
                <w:szCs w:val="17"/>
                <w:color w:val="auto"/>
              </w:rPr>
              <w:t>Non-compete agreement</w:t>
            </w:r>
          </w:p>
        </w:tc>
        <w:tc>
          <w:tcPr>
            <w:tcW w:w="22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7"/>
                <w:szCs w:val="17"/>
                <w:color w:val="auto"/>
              </w:rPr>
              <w:t>60</w:t>
            </w:r>
          </w:p>
        </w:tc>
        <w:tc>
          <w:tcPr>
            <w:tcW w:w="1580" w:type="dxa"/>
            <w:vAlign w:val="bottom"/>
          </w:tcPr>
          <w:p>
            <w:pPr>
              <w:jc w:val="center"/>
              <w:ind w:left="41"/>
              <w:spacing w:after="0"/>
              <w:rPr>
                <w:sz w:val="20"/>
                <w:szCs w:val="20"/>
                <w:color w:val="auto"/>
              </w:rPr>
            </w:pPr>
            <w:r>
              <w:rPr>
                <w:rFonts w:ascii="Arial" w:cs="Arial" w:eastAsia="Arial" w:hAnsi="Arial"/>
                <w:sz w:val="17"/>
                <w:szCs w:val="17"/>
                <w:color w:val="auto"/>
                <w:w w:val="92"/>
              </w:rPr>
              <w:t>5.0</w:t>
            </w:r>
          </w:p>
        </w:tc>
      </w:tr>
      <w:tr>
        <w:trPr>
          <w:trHeight w:val="25"/>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9"/>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Backlog</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140</w:t>
            </w:r>
          </w:p>
        </w:tc>
        <w:tc>
          <w:tcPr>
            <w:tcW w:w="1580" w:type="dxa"/>
            <w:vAlign w:val="bottom"/>
            <w:tcBorders>
              <w:bottom w:val="single" w:sz="8" w:color="CCEEFF"/>
            </w:tcBorders>
            <w:shd w:val="clear" w:color="auto" w:fill="CCEEFF"/>
          </w:tcPr>
          <w:p>
            <w:pPr>
              <w:jc w:val="center"/>
              <w:ind w:left="41"/>
              <w:spacing w:after="0"/>
              <w:rPr>
                <w:sz w:val="20"/>
                <w:szCs w:val="20"/>
                <w:color w:val="auto"/>
              </w:rPr>
            </w:pPr>
            <w:r>
              <w:rPr>
                <w:rFonts w:ascii="Arial" w:cs="Arial" w:eastAsia="Arial" w:hAnsi="Arial"/>
                <w:sz w:val="17"/>
                <w:szCs w:val="17"/>
                <w:color w:val="auto"/>
                <w:w w:val="92"/>
              </w:rPr>
              <w:t>1.0</w:t>
            </w:r>
          </w:p>
        </w:tc>
      </w:tr>
      <w:tr>
        <w:trPr>
          <w:trHeight w:val="217"/>
        </w:trPr>
        <w:tc>
          <w:tcPr>
            <w:tcW w:w="8360" w:type="dxa"/>
            <w:vAlign w:val="bottom"/>
          </w:tcPr>
          <w:p>
            <w:pPr>
              <w:ind w:left="20"/>
              <w:spacing w:after="0"/>
              <w:rPr>
                <w:sz w:val="20"/>
                <w:szCs w:val="20"/>
                <w:color w:val="auto"/>
              </w:rPr>
            </w:pPr>
            <w:r>
              <w:rPr>
                <w:rFonts w:ascii="Arial" w:cs="Arial" w:eastAsia="Arial" w:hAnsi="Arial"/>
                <w:sz w:val="17"/>
                <w:szCs w:val="17"/>
                <w:color w:val="auto"/>
              </w:rPr>
              <w:t>Total intangible assets subject to amortization</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5,360</w:t>
            </w:r>
          </w:p>
        </w:tc>
        <w:tc>
          <w:tcPr>
            <w:tcW w:w="1580" w:type="dxa"/>
            <w:vAlign w:val="bottom"/>
          </w:tcPr>
          <w:p>
            <w:pPr>
              <w:jc w:val="center"/>
              <w:ind w:left="41"/>
              <w:spacing w:after="0"/>
              <w:rPr>
                <w:sz w:val="20"/>
                <w:szCs w:val="20"/>
                <w:color w:val="auto"/>
              </w:rPr>
            </w:pPr>
            <w:r>
              <w:rPr>
                <w:rFonts w:ascii="Arial" w:cs="Arial" w:eastAsia="Arial" w:hAnsi="Arial"/>
                <w:sz w:val="17"/>
                <w:szCs w:val="17"/>
                <w:color w:val="auto"/>
                <w:w w:val="92"/>
              </w:rPr>
              <w:t>8.6</w:t>
            </w:r>
          </w:p>
        </w:tc>
      </w:tr>
      <w:tr>
        <w:trPr>
          <w:trHeight w:val="25"/>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8,811</w:t>
            </w:r>
          </w:p>
        </w:tc>
        <w:tc>
          <w:tcPr>
            <w:tcW w:w="1580" w:type="dxa"/>
            <w:vAlign w:val="bottom"/>
            <w:tcBorders>
              <w:bottom w:val="single" w:sz="8" w:color="CCEEFF"/>
            </w:tcBorders>
            <w:shd w:val="clear" w:color="auto" w:fill="CCEEFF"/>
          </w:tcPr>
          <w:p>
            <w:pPr>
              <w:jc w:val="center"/>
              <w:ind w:left="41"/>
              <w:spacing w:after="0"/>
              <w:rPr>
                <w:sz w:val="20"/>
                <w:szCs w:val="20"/>
                <w:color w:val="auto"/>
              </w:rPr>
            </w:pPr>
            <w:r>
              <w:rPr>
                <w:rFonts w:ascii="Arial" w:cs="Arial" w:eastAsia="Arial" w:hAnsi="Arial"/>
                <w:sz w:val="17"/>
                <w:szCs w:val="17"/>
                <w:color w:val="auto"/>
                <w:w w:val="95"/>
              </w:rPr>
              <w:t>Indefinite</w:t>
            </w:r>
          </w:p>
        </w:tc>
      </w:tr>
      <w:tr>
        <w:trPr>
          <w:trHeight w:val="235"/>
        </w:trPr>
        <w:tc>
          <w:tcPr>
            <w:tcW w:w="8360" w:type="dxa"/>
            <w:vAlign w:val="bottom"/>
          </w:tcPr>
          <w:p>
            <w:pPr>
              <w:ind w:left="20"/>
              <w:spacing w:after="0"/>
              <w:rPr>
                <w:sz w:val="20"/>
                <w:szCs w:val="20"/>
                <w:color w:val="auto"/>
              </w:rPr>
            </w:pPr>
            <w:r>
              <w:rPr>
                <w:rFonts w:ascii="Arial" w:cs="Arial" w:eastAsia="Arial" w:hAnsi="Arial"/>
                <w:sz w:val="17"/>
                <w:szCs w:val="17"/>
                <w:color w:val="auto"/>
              </w:rPr>
              <w:t>Purchase consideration, paid in cash</w:t>
            </w: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14,441</w:t>
            </w:r>
          </w:p>
        </w:tc>
        <w:tc>
          <w:tcPr>
            <w:tcW w:w="1580" w:type="dxa"/>
            <w:vAlign w:val="bottom"/>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38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Goodwill is mainly attributable to synergies expected from the acquisition and assembled workforce and is deductible for U.S. federal income tax purposes.</w:t>
      </w:r>
    </w:p>
    <w:p>
      <w:pPr>
        <w:spacing w:after="0" w:line="225"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We incurred a total of $240,000 in transaction costs related to the acquisition and expensed all transaction costs incurred during the period in which such service was received. The results of operations of WegoWise since the acquisition are included in our Consolidated Statements of Operations for the year ended December 31, 2018. Revenue and net loss attributable to WegoWise, in the period from the acquisition date of August 31, 2018 through December 31, 2018, were $0.4 million and $1.4 million, respectively.</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Pro Forma Results of Operations</w:t>
      </w:r>
    </w:p>
    <w:p>
      <w:pPr>
        <w:spacing w:after="0" w:line="202" w:lineRule="exact"/>
        <w:rPr>
          <w:sz w:val="20"/>
          <w:szCs w:val="20"/>
          <w:color w:val="auto"/>
        </w:rPr>
      </w:pPr>
    </w:p>
    <w:p>
      <w:pPr>
        <w:jc w:val="both"/>
        <w:ind w:firstLine="597"/>
        <w:spacing w:after="0" w:line="248" w:lineRule="auto"/>
        <w:rPr>
          <w:sz w:val="20"/>
          <w:szCs w:val="20"/>
          <w:color w:val="auto"/>
        </w:rPr>
      </w:pPr>
      <w:r>
        <w:rPr>
          <w:rFonts w:ascii="Arial" w:cs="Arial" w:eastAsia="Arial" w:hAnsi="Arial"/>
          <w:sz w:val="17"/>
          <w:szCs w:val="17"/>
          <w:color w:val="auto"/>
        </w:rPr>
        <w:t>The following unaudited pro forma information has been prepared for illustrative purposes only, and assumes that the aforementioned Dynasty and WegoWise acquisitions occurred on January 1, 2018 and January 1, 2017, respectively, and includes pro forma adjustments related to the amortization of acquired intangible assets, elimination of historical interest and amortization expense, income taxes, compensation arrangements, and the transaction costs incurred. The unaudited pro forma results have been prepared based on estimates and assumptions, which we believe are reasonable; however, they are not necessarily indicative of the consolidated results of operations had the acquisitions occurred at the beginning of the periods presented, or of future results of operations. The unaudited pro forma results are as follows (in thousands):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774" w:right="239" w:bottom="1440" w:gutter="0" w:footer="0" w:header="0"/>
        </w:sectPr>
      </w:pPr>
    </w:p>
    <w:bookmarkStart w:id="75" w:name="page76"/>
    <w:bookmarkEnd w:id="75"/>
    <w:tbl>
      <w:tblPr>
        <w:tblLayout w:type="fixed"/>
        <w:tblInd w:w="1" w:type="dxa"/>
        <w:tblCellMar>
          <w:top w:w="0" w:type="dxa"/>
          <w:left w:w="0" w:type="dxa"/>
          <w:bottom w:w="0" w:type="dxa"/>
          <w:right w:w="0" w:type="dxa"/>
        </w:tblCellMar>
      </w:tblPr>
      <w:tr>
        <w:trPr>
          <w:trHeight w:val="177"/>
        </w:trPr>
        <w:tc>
          <w:tcPr>
            <w:tcW w:w="7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41"/>
        </w:trPr>
        <w:tc>
          <w:tcPr>
            <w:tcW w:w="77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6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2017</w:t>
            </w:r>
          </w:p>
        </w:tc>
      </w:tr>
      <w:tr>
        <w:trPr>
          <w:trHeight w:val="22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color w:val="auto"/>
              </w:rPr>
              <w:t>256,047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193,405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146,859</w:t>
            </w:r>
          </w:p>
        </w:tc>
      </w:tr>
      <w:tr>
        <w:trPr>
          <w:trHeight w:val="224"/>
        </w:trPr>
        <w:tc>
          <w:tcPr>
            <w:tcW w:w="77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Pr>
          <w:p>
            <w:pPr>
              <w:spacing w:after="0"/>
              <w:rPr>
                <w:sz w:val="19"/>
                <w:szCs w:val="19"/>
                <w:color w:val="auto"/>
              </w:rPr>
            </w:pPr>
          </w:p>
        </w:tc>
        <w:tc>
          <w:tcPr>
            <w:tcW w:w="880" w:type="dxa"/>
            <w:vAlign w:val="bottom"/>
          </w:tcPr>
          <w:p>
            <w:pPr>
              <w:jc w:val="right"/>
              <w:ind w:right="45"/>
              <w:spacing w:after="0"/>
              <w:rPr>
                <w:sz w:val="20"/>
                <w:szCs w:val="20"/>
                <w:color w:val="auto"/>
              </w:rPr>
            </w:pPr>
            <w:r>
              <w:rPr>
                <w:rFonts w:ascii="Arial" w:cs="Arial" w:eastAsia="Arial" w:hAnsi="Arial"/>
                <w:sz w:val="17"/>
                <w:szCs w:val="17"/>
                <w:color w:val="auto"/>
              </w:rPr>
              <w:t>32,339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7"/>
                <w:szCs w:val="17"/>
                <w:color w:val="auto"/>
              </w:rPr>
              <w:t>5,937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7"/>
                <w:szCs w:val="17"/>
                <w:color w:val="auto"/>
              </w:rPr>
              <w:t>5,052</w:t>
            </w:r>
          </w:p>
        </w:tc>
      </w:tr>
    </w:tbl>
    <w:p>
      <w:pPr>
        <w:spacing w:after="0" w:line="200" w:lineRule="exact"/>
        <w:rPr>
          <w:sz w:val="20"/>
          <w:szCs w:val="20"/>
          <w:color w:val="auto"/>
        </w:rPr>
      </w:pPr>
    </w:p>
    <w:p>
      <w:pPr>
        <w:spacing w:after="0" w:line="306" w:lineRule="exact"/>
        <w:rPr>
          <w:sz w:val="20"/>
          <w:szCs w:val="20"/>
          <w:color w:val="auto"/>
        </w:rPr>
      </w:pPr>
    </w:p>
    <w:p>
      <w:pPr>
        <w:ind w:left="601" w:right="7560" w:hanging="601"/>
        <w:spacing w:after="0" w:line="467" w:lineRule="auto"/>
        <w:tabs>
          <w:tab w:leader="none" w:pos="169"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 Securities and Fair Value Measurements </w:t>
      </w:r>
      <w:r>
        <w:rPr>
          <w:rFonts w:ascii="Arial" w:cs="Arial" w:eastAsia="Arial" w:hAnsi="Arial"/>
          <w:sz w:val="17"/>
          <w:szCs w:val="17"/>
          <w:b w:val="1"/>
          <w:bCs w:val="1"/>
          <w:i w:val="1"/>
          <w:iCs w:val="1"/>
          <w:color w:val="auto"/>
        </w:rPr>
        <w:t>Investment Securities</w:t>
      </w:r>
    </w:p>
    <w:p>
      <w:pPr>
        <w:spacing w:after="0" w:line="1" w:lineRule="exact"/>
        <w:rPr>
          <w:rFonts w:ascii="Arial" w:cs="Arial" w:eastAsia="Arial" w:hAnsi="Arial"/>
          <w:sz w:val="17"/>
          <w:szCs w:val="17"/>
          <w:b w:val="1"/>
          <w:bCs w:val="1"/>
          <w:color w:val="auto"/>
        </w:rPr>
      </w:pPr>
    </w:p>
    <w:p>
      <w:pPr>
        <w:ind w:left="601"/>
        <w:spacing w:after="0"/>
        <w:rPr>
          <w:rFonts w:ascii="Arial" w:cs="Arial" w:eastAsia="Arial" w:hAnsi="Arial"/>
          <w:sz w:val="17"/>
          <w:szCs w:val="17"/>
          <w:b w:val="1"/>
          <w:bCs w:val="1"/>
          <w:color w:val="auto"/>
        </w:rPr>
      </w:pPr>
      <w:r>
        <w:rPr>
          <w:rFonts w:ascii="Arial" w:cs="Arial" w:eastAsia="Arial" w:hAnsi="Arial"/>
          <w:sz w:val="17"/>
          <w:szCs w:val="17"/>
          <w:color w:val="auto"/>
        </w:rPr>
        <w:t>Investment securities classified as available-for-sale consisted of the following at December 31, 2019 and 2018 (in thousands):</w:t>
      </w:r>
    </w:p>
    <w:p>
      <w:pPr>
        <w:spacing w:after="0" w:line="207" w:lineRule="exact"/>
        <w:rPr>
          <w:sz w:val="20"/>
          <w:szCs w:val="20"/>
          <w:color w:val="auto"/>
        </w:rPr>
      </w:pPr>
    </w:p>
    <w:tbl>
      <w:tblPr>
        <w:tblLayout w:type="fixed"/>
        <w:tblInd w:w="1" w:type="dxa"/>
        <w:tblCellMar>
          <w:top w:w="0" w:type="dxa"/>
          <w:left w:w="0" w:type="dxa"/>
          <w:bottom w:w="0" w:type="dxa"/>
          <w:right w:w="0" w:type="dxa"/>
        </w:tblCellMar>
      </w:tblPr>
      <w:tr>
        <w:trPr>
          <w:trHeight w:val="177"/>
        </w:trPr>
        <w:tc>
          <w:tcPr>
            <w:tcW w:w="4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5"/>
          </w:tcPr>
          <w:p>
            <w:pPr>
              <w:ind w:left="1000"/>
              <w:spacing w:after="0"/>
              <w:rPr>
                <w:sz w:val="20"/>
                <w:szCs w:val="20"/>
                <w:color w:val="auto"/>
              </w:rPr>
            </w:pPr>
            <w:r>
              <w:rPr>
                <w:rFonts w:ascii="Arial" w:cs="Arial" w:eastAsia="Arial" w:hAnsi="Arial"/>
                <w:sz w:val="13"/>
                <w:szCs w:val="13"/>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241"/>
        </w:trPr>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3"/>
                <w:szCs w:val="13"/>
                <w:b w:val="1"/>
                <w:bCs w:val="1"/>
                <w:color w:val="auto"/>
              </w:rPr>
              <w:t>Amortized Cost</w:t>
            </w: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3"/>
                <w:szCs w:val="13"/>
                <w:b w:val="1"/>
                <w:bCs w:val="1"/>
                <w:color w:val="auto"/>
              </w:rPr>
              <w:t>Gross Unrealized Gains</w:t>
            </w: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3"/>
                <w:szCs w:val="13"/>
                <w:b w:val="1"/>
                <w:bCs w:val="1"/>
                <w:color w:val="auto"/>
              </w:rPr>
              <w:t>Gross Unrealized Losses</w:t>
            </w:r>
          </w:p>
        </w:tc>
        <w:tc>
          <w:tcPr>
            <w:tcW w:w="140" w:type="dxa"/>
            <w:vAlign w:val="bottom"/>
          </w:tcPr>
          <w:p>
            <w:pPr>
              <w:spacing w:after="0"/>
              <w:rPr>
                <w:sz w:val="20"/>
                <w:szCs w:val="20"/>
                <w:color w:val="auto"/>
              </w:rPr>
            </w:pPr>
          </w:p>
        </w:tc>
        <w:tc>
          <w:tcPr>
            <w:tcW w:w="1440" w:type="dxa"/>
            <w:vAlign w:val="bottom"/>
          </w:tcPr>
          <w:p>
            <w:pPr>
              <w:jc w:val="right"/>
              <w:ind w:right="100"/>
              <w:spacing w:after="0"/>
              <w:rPr>
                <w:sz w:val="20"/>
                <w:szCs w:val="20"/>
                <w:color w:val="auto"/>
              </w:rPr>
            </w:pPr>
            <w:r>
              <w:rPr>
                <w:rFonts w:ascii="Arial" w:cs="Arial" w:eastAsia="Arial" w:hAnsi="Arial"/>
                <w:sz w:val="13"/>
                <w:szCs w:val="13"/>
                <w:b w:val="1"/>
                <w:bCs w:val="1"/>
                <w:color w:val="auto"/>
                <w:w w:val="96"/>
              </w:rPr>
              <w:t>Estimated Fair Value</w:t>
            </w:r>
          </w:p>
        </w:tc>
      </w:tr>
      <w:tr>
        <w:trPr>
          <w:trHeight w:val="226"/>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 bonds</w:t>
            </w:r>
          </w:p>
        </w:tc>
        <w:tc>
          <w:tcPr>
            <w:tcW w:w="2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9,597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9,614</w:t>
            </w:r>
          </w:p>
        </w:tc>
      </w:tr>
      <w:tr>
        <w:trPr>
          <w:trHeight w:val="224"/>
        </w:trPr>
        <w:tc>
          <w:tcPr>
            <w:tcW w:w="4680" w:type="dxa"/>
            <w:vAlign w:val="bottom"/>
          </w:tcPr>
          <w:p>
            <w:pPr>
              <w:ind w:left="20"/>
              <w:spacing w:after="0"/>
              <w:rPr>
                <w:sz w:val="20"/>
                <w:szCs w:val="20"/>
                <w:color w:val="auto"/>
              </w:rPr>
            </w:pPr>
            <w:r>
              <w:rPr>
                <w:rFonts w:ascii="Arial" w:cs="Arial" w:eastAsia="Arial" w:hAnsi="Arial"/>
                <w:sz w:val="17"/>
                <w:szCs w:val="17"/>
                <w:color w:val="auto"/>
              </w:rPr>
              <w:t>Agency securities</w:t>
            </w:r>
          </w:p>
        </w:tc>
        <w:tc>
          <w:tcPr>
            <w:tcW w:w="240" w:type="dxa"/>
            <w:vAlign w:val="bottom"/>
          </w:tcPr>
          <w:p>
            <w:pPr>
              <w:spacing w:after="0"/>
              <w:rPr>
                <w:sz w:val="19"/>
                <w:szCs w:val="19"/>
                <w:color w:val="auto"/>
              </w:rPr>
            </w:pPr>
          </w:p>
        </w:tc>
        <w:tc>
          <w:tcPr>
            <w:tcW w:w="1400" w:type="dxa"/>
            <w:vAlign w:val="bottom"/>
          </w:tcPr>
          <w:p>
            <w:pPr>
              <w:jc w:val="right"/>
              <w:ind w:right="40"/>
              <w:spacing w:after="0"/>
              <w:rPr>
                <w:sz w:val="20"/>
                <w:szCs w:val="20"/>
                <w:color w:val="auto"/>
              </w:rPr>
            </w:pPr>
            <w:r>
              <w:rPr>
                <w:rFonts w:ascii="Arial" w:cs="Arial" w:eastAsia="Arial" w:hAnsi="Arial"/>
                <w:sz w:val="17"/>
                <w:szCs w:val="17"/>
                <w:color w:val="auto"/>
              </w:rPr>
              <w:t>11,101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43"/>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40" w:type="dxa"/>
            <w:vAlign w:val="bottom"/>
          </w:tcPr>
          <w:p>
            <w:pPr>
              <w:jc w:val="right"/>
              <w:ind w:right="20"/>
              <w:spacing w:after="0"/>
              <w:rPr>
                <w:sz w:val="20"/>
                <w:szCs w:val="20"/>
                <w:color w:val="auto"/>
              </w:rPr>
            </w:pPr>
            <w:r>
              <w:rPr>
                <w:rFonts w:ascii="Arial" w:cs="Arial" w:eastAsia="Arial" w:hAnsi="Arial"/>
                <w:sz w:val="17"/>
                <w:szCs w:val="17"/>
                <w:color w:val="auto"/>
              </w:rPr>
              <w:t>11,118</w:t>
            </w:r>
          </w:p>
        </w:tc>
      </w:tr>
      <w:tr>
        <w:trPr>
          <w:trHeight w:val="25"/>
        </w:trPr>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Treasury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14,222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14,233</w:t>
            </w:r>
          </w:p>
        </w:tc>
      </w:tr>
      <w:tr>
        <w:trPr>
          <w:trHeight w:val="235"/>
        </w:trPr>
        <w:tc>
          <w:tcPr>
            <w:tcW w:w="4680" w:type="dxa"/>
            <w:vAlign w:val="bottom"/>
          </w:tcPr>
          <w:p>
            <w:pPr>
              <w:ind w:left="20"/>
              <w:spacing w:after="0"/>
              <w:rPr>
                <w:sz w:val="20"/>
                <w:szCs w:val="20"/>
                <w:color w:val="auto"/>
              </w:rPr>
            </w:pPr>
            <w:r>
              <w:rPr>
                <w:rFonts w:ascii="Arial" w:cs="Arial" w:eastAsia="Arial" w:hAnsi="Arial"/>
                <w:sz w:val="17"/>
                <w:szCs w:val="17"/>
                <w:color w:val="auto"/>
              </w:rPr>
              <w:t>Total available-for-sale investment securities</w:t>
            </w:r>
          </w:p>
        </w:tc>
        <w:tc>
          <w:tcPr>
            <w:tcW w:w="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34,920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34,965</w:t>
            </w:r>
          </w:p>
        </w:tc>
      </w:tr>
      <w:tr>
        <w:trPr>
          <w:trHeight w:val="20"/>
        </w:trPr>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 w:type="dxa"/>
        <w:tblCellMar>
          <w:top w:w="0" w:type="dxa"/>
          <w:left w:w="0" w:type="dxa"/>
          <w:bottom w:w="0" w:type="dxa"/>
          <w:right w:w="0" w:type="dxa"/>
        </w:tblCellMar>
      </w:tblPr>
      <w:tr>
        <w:trPr>
          <w:trHeight w:val="177"/>
        </w:trPr>
        <w:tc>
          <w:tcPr>
            <w:tcW w:w="4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5"/>
          </w:tcPr>
          <w:p>
            <w:pPr>
              <w:ind w:left="1000"/>
              <w:spacing w:after="0"/>
              <w:rPr>
                <w:sz w:val="20"/>
                <w:szCs w:val="20"/>
                <w:color w:val="auto"/>
              </w:rPr>
            </w:pPr>
            <w:r>
              <w:rPr>
                <w:rFonts w:ascii="Arial" w:cs="Arial" w:eastAsia="Arial" w:hAnsi="Arial"/>
                <w:sz w:val="13"/>
                <w:szCs w:val="13"/>
                <w:b w:val="1"/>
                <w:bCs w:val="1"/>
                <w:color w:val="auto"/>
              </w:rPr>
              <w:t>December 31, 2018</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241"/>
        </w:trPr>
        <w:tc>
          <w:tcPr>
            <w:tcW w:w="4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Amortized Cost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91"/>
              </w:rPr>
              <w:t>Gross Unrealized Gains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7"/>
              </w:rPr>
              <w:t>Gross Unrealized Losses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6"/>
              </w:rPr>
              <w:t>Estimated Fair Value</w:t>
            </w:r>
          </w:p>
        </w:tc>
      </w:tr>
      <w:tr>
        <w:trPr>
          <w:trHeight w:val="22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 bonds</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23,720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23,557</w:t>
            </w:r>
          </w:p>
        </w:tc>
      </w:tr>
      <w:tr>
        <w:trPr>
          <w:trHeight w:val="224"/>
        </w:trPr>
        <w:tc>
          <w:tcPr>
            <w:tcW w:w="4680" w:type="dxa"/>
            <w:vAlign w:val="bottom"/>
          </w:tcPr>
          <w:p>
            <w:pPr>
              <w:ind w:left="20"/>
              <w:spacing w:after="0"/>
              <w:rPr>
                <w:sz w:val="20"/>
                <w:szCs w:val="20"/>
                <w:color w:val="auto"/>
              </w:rPr>
            </w:pPr>
            <w:r>
              <w:rPr>
                <w:rFonts w:ascii="Arial" w:cs="Arial" w:eastAsia="Arial" w:hAnsi="Arial"/>
                <w:sz w:val="17"/>
                <w:szCs w:val="17"/>
                <w:color w:val="auto"/>
              </w:rPr>
              <w:t>Agency securities</w:t>
            </w:r>
          </w:p>
        </w:tc>
        <w:tc>
          <w:tcPr>
            <w:tcW w:w="240" w:type="dxa"/>
            <w:vAlign w:val="bottom"/>
          </w:tcPr>
          <w:p>
            <w:pPr>
              <w:spacing w:after="0"/>
              <w:rPr>
                <w:sz w:val="19"/>
                <w:szCs w:val="19"/>
                <w:color w:val="auto"/>
              </w:rPr>
            </w:pPr>
          </w:p>
        </w:tc>
        <w:tc>
          <w:tcPr>
            <w:tcW w:w="1400" w:type="dxa"/>
            <w:vAlign w:val="bottom"/>
          </w:tcPr>
          <w:p>
            <w:pPr>
              <w:jc w:val="right"/>
              <w:ind w:right="41"/>
              <w:spacing w:after="0"/>
              <w:rPr>
                <w:sz w:val="20"/>
                <w:szCs w:val="20"/>
                <w:color w:val="auto"/>
              </w:rPr>
            </w:pPr>
            <w:r>
              <w:rPr>
                <w:rFonts w:ascii="Arial" w:cs="Arial" w:eastAsia="Arial" w:hAnsi="Arial"/>
                <w:sz w:val="17"/>
                <w:szCs w:val="17"/>
                <w:color w:val="auto"/>
              </w:rPr>
              <w:t>4,345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44"/>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21"/>
              <w:spacing w:after="0"/>
              <w:rPr>
                <w:sz w:val="20"/>
                <w:szCs w:val="20"/>
                <w:color w:val="auto"/>
              </w:rPr>
            </w:pPr>
            <w:r>
              <w:rPr>
                <w:rFonts w:ascii="Arial" w:cs="Arial" w:eastAsia="Arial" w:hAnsi="Arial"/>
                <w:sz w:val="17"/>
                <w:szCs w:val="17"/>
                <w:color w:val="auto"/>
              </w:rPr>
              <w:t>4,330</w:t>
            </w:r>
          </w:p>
        </w:tc>
      </w:tr>
      <w:tr>
        <w:trPr>
          <w:trHeight w:val="25"/>
        </w:trPr>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available-for-sale investment securities</w:t>
            </w: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28,065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27,887</w:t>
            </w:r>
          </w:p>
        </w:tc>
      </w:tr>
      <w:tr>
        <w:trPr>
          <w:trHeight w:val="20"/>
        </w:trPr>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left="1" w:firstLine="597"/>
        <w:spacing w:after="0" w:line="254" w:lineRule="auto"/>
        <w:rPr>
          <w:sz w:val="20"/>
          <w:szCs w:val="20"/>
          <w:color w:val="auto"/>
        </w:rPr>
      </w:pPr>
      <w:r>
        <w:rPr>
          <w:rFonts w:ascii="Arial" w:cs="Arial" w:eastAsia="Arial" w:hAnsi="Arial"/>
          <w:sz w:val="17"/>
          <w:szCs w:val="17"/>
          <w:color w:val="auto"/>
        </w:rPr>
        <w:t>At December 31, 2019, the unrealized losses on investment securities which have been in a net loss position for twelve months or greater were not material. These unrealized losses are considered temporary and there were no impairments considered to be "other-than-temporary" based on our evaluation of available evidence, which includes our intent to hold these investments to maturity or a recovery of the cost basis.</w:t>
      </w:r>
    </w:p>
    <w:p>
      <w:pPr>
        <w:spacing w:after="0" w:line="275" w:lineRule="exact"/>
        <w:rPr>
          <w:sz w:val="20"/>
          <w:szCs w:val="20"/>
          <w:color w:val="auto"/>
        </w:rPr>
      </w:pPr>
    </w:p>
    <w:p>
      <w:pPr>
        <w:ind w:left="1" w:right="340" w:firstLine="597"/>
        <w:spacing w:after="0" w:line="264" w:lineRule="auto"/>
        <w:rPr>
          <w:sz w:val="20"/>
          <w:szCs w:val="20"/>
          <w:color w:val="auto"/>
        </w:rPr>
      </w:pPr>
      <w:r>
        <w:rPr>
          <w:rFonts w:ascii="Arial" w:cs="Arial" w:eastAsia="Arial" w:hAnsi="Arial"/>
          <w:sz w:val="17"/>
          <w:szCs w:val="17"/>
          <w:color w:val="auto"/>
        </w:rPr>
        <w:t>At December 31, 2019 and 2018, the contractual maturities of our investments did not exceed 36 months. The fair values of available-for-sale investments, by remaining contractual maturity, are as follows (in thousands):</w:t>
      </w:r>
    </w:p>
    <w:p>
      <w:pPr>
        <w:spacing w:after="0" w:line="172" w:lineRule="exact"/>
        <w:rPr>
          <w:sz w:val="20"/>
          <w:szCs w:val="20"/>
          <w:color w:val="auto"/>
        </w:rPr>
      </w:pPr>
    </w:p>
    <w:tbl>
      <w:tblPr>
        <w:tblLayout w:type="fixed"/>
        <w:tblInd w:w="1" w:type="dxa"/>
        <w:tblCellMar>
          <w:top w:w="0" w:type="dxa"/>
          <w:left w:w="0" w:type="dxa"/>
          <w:bottom w:w="0" w:type="dxa"/>
          <w:right w:w="0" w:type="dxa"/>
        </w:tblCellMar>
      </w:tblPr>
      <w:tr>
        <w:trPr>
          <w:trHeight w:val="177"/>
        </w:trPr>
        <w:tc>
          <w:tcPr>
            <w:tcW w:w="4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jc w:val="right"/>
              <w:ind w:right="1041"/>
              <w:spacing w:after="0"/>
              <w:rPr>
                <w:sz w:val="20"/>
                <w:szCs w:val="20"/>
                <w:color w:val="auto"/>
              </w:rPr>
            </w:pPr>
            <w:r>
              <w:rPr>
                <w:rFonts w:ascii="Arial" w:cs="Arial" w:eastAsia="Arial" w:hAnsi="Arial"/>
                <w:sz w:val="13"/>
                <w:szCs w:val="13"/>
                <w:b w:val="1"/>
                <w:bCs w:val="1"/>
                <w:color w:val="auto"/>
              </w:rPr>
              <w:t>December 31, 2019</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1021"/>
              <w:spacing w:after="0"/>
              <w:rPr>
                <w:sz w:val="20"/>
                <w:szCs w:val="20"/>
                <w:color w:val="auto"/>
              </w:rPr>
            </w:pPr>
            <w:r>
              <w:rPr>
                <w:rFonts w:ascii="Arial" w:cs="Arial" w:eastAsia="Arial" w:hAnsi="Arial"/>
                <w:sz w:val="13"/>
                <w:szCs w:val="13"/>
                <w:b w:val="1"/>
                <w:bCs w:val="1"/>
                <w:color w:val="auto"/>
              </w:rPr>
              <w:t>December 31, 2018</w:t>
            </w:r>
          </w:p>
        </w:tc>
      </w:tr>
      <w:tr>
        <w:trPr>
          <w:trHeight w:val="241"/>
        </w:trPr>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3"/>
                <w:szCs w:val="13"/>
                <w:b w:val="1"/>
                <w:bCs w:val="1"/>
                <w:color w:val="auto"/>
              </w:rPr>
              <w:t>Amortized Cost</w:t>
            </w:r>
          </w:p>
        </w:tc>
        <w:tc>
          <w:tcPr>
            <w:tcW w:w="16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3"/>
                <w:szCs w:val="13"/>
                <w:b w:val="1"/>
                <w:bCs w:val="1"/>
                <w:color w:val="auto"/>
              </w:rPr>
              <w:t>Estimated Fair Value</w:t>
            </w:r>
          </w:p>
        </w:tc>
        <w:tc>
          <w:tcPr>
            <w:tcW w:w="2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Amortized Cost</w:t>
            </w:r>
          </w:p>
        </w:tc>
        <w:tc>
          <w:tcPr>
            <w:tcW w:w="140" w:type="dxa"/>
            <w:vAlign w:val="bottom"/>
          </w:tcPr>
          <w:p>
            <w:pPr>
              <w:spacing w:after="0"/>
              <w:rPr>
                <w:sz w:val="20"/>
                <w:szCs w:val="20"/>
                <w:color w:val="auto"/>
              </w:rPr>
            </w:pPr>
          </w:p>
        </w:tc>
        <w:tc>
          <w:tcPr>
            <w:tcW w:w="1440" w:type="dxa"/>
            <w:vAlign w:val="bottom"/>
          </w:tcPr>
          <w:p>
            <w:pPr>
              <w:jc w:val="right"/>
              <w:ind w:right="101"/>
              <w:spacing w:after="0"/>
              <w:rPr>
                <w:sz w:val="20"/>
                <w:szCs w:val="20"/>
                <w:color w:val="auto"/>
              </w:rPr>
            </w:pPr>
            <w:r>
              <w:rPr>
                <w:rFonts w:ascii="Arial" w:cs="Arial" w:eastAsia="Arial" w:hAnsi="Arial"/>
                <w:sz w:val="13"/>
                <w:szCs w:val="13"/>
                <w:b w:val="1"/>
                <w:bCs w:val="1"/>
                <w:color w:val="auto"/>
                <w:w w:val="96"/>
              </w:rPr>
              <w:t>Estimated Fair Value</w:t>
            </w:r>
          </w:p>
        </w:tc>
      </w:tr>
      <w:tr>
        <w:trPr>
          <w:trHeight w:val="226"/>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Due in one year or less</w:t>
            </w:r>
          </w:p>
        </w:tc>
        <w:tc>
          <w:tcPr>
            <w:tcW w:w="2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22,846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22,876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16,738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16,631</w:t>
            </w:r>
          </w:p>
        </w:tc>
      </w:tr>
      <w:tr>
        <w:trPr>
          <w:trHeight w:val="224"/>
        </w:trPr>
        <w:tc>
          <w:tcPr>
            <w:tcW w:w="4680" w:type="dxa"/>
            <w:vAlign w:val="bottom"/>
          </w:tcPr>
          <w:p>
            <w:pPr>
              <w:ind w:left="20"/>
              <w:spacing w:after="0"/>
              <w:rPr>
                <w:sz w:val="20"/>
                <w:szCs w:val="20"/>
                <w:color w:val="auto"/>
              </w:rPr>
            </w:pPr>
            <w:r>
              <w:rPr>
                <w:rFonts w:ascii="Arial" w:cs="Arial" w:eastAsia="Arial" w:hAnsi="Arial"/>
                <w:sz w:val="17"/>
                <w:szCs w:val="17"/>
                <w:color w:val="auto"/>
              </w:rPr>
              <w:t>Due after one year through three years</w:t>
            </w:r>
          </w:p>
        </w:tc>
        <w:tc>
          <w:tcPr>
            <w:tcW w:w="240" w:type="dxa"/>
            <w:vAlign w:val="bottom"/>
          </w:tcPr>
          <w:p>
            <w:pPr>
              <w:spacing w:after="0"/>
              <w:rPr>
                <w:sz w:val="19"/>
                <w:szCs w:val="19"/>
                <w:color w:val="auto"/>
              </w:rPr>
            </w:pPr>
          </w:p>
        </w:tc>
        <w:tc>
          <w:tcPr>
            <w:tcW w:w="1400" w:type="dxa"/>
            <w:vAlign w:val="bottom"/>
          </w:tcPr>
          <w:p>
            <w:pPr>
              <w:jc w:val="right"/>
              <w:ind w:right="43"/>
              <w:spacing w:after="0"/>
              <w:rPr>
                <w:sz w:val="20"/>
                <w:szCs w:val="20"/>
                <w:color w:val="auto"/>
              </w:rPr>
            </w:pPr>
            <w:r>
              <w:rPr>
                <w:rFonts w:ascii="Arial" w:cs="Arial" w:eastAsia="Arial" w:hAnsi="Arial"/>
                <w:sz w:val="17"/>
                <w:szCs w:val="17"/>
                <w:color w:val="auto"/>
              </w:rPr>
              <w:t>12,074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41"/>
              <w:spacing w:after="0"/>
              <w:rPr>
                <w:sz w:val="20"/>
                <w:szCs w:val="20"/>
                <w:color w:val="auto"/>
              </w:rPr>
            </w:pPr>
            <w:r>
              <w:rPr>
                <w:rFonts w:ascii="Arial" w:cs="Arial" w:eastAsia="Arial" w:hAnsi="Arial"/>
                <w:sz w:val="17"/>
                <w:szCs w:val="17"/>
                <w:color w:val="auto"/>
              </w:rPr>
              <w:t>12,089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4"/>
              <w:spacing w:after="0"/>
              <w:rPr>
                <w:sz w:val="20"/>
                <w:szCs w:val="20"/>
                <w:color w:val="auto"/>
              </w:rPr>
            </w:pPr>
            <w:r>
              <w:rPr>
                <w:rFonts w:ascii="Arial" w:cs="Arial" w:eastAsia="Arial" w:hAnsi="Arial"/>
                <w:sz w:val="17"/>
                <w:szCs w:val="17"/>
                <w:color w:val="auto"/>
              </w:rPr>
              <w:t>11,327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21"/>
              <w:spacing w:after="0"/>
              <w:rPr>
                <w:sz w:val="20"/>
                <w:szCs w:val="20"/>
                <w:color w:val="auto"/>
              </w:rPr>
            </w:pPr>
            <w:r>
              <w:rPr>
                <w:rFonts w:ascii="Arial" w:cs="Arial" w:eastAsia="Arial" w:hAnsi="Arial"/>
                <w:sz w:val="17"/>
                <w:szCs w:val="17"/>
                <w:color w:val="auto"/>
              </w:rPr>
              <w:t>11,256</w:t>
            </w:r>
          </w:p>
        </w:tc>
      </w:tr>
      <w:tr>
        <w:trPr>
          <w:trHeight w:val="25"/>
        </w:trPr>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available-for-sale investment securities</w:t>
            </w: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34,920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34,965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7"/>
                <w:szCs w:val="17"/>
                <w:color w:val="auto"/>
              </w:rPr>
              <w:t>28,065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27,887</w:t>
            </w:r>
          </w:p>
        </w:tc>
      </w:tr>
      <w:tr>
        <w:trPr>
          <w:trHeight w:val="20"/>
        </w:trPr>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81"/>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443"/>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1"/>
          </w:cols>
          <w:pgMar w:left="239" w:top="779" w:right="2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6"/>
          <w:szCs w:val="16"/>
          <w:color w:val="auto"/>
        </w:rPr>
        <w:t>During the years ended December 31, 2019 and 2018, we had sales and maturities (which include calls) of investment securities,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3"/>
                <w:szCs w:val="13"/>
                <w:b w:val="1"/>
                <w:bCs w:val="1"/>
                <w:color w:val="auto"/>
              </w:rPr>
              <w:t>Year Ended December 31, 2019</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vMerge w:val="restart"/>
          </w:tcPr>
          <w:p>
            <w:pPr>
              <w:jc w:val="right"/>
              <w:ind w:right="140"/>
              <w:spacing w:after="0"/>
              <w:rPr>
                <w:sz w:val="20"/>
                <w:szCs w:val="20"/>
                <w:color w:val="auto"/>
              </w:rPr>
            </w:pPr>
            <w:r>
              <w:rPr>
                <w:rFonts w:ascii="Arial" w:cs="Arial" w:eastAsia="Arial" w:hAnsi="Arial"/>
                <w:sz w:val="13"/>
                <w:szCs w:val="13"/>
                <w:b w:val="1"/>
                <w:bCs w:val="1"/>
                <w:color w:val="auto"/>
                <w:w w:val="92"/>
              </w:rPr>
              <w:t>Gross Realized Gains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right"/>
              <w:ind w:right="103"/>
              <w:spacing w:after="0"/>
              <w:rPr>
                <w:sz w:val="20"/>
                <w:szCs w:val="20"/>
                <w:color w:val="auto"/>
              </w:rPr>
            </w:pPr>
            <w:r>
              <w:rPr>
                <w:rFonts w:ascii="Arial" w:cs="Arial" w:eastAsia="Arial" w:hAnsi="Arial"/>
                <w:sz w:val="13"/>
                <w:szCs w:val="13"/>
                <w:b w:val="1"/>
                <w:bCs w:val="1"/>
                <w:color w:val="auto"/>
                <w:w w:val="88"/>
              </w:rPr>
              <w:t>Gross Realized Losses</w:t>
            </w:r>
          </w:p>
        </w:tc>
        <w:tc>
          <w:tcPr>
            <w:tcW w:w="120" w:type="dxa"/>
            <w:vAlign w:val="bottom"/>
            <w:vMerge w:val="restart"/>
          </w:tcPr>
          <w:p>
            <w:pPr>
              <w:spacing w:after="0"/>
              <w:rPr>
                <w:sz w:val="12"/>
                <w:szCs w:val="12"/>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89"/>
              </w:rPr>
              <w:t>Gross Proceeds from 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ind w:right="123"/>
              <w:spacing w:after="0" w:line="139" w:lineRule="exact"/>
              <w:rPr>
                <w:sz w:val="20"/>
                <w:szCs w:val="20"/>
                <w:color w:val="auto"/>
              </w:rPr>
            </w:pPr>
            <w:r>
              <w:rPr>
                <w:rFonts w:ascii="Arial" w:cs="Arial" w:eastAsia="Arial" w:hAnsi="Arial"/>
                <w:sz w:val="13"/>
                <w:szCs w:val="13"/>
                <w:b w:val="1"/>
                <w:bCs w:val="1"/>
                <w:color w:val="auto"/>
                <w:w w:val="90"/>
              </w:rPr>
              <w:t>Gross Proceeds from</w:t>
            </w:r>
          </w:p>
        </w:tc>
        <w:tc>
          <w:tcPr>
            <w:tcW w:w="0" w:type="dxa"/>
            <w:vAlign w:val="bottom"/>
          </w:tcPr>
          <w:p>
            <w:pPr>
              <w:spacing w:after="0"/>
              <w:rPr>
                <w:sz w:val="1"/>
                <w:szCs w:val="1"/>
                <w:color w:val="auto"/>
              </w:rPr>
            </w:pPr>
          </w:p>
        </w:tc>
      </w:tr>
      <w:tr>
        <w:trPr>
          <w:trHeight w:val="177"/>
        </w:trPr>
        <w:tc>
          <w:tcPr>
            <w:tcW w:w="46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Maturities</w:t>
            </w:r>
          </w:p>
        </w:tc>
        <w:tc>
          <w:tcPr>
            <w:tcW w:w="0" w:type="dxa"/>
            <w:vAlign w:val="bottom"/>
          </w:tcPr>
          <w:p>
            <w:pPr>
              <w:spacing w:after="0"/>
              <w:rPr>
                <w:sz w:val="1"/>
                <w:szCs w:val="1"/>
                <w:color w:val="auto"/>
              </w:rPr>
            </w:pPr>
          </w:p>
        </w:tc>
      </w:tr>
      <w:tr>
        <w:trPr>
          <w:trHeight w:val="22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2,750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11,350</w:t>
            </w:r>
          </w:p>
        </w:tc>
        <w:tc>
          <w:tcPr>
            <w:tcW w:w="0" w:type="dxa"/>
            <w:vAlign w:val="bottom"/>
          </w:tcPr>
          <w:p>
            <w:pPr>
              <w:spacing w:after="0"/>
              <w:rPr>
                <w:sz w:val="1"/>
                <w:szCs w:val="1"/>
                <w:color w:val="auto"/>
              </w:rPr>
            </w:pPr>
          </w:p>
        </w:tc>
      </w:tr>
      <w:tr>
        <w:trPr>
          <w:trHeight w:val="224"/>
        </w:trPr>
        <w:tc>
          <w:tcPr>
            <w:tcW w:w="4680" w:type="dxa"/>
            <w:vAlign w:val="bottom"/>
          </w:tcPr>
          <w:p>
            <w:pPr>
              <w:ind w:left="20"/>
              <w:spacing w:after="0"/>
              <w:rPr>
                <w:sz w:val="20"/>
                <w:szCs w:val="20"/>
                <w:color w:val="auto"/>
              </w:rPr>
            </w:pPr>
            <w:r>
              <w:rPr>
                <w:rFonts w:ascii="Arial" w:cs="Arial" w:eastAsia="Arial" w:hAnsi="Arial"/>
                <w:sz w:val="17"/>
                <w:szCs w:val="17"/>
                <w:color w:val="auto"/>
              </w:rPr>
              <w:t>Agency securities</w:t>
            </w:r>
          </w:p>
        </w:tc>
        <w:tc>
          <w:tcPr>
            <w:tcW w:w="160" w:type="dxa"/>
            <w:vAlign w:val="bottom"/>
          </w:tcPr>
          <w:p>
            <w:pPr>
              <w:spacing w:after="0"/>
              <w:rPr>
                <w:sz w:val="19"/>
                <w:szCs w:val="19"/>
                <w:color w:val="auto"/>
              </w:rPr>
            </w:pPr>
          </w:p>
        </w:tc>
        <w:tc>
          <w:tcPr>
            <w:tcW w:w="1480" w:type="dxa"/>
            <w:vAlign w:val="bottom"/>
          </w:tcPr>
          <w:p>
            <w:pPr>
              <w:jc w:val="right"/>
              <w:ind w:right="4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ind w:right="23"/>
              <w:spacing w:after="0"/>
              <w:rPr>
                <w:sz w:val="20"/>
                <w:szCs w:val="20"/>
                <w:color w:val="auto"/>
              </w:rPr>
            </w:pPr>
            <w:r>
              <w:rPr>
                <w:rFonts w:ascii="Arial" w:cs="Arial" w:eastAsia="Arial" w:hAnsi="Arial"/>
                <w:sz w:val="17"/>
                <w:szCs w:val="17"/>
                <w:color w:val="auto"/>
              </w:rPr>
              <w:t>3,625</w:t>
            </w: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Treasury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217"/>
        </w:trPr>
        <w:tc>
          <w:tcPr>
            <w:tcW w:w="46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ind w:right="783"/>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2,750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tcPr>
          <w:p>
            <w:pPr>
              <w:jc w:val="right"/>
              <w:ind w:right="23"/>
              <w:spacing w:after="0"/>
              <w:rPr>
                <w:sz w:val="20"/>
                <w:szCs w:val="20"/>
                <w:color w:val="auto"/>
              </w:rPr>
            </w:pPr>
            <w:r>
              <w:rPr>
                <w:rFonts w:ascii="Arial" w:cs="Arial" w:eastAsia="Arial" w:hAnsi="Arial"/>
                <w:sz w:val="17"/>
                <w:szCs w:val="17"/>
                <w:color w:val="auto"/>
              </w:rPr>
              <w:t>15,660</w:t>
            </w: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4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w w:val="95"/>
              </w:rPr>
              <w:t>Year Ended December 31, 2018</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vMerge w:val="restart"/>
          </w:tcPr>
          <w:p>
            <w:pPr>
              <w:jc w:val="right"/>
              <w:ind w:right="120"/>
              <w:spacing w:after="0"/>
              <w:rPr>
                <w:sz w:val="20"/>
                <w:szCs w:val="20"/>
                <w:color w:val="auto"/>
              </w:rPr>
            </w:pPr>
            <w:r>
              <w:rPr>
                <w:rFonts w:ascii="Arial" w:cs="Arial" w:eastAsia="Arial" w:hAnsi="Arial"/>
                <w:sz w:val="13"/>
                <w:szCs w:val="13"/>
                <w:b w:val="1"/>
                <w:bCs w:val="1"/>
                <w:color w:val="auto"/>
                <w:w w:val="91"/>
              </w:rPr>
              <w:t>Gross Realized Gains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82"/>
              <w:spacing w:after="0"/>
              <w:rPr>
                <w:sz w:val="20"/>
                <w:szCs w:val="20"/>
                <w:color w:val="auto"/>
              </w:rPr>
            </w:pPr>
            <w:r>
              <w:rPr>
                <w:rFonts w:ascii="Arial" w:cs="Arial" w:eastAsia="Arial" w:hAnsi="Arial"/>
                <w:sz w:val="13"/>
                <w:szCs w:val="13"/>
                <w:b w:val="1"/>
                <w:bCs w:val="1"/>
                <w:color w:val="auto"/>
                <w:w w:val="88"/>
              </w:rPr>
              <w:t>Gross Realized Losses</w:t>
            </w:r>
          </w:p>
        </w:tc>
        <w:tc>
          <w:tcPr>
            <w:tcW w:w="100" w:type="dxa"/>
            <w:vAlign w:val="bottom"/>
            <w:vMerge w:val="restart"/>
          </w:tcPr>
          <w:p>
            <w:pPr>
              <w:spacing w:after="0"/>
              <w:rPr>
                <w:sz w:val="12"/>
                <w:szCs w:val="12"/>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89"/>
              </w:rPr>
              <w:t>Gross Proceeds from 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ind w:right="122"/>
              <w:spacing w:after="0" w:line="139" w:lineRule="exact"/>
              <w:rPr>
                <w:sz w:val="20"/>
                <w:szCs w:val="20"/>
                <w:color w:val="auto"/>
              </w:rPr>
            </w:pPr>
            <w:r>
              <w:rPr>
                <w:rFonts w:ascii="Arial" w:cs="Arial" w:eastAsia="Arial" w:hAnsi="Arial"/>
                <w:sz w:val="13"/>
                <w:szCs w:val="13"/>
                <w:b w:val="1"/>
                <w:bCs w:val="1"/>
                <w:color w:val="auto"/>
                <w:w w:val="90"/>
              </w:rPr>
              <w:t>Gross Proceeds from</w:t>
            </w:r>
          </w:p>
        </w:tc>
        <w:tc>
          <w:tcPr>
            <w:tcW w:w="0" w:type="dxa"/>
            <w:vAlign w:val="bottom"/>
          </w:tcPr>
          <w:p>
            <w:pPr>
              <w:spacing w:after="0"/>
              <w:rPr>
                <w:sz w:val="1"/>
                <w:szCs w:val="1"/>
                <w:color w:val="auto"/>
              </w:rPr>
            </w:pPr>
          </w:p>
        </w:tc>
      </w:tr>
      <w:tr>
        <w:trPr>
          <w:trHeight w:val="177"/>
        </w:trPr>
        <w:tc>
          <w:tcPr>
            <w:tcW w:w="46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Maturities</w:t>
            </w:r>
          </w:p>
        </w:tc>
        <w:tc>
          <w:tcPr>
            <w:tcW w:w="0" w:type="dxa"/>
            <w:vAlign w:val="bottom"/>
          </w:tcPr>
          <w:p>
            <w:pPr>
              <w:spacing w:after="0"/>
              <w:rPr>
                <w:sz w:val="1"/>
                <w:szCs w:val="1"/>
                <w:color w:val="auto"/>
              </w:rPr>
            </w:pPr>
          </w:p>
        </w:tc>
      </w:tr>
      <w:tr>
        <w:trPr>
          <w:trHeight w:val="22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6,624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19,307</w:t>
            </w:r>
          </w:p>
        </w:tc>
        <w:tc>
          <w:tcPr>
            <w:tcW w:w="0" w:type="dxa"/>
            <w:vAlign w:val="bottom"/>
          </w:tcPr>
          <w:p>
            <w:pPr>
              <w:spacing w:after="0"/>
              <w:rPr>
                <w:sz w:val="1"/>
                <w:szCs w:val="1"/>
                <w:color w:val="auto"/>
              </w:rPr>
            </w:pPr>
          </w:p>
        </w:tc>
      </w:tr>
      <w:tr>
        <w:trPr>
          <w:trHeight w:val="224"/>
        </w:trPr>
        <w:tc>
          <w:tcPr>
            <w:tcW w:w="4660" w:type="dxa"/>
            <w:vAlign w:val="bottom"/>
          </w:tcPr>
          <w:p>
            <w:pPr>
              <w:ind w:left="40"/>
              <w:spacing w:after="0"/>
              <w:rPr>
                <w:sz w:val="20"/>
                <w:szCs w:val="20"/>
                <w:color w:val="auto"/>
              </w:rPr>
            </w:pPr>
            <w:r>
              <w:rPr>
                <w:rFonts w:ascii="Arial" w:cs="Arial" w:eastAsia="Arial" w:hAnsi="Arial"/>
                <w:sz w:val="17"/>
                <w:szCs w:val="17"/>
                <w:color w:val="auto"/>
              </w:rPr>
              <w:t>Agency securities</w:t>
            </w:r>
          </w:p>
        </w:tc>
        <w:tc>
          <w:tcPr>
            <w:tcW w:w="160" w:type="dxa"/>
            <w:vAlign w:val="bottom"/>
          </w:tcPr>
          <w:p>
            <w:pPr>
              <w:spacing w:after="0"/>
              <w:rPr>
                <w:sz w:val="19"/>
                <w:szCs w:val="19"/>
                <w:color w:val="auto"/>
              </w:rPr>
            </w:pPr>
          </w:p>
        </w:tc>
        <w:tc>
          <w:tcPr>
            <w:tcW w:w="1440" w:type="dxa"/>
            <w:vAlign w:val="bottom"/>
          </w:tcPr>
          <w:p>
            <w:pPr>
              <w:jc w:val="right"/>
              <w:ind w:right="2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auto"/>
              </w:rPr>
              <w:t>5,671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42"/>
              <w:spacing w:after="0"/>
              <w:rPr>
                <w:sz w:val="20"/>
                <w:szCs w:val="20"/>
                <w:color w:val="auto"/>
              </w:rPr>
            </w:pPr>
            <w:r>
              <w:rPr>
                <w:rFonts w:ascii="Arial" w:cs="Arial" w:eastAsia="Arial" w:hAnsi="Arial"/>
                <w:sz w:val="17"/>
                <w:szCs w:val="17"/>
                <w:color w:val="auto"/>
              </w:rPr>
              <w:t>7,000</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Certificates of deposit</w:t>
            </w:r>
          </w:p>
        </w:tc>
        <w:tc>
          <w:tcPr>
            <w:tcW w:w="1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2,982</w:t>
            </w:r>
          </w:p>
        </w:tc>
        <w:tc>
          <w:tcPr>
            <w:tcW w:w="0" w:type="dxa"/>
            <w:vAlign w:val="bottom"/>
          </w:tcPr>
          <w:p>
            <w:pPr>
              <w:spacing w:after="0"/>
              <w:rPr>
                <w:sz w:val="1"/>
                <w:szCs w:val="1"/>
                <w:color w:val="auto"/>
              </w:rPr>
            </w:pPr>
          </w:p>
        </w:tc>
      </w:tr>
      <w:tr>
        <w:trPr>
          <w:trHeight w:val="224"/>
        </w:trPr>
        <w:tc>
          <w:tcPr>
            <w:tcW w:w="4660" w:type="dxa"/>
            <w:vAlign w:val="bottom"/>
          </w:tcPr>
          <w:p>
            <w:pPr>
              <w:ind w:left="40"/>
              <w:spacing w:after="0"/>
              <w:rPr>
                <w:sz w:val="20"/>
                <w:szCs w:val="20"/>
                <w:color w:val="auto"/>
              </w:rPr>
            </w:pPr>
            <w:r>
              <w:rPr>
                <w:rFonts w:ascii="Arial" w:cs="Arial" w:eastAsia="Arial" w:hAnsi="Arial"/>
                <w:sz w:val="17"/>
                <w:szCs w:val="17"/>
                <w:color w:val="auto"/>
              </w:rPr>
              <w:t>Treasury securities</w:t>
            </w:r>
          </w:p>
        </w:tc>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auto"/>
              </w:rPr>
              <w:t>8,605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42"/>
              <w:spacing w:after="0"/>
              <w:rPr>
                <w:sz w:val="20"/>
                <w:szCs w:val="20"/>
                <w:color w:val="auto"/>
              </w:rPr>
            </w:pPr>
            <w:r>
              <w:rPr>
                <w:rFonts w:ascii="Arial" w:cs="Arial" w:eastAsia="Arial" w:hAnsi="Arial"/>
                <w:sz w:val="17"/>
                <w:szCs w:val="17"/>
                <w:color w:val="auto"/>
              </w:rPr>
              <w:t>3,530</w:t>
            </w:r>
          </w:p>
        </w:tc>
        <w:tc>
          <w:tcPr>
            <w:tcW w:w="0" w:type="dxa"/>
            <w:vAlign w:val="bottom"/>
          </w:tcPr>
          <w:p>
            <w:pPr>
              <w:spacing w:after="0"/>
              <w:rPr>
                <w:sz w:val="1"/>
                <w:szCs w:val="1"/>
                <w:color w:val="auto"/>
              </w:rPr>
            </w:pPr>
          </w:p>
        </w:tc>
      </w:tr>
      <w:tr>
        <w:trPr>
          <w:trHeight w:val="25"/>
        </w:trPr>
        <w:tc>
          <w:tcPr>
            <w:tcW w:w="4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46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20,900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32,819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firstLine="597"/>
        <w:spacing w:after="0" w:line="264" w:lineRule="auto"/>
        <w:rPr>
          <w:sz w:val="20"/>
          <w:szCs w:val="20"/>
          <w:color w:val="auto"/>
        </w:rPr>
      </w:pPr>
      <w:r>
        <w:rPr>
          <w:rFonts w:ascii="Arial" w:cs="Arial" w:eastAsia="Arial" w:hAnsi="Arial"/>
          <w:sz w:val="17"/>
          <w:szCs w:val="17"/>
          <w:color w:val="auto"/>
        </w:rPr>
        <w:t>For the years ended December 31, 2019, 2018 and 2017 we received interest income net of the amortization and accretion of the premium and discount of $0.6 million, $1.0 million, and $0.7 million,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873" w:right="239" w:bottom="1440" w:gutter="0" w:footer="0" w:header="0"/>
        </w:sectPr>
      </w:pPr>
    </w:p>
    <w:bookmarkStart w:id="77" w:name="page78"/>
    <w:bookmarkEnd w:id="77"/>
    <w:p>
      <w:pPr>
        <w:ind w:left="60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Recurring Fair Value Measurements</w:t>
      </w:r>
    </w:p>
    <w:p>
      <w:pPr>
        <w:spacing w:after="0" w:line="202"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Financial assets and financial liabilities are classified in their entirety based on the lowest level of input that is significant to the fair value measurement. The following tables presents our financial assets and liabilities measured at fair value on a recurring basis at December 31, 2019 and 2018, by level within the fair value hierarchy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3"/>
                <w:szCs w:val="13"/>
                <w:b w:val="1"/>
                <w:bCs w:val="1"/>
                <w:color w:val="auto"/>
              </w:rPr>
              <w:t>December 31, 2019</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09"/>
        </w:trPr>
        <w:tc>
          <w:tcPr>
            <w:tcW w:w="4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197"/>
              <w:spacing w:after="0"/>
              <w:rPr>
                <w:sz w:val="20"/>
                <w:szCs w:val="20"/>
                <w:color w:val="auto"/>
              </w:rPr>
            </w:pPr>
            <w:r>
              <w:rPr>
                <w:rFonts w:ascii="Arial" w:cs="Arial" w:eastAsia="Arial" w:hAnsi="Arial"/>
                <w:sz w:val="17"/>
                <w:szCs w:val="17"/>
                <w:color w:val="auto"/>
                <w:w w:val="91"/>
              </w:rPr>
              <w:t>Total Fair</w:t>
            </w:r>
          </w:p>
        </w:tc>
      </w:tr>
      <w:tr>
        <w:trPr>
          <w:trHeight w:val="212"/>
        </w:trPr>
        <w:tc>
          <w:tcPr>
            <w:tcW w:w="4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Arial" w:cs="Arial" w:eastAsia="Arial" w:hAnsi="Arial"/>
                <w:sz w:val="17"/>
                <w:szCs w:val="17"/>
                <w:color w:val="auto"/>
              </w:rPr>
              <w:t>Level 1</w:t>
            </w:r>
          </w:p>
        </w:tc>
        <w:tc>
          <w:tcPr>
            <w:tcW w:w="34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Arial" w:cs="Arial" w:eastAsia="Arial" w:hAnsi="Arial"/>
                <w:sz w:val="17"/>
                <w:szCs w:val="17"/>
                <w:color w:val="auto"/>
              </w:rPr>
              <w:t>Level 2</w:t>
            </w:r>
          </w:p>
        </w:tc>
        <w:tc>
          <w:tcPr>
            <w:tcW w:w="1180" w:type="dxa"/>
            <w:vAlign w:val="bottom"/>
          </w:tcPr>
          <w:p>
            <w:pPr>
              <w:jc w:val="right"/>
              <w:ind w:right="57"/>
              <w:spacing w:after="0"/>
              <w:rPr>
                <w:sz w:val="20"/>
                <w:szCs w:val="20"/>
                <w:color w:val="auto"/>
              </w:rPr>
            </w:pPr>
            <w:r>
              <w:rPr>
                <w:rFonts w:ascii="Arial" w:cs="Arial" w:eastAsia="Arial" w:hAnsi="Arial"/>
                <w:sz w:val="17"/>
                <w:szCs w:val="17"/>
                <w:color w:val="auto"/>
              </w:rPr>
              <w:t>Level 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197"/>
              <w:spacing w:after="0"/>
              <w:rPr>
                <w:sz w:val="20"/>
                <w:szCs w:val="20"/>
                <w:color w:val="auto"/>
              </w:rPr>
            </w:pPr>
            <w:r>
              <w:rPr>
                <w:rFonts w:ascii="Arial" w:cs="Arial" w:eastAsia="Arial" w:hAnsi="Arial"/>
                <w:sz w:val="17"/>
                <w:szCs w:val="17"/>
                <w:color w:val="auto"/>
                <w:w w:val="87"/>
              </w:rPr>
              <w:t>Value</w:t>
            </w:r>
          </w:p>
        </w:tc>
      </w:tr>
      <w:tr>
        <w:trPr>
          <w:trHeight w:val="25"/>
        </w:trPr>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3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24"/>
        </w:trPr>
        <w:tc>
          <w:tcPr>
            <w:tcW w:w="4680" w:type="dxa"/>
            <w:vAlign w:val="bottom"/>
          </w:tcPr>
          <w:p>
            <w:pPr>
              <w:ind w:left="140"/>
              <w:spacing w:after="0"/>
              <w:rPr>
                <w:sz w:val="20"/>
                <w:szCs w:val="20"/>
                <w:color w:val="auto"/>
              </w:rPr>
            </w:pPr>
            <w:r>
              <w:rPr>
                <w:rFonts w:ascii="Arial" w:cs="Arial" w:eastAsia="Arial" w:hAnsi="Arial"/>
                <w:sz w:val="17"/>
                <w:szCs w:val="17"/>
                <w:color w:val="auto"/>
              </w:rPr>
              <w:t>Money market funds</w:t>
            </w: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7"/>
              <w:spacing w:after="0"/>
              <w:rPr>
                <w:sz w:val="20"/>
                <w:szCs w:val="20"/>
                <w:color w:val="auto"/>
              </w:rPr>
            </w:pPr>
            <w:r>
              <w:rPr>
                <w:rFonts w:ascii="Arial" w:cs="Arial" w:eastAsia="Arial" w:hAnsi="Arial"/>
                <w:sz w:val="17"/>
                <w:szCs w:val="17"/>
                <w:color w:val="auto"/>
              </w:rPr>
              <w:t>337</w:t>
            </w:r>
          </w:p>
        </w:tc>
        <w:tc>
          <w:tcPr>
            <w:tcW w:w="100" w:type="dxa"/>
            <w:vAlign w:val="bottom"/>
          </w:tcPr>
          <w:p>
            <w:pPr>
              <w:spacing w:after="0"/>
              <w:rPr>
                <w:sz w:val="19"/>
                <w:szCs w:val="19"/>
                <w:color w:val="auto"/>
              </w:rPr>
            </w:pP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997"/>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337</w:t>
            </w:r>
          </w:p>
        </w:tc>
      </w:tr>
      <w:tr>
        <w:trPr>
          <w:trHeight w:val="25"/>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Available-for-sale investment securities:</w:t>
            </w:r>
          </w:p>
        </w:tc>
        <w:tc>
          <w:tcPr>
            <w:tcW w:w="3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24"/>
        </w:trPr>
        <w:tc>
          <w:tcPr>
            <w:tcW w:w="4680" w:type="dxa"/>
            <w:vAlign w:val="bottom"/>
          </w:tcPr>
          <w:p>
            <w:pPr>
              <w:ind w:left="140"/>
              <w:spacing w:after="0"/>
              <w:rPr>
                <w:sz w:val="20"/>
                <w:szCs w:val="20"/>
                <w:color w:val="auto"/>
              </w:rPr>
            </w:pPr>
            <w:r>
              <w:rPr>
                <w:rFonts w:ascii="Arial" w:cs="Arial" w:eastAsia="Arial" w:hAnsi="Arial"/>
                <w:sz w:val="17"/>
                <w:szCs w:val="17"/>
                <w:color w:val="auto"/>
              </w:rPr>
              <w:t>Corporate bonds</w:t>
            </w:r>
          </w:p>
        </w:tc>
        <w:tc>
          <w:tcPr>
            <w:tcW w:w="3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7"/>
                <w:szCs w:val="17"/>
                <w:color w:val="auto"/>
              </w:rPr>
              <w:t>9,614</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9,614</w:t>
            </w:r>
          </w:p>
        </w:tc>
      </w:tr>
      <w:tr>
        <w:trPr>
          <w:trHeight w:val="25"/>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Agency securities</w:t>
            </w:r>
          </w:p>
        </w:tc>
        <w:tc>
          <w:tcPr>
            <w:tcW w:w="3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11,118</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11,118</w:t>
            </w:r>
          </w:p>
        </w:tc>
      </w:tr>
      <w:tr>
        <w:trPr>
          <w:trHeight w:val="224"/>
        </w:trPr>
        <w:tc>
          <w:tcPr>
            <w:tcW w:w="4680" w:type="dxa"/>
            <w:vAlign w:val="bottom"/>
          </w:tcPr>
          <w:p>
            <w:pPr>
              <w:ind w:left="100"/>
              <w:spacing w:after="0"/>
              <w:rPr>
                <w:sz w:val="20"/>
                <w:szCs w:val="20"/>
                <w:color w:val="auto"/>
              </w:rPr>
            </w:pPr>
            <w:r>
              <w:rPr>
                <w:rFonts w:ascii="Arial" w:cs="Arial" w:eastAsia="Arial" w:hAnsi="Arial"/>
                <w:sz w:val="17"/>
                <w:szCs w:val="17"/>
                <w:color w:val="auto"/>
              </w:rPr>
              <w:t>Treasury securities</w:t>
            </w:r>
          </w:p>
        </w:tc>
        <w:tc>
          <w:tcPr>
            <w:tcW w:w="340" w:type="dxa"/>
            <w:vAlign w:val="bottom"/>
          </w:tcPr>
          <w:p>
            <w:pPr>
              <w:spacing w:after="0"/>
              <w:rPr>
                <w:sz w:val="19"/>
                <w:szCs w:val="19"/>
                <w:color w:val="auto"/>
              </w:rPr>
            </w:pPr>
          </w:p>
        </w:tc>
        <w:tc>
          <w:tcPr>
            <w:tcW w:w="1300" w:type="dxa"/>
            <w:vAlign w:val="bottom"/>
          </w:tcPr>
          <w:p>
            <w:pPr>
              <w:jc w:val="right"/>
              <w:ind w:right="37"/>
              <w:spacing w:after="0"/>
              <w:rPr>
                <w:sz w:val="20"/>
                <w:szCs w:val="20"/>
                <w:color w:val="auto"/>
              </w:rPr>
            </w:pPr>
            <w:r>
              <w:rPr>
                <w:rFonts w:ascii="Arial" w:cs="Arial" w:eastAsia="Arial" w:hAnsi="Arial"/>
                <w:sz w:val="17"/>
                <w:szCs w:val="17"/>
                <w:color w:val="auto"/>
              </w:rPr>
              <w:t>14,233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9"/>
                <w:szCs w:val="19"/>
                <w:color w:val="auto"/>
              </w:rPr>
            </w:pPr>
          </w:p>
        </w:tc>
        <w:tc>
          <w:tcPr>
            <w:tcW w:w="5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14,233</w:t>
            </w:r>
          </w:p>
        </w:tc>
      </w:tr>
      <w:tr>
        <w:trPr>
          <w:trHeight w:val="25"/>
        </w:trPr>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14,570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20,732</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7"/>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35,302</w:t>
            </w: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750"/>
        </w:trPr>
        <w:tc>
          <w:tcPr>
            <w:tcW w:w="46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3"/>
                <w:szCs w:val="13"/>
                <w:b w:val="1"/>
                <w:bCs w:val="1"/>
                <w:color w:val="auto"/>
              </w:rPr>
              <w:t>December 31, 2018</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09"/>
        </w:trPr>
        <w:tc>
          <w:tcPr>
            <w:tcW w:w="4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197"/>
              <w:spacing w:after="0"/>
              <w:rPr>
                <w:sz w:val="20"/>
                <w:szCs w:val="20"/>
                <w:color w:val="auto"/>
              </w:rPr>
            </w:pPr>
            <w:r>
              <w:rPr>
                <w:rFonts w:ascii="Arial" w:cs="Arial" w:eastAsia="Arial" w:hAnsi="Arial"/>
                <w:sz w:val="17"/>
                <w:szCs w:val="17"/>
                <w:color w:val="auto"/>
                <w:w w:val="91"/>
              </w:rPr>
              <w:t>Total Fair</w:t>
            </w:r>
          </w:p>
        </w:tc>
      </w:tr>
      <w:tr>
        <w:trPr>
          <w:trHeight w:val="212"/>
        </w:trPr>
        <w:tc>
          <w:tcPr>
            <w:tcW w:w="4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Arial" w:cs="Arial" w:eastAsia="Arial" w:hAnsi="Arial"/>
                <w:sz w:val="17"/>
                <w:szCs w:val="17"/>
                <w:color w:val="auto"/>
              </w:rPr>
              <w:t>Level 1</w:t>
            </w:r>
          </w:p>
        </w:tc>
        <w:tc>
          <w:tcPr>
            <w:tcW w:w="34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Arial" w:cs="Arial" w:eastAsia="Arial" w:hAnsi="Arial"/>
                <w:sz w:val="17"/>
                <w:szCs w:val="17"/>
                <w:color w:val="auto"/>
              </w:rPr>
              <w:t>Level 2</w:t>
            </w:r>
          </w:p>
        </w:tc>
        <w:tc>
          <w:tcPr>
            <w:tcW w:w="1180" w:type="dxa"/>
            <w:vAlign w:val="bottom"/>
          </w:tcPr>
          <w:p>
            <w:pPr>
              <w:jc w:val="right"/>
              <w:ind w:right="57"/>
              <w:spacing w:after="0"/>
              <w:rPr>
                <w:sz w:val="20"/>
                <w:szCs w:val="20"/>
                <w:color w:val="auto"/>
              </w:rPr>
            </w:pPr>
            <w:r>
              <w:rPr>
                <w:rFonts w:ascii="Arial" w:cs="Arial" w:eastAsia="Arial" w:hAnsi="Arial"/>
                <w:sz w:val="17"/>
                <w:szCs w:val="17"/>
                <w:color w:val="auto"/>
              </w:rPr>
              <w:t>Level 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center"/>
              <w:ind w:right="197"/>
              <w:spacing w:after="0"/>
              <w:rPr>
                <w:sz w:val="20"/>
                <w:szCs w:val="20"/>
                <w:color w:val="auto"/>
              </w:rPr>
            </w:pPr>
            <w:r>
              <w:rPr>
                <w:rFonts w:ascii="Arial" w:cs="Arial" w:eastAsia="Arial" w:hAnsi="Arial"/>
                <w:sz w:val="17"/>
                <w:szCs w:val="17"/>
                <w:color w:val="auto"/>
                <w:w w:val="87"/>
              </w:rPr>
              <w:t>Value</w:t>
            </w:r>
          </w:p>
        </w:tc>
      </w:tr>
      <w:tr>
        <w:trPr>
          <w:trHeight w:val="25"/>
        </w:trPr>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3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24"/>
        </w:trPr>
        <w:tc>
          <w:tcPr>
            <w:tcW w:w="4680" w:type="dxa"/>
            <w:vAlign w:val="bottom"/>
          </w:tcPr>
          <w:p>
            <w:pPr>
              <w:ind w:left="140"/>
              <w:spacing w:after="0"/>
              <w:rPr>
                <w:sz w:val="20"/>
                <w:szCs w:val="20"/>
                <w:color w:val="auto"/>
              </w:rPr>
            </w:pPr>
            <w:r>
              <w:rPr>
                <w:rFonts w:ascii="Arial" w:cs="Arial" w:eastAsia="Arial" w:hAnsi="Arial"/>
                <w:sz w:val="17"/>
                <w:szCs w:val="17"/>
                <w:color w:val="auto"/>
              </w:rPr>
              <w:t>Money market funds</w:t>
            </w: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7"/>
              <w:spacing w:after="0"/>
              <w:rPr>
                <w:sz w:val="20"/>
                <w:szCs w:val="20"/>
                <w:color w:val="auto"/>
              </w:rPr>
            </w:pPr>
            <w:r>
              <w:rPr>
                <w:rFonts w:ascii="Arial" w:cs="Arial" w:eastAsia="Arial" w:hAnsi="Arial"/>
                <w:sz w:val="17"/>
                <w:szCs w:val="17"/>
                <w:color w:val="auto"/>
              </w:rPr>
              <w:t>10,694</w:t>
            </w:r>
          </w:p>
        </w:tc>
        <w:tc>
          <w:tcPr>
            <w:tcW w:w="100" w:type="dxa"/>
            <w:vAlign w:val="bottom"/>
          </w:tcPr>
          <w:p>
            <w:pPr>
              <w:spacing w:after="0"/>
              <w:rPr>
                <w:sz w:val="19"/>
                <w:szCs w:val="19"/>
                <w:color w:val="auto"/>
              </w:rPr>
            </w:pP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997"/>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10,694</w:t>
            </w:r>
          </w:p>
        </w:tc>
      </w:tr>
      <w:tr>
        <w:trPr>
          <w:trHeight w:val="25"/>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Available-for-sale investment securities:</w:t>
            </w:r>
          </w:p>
        </w:tc>
        <w:tc>
          <w:tcPr>
            <w:tcW w:w="3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24"/>
        </w:trPr>
        <w:tc>
          <w:tcPr>
            <w:tcW w:w="4680" w:type="dxa"/>
            <w:vAlign w:val="bottom"/>
          </w:tcPr>
          <w:p>
            <w:pPr>
              <w:ind w:left="140"/>
              <w:spacing w:after="0"/>
              <w:rPr>
                <w:sz w:val="20"/>
                <w:szCs w:val="20"/>
                <w:color w:val="auto"/>
              </w:rPr>
            </w:pPr>
            <w:r>
              <w:rPr>
                <w:rFonts w:ascii="Arial" w:cs="Arial" w:eastAsia="Arial" w:hAnsi="Arial"/>
                <w:sz w:val="17"/>
                <w:szCs w:val="17"/>
                <w:color w:val="auto"/>
              </w:rPr>
              <w:t>Corporate bonds</w:t>
            </w:r>
          </w:p>
        </w:tc>
        <w:tc>
          <w:tcPr>
            <w:tcW w:w="3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7"/>
                <w:szCs w:val="17"/>
                <w:color w:val="auto"/>
              </w:rPr>
              <w:t>23,557</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23,557</w:t>
            </w:r>
          </w:p>
        </w:tc>
      </w:tr>
      <w:tr>
        <w:trPr>
          <w:trHeight w:val="25"/>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9"/>
        </w:trPr>
        <w:tc>
          <w:tcPr>
            <w:tcW w:w="4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4,330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4,330</w:t>
            </w:r>
          </w:p>
        </w:tc>
      </w:tr>
      <w:tr>
        <w:trPr>
          <w:trHeight w:val="235"/>
        </w:trPr>
        <w:tc>
          <w:tcPr>
            <w:tcW w:w="4680" w:type="dxa"/>
            <w:vAlign w:val="bottom"/>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10,694</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27,887</w:t>
            </w:r>
          </w:p>
        </w:tc>
        <w:tc>
          <w:tcPr>
            <w:tcW w:w="1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ind w:right="997"/>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38,581</w:t>
            </w: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jc w:val="both"/>
        <w:ind w:right="20" w:firstLine="597"/>
        <w:spacing w:after="0" w:line="264" w:lineRule="auto"/>
        <w:rPr>
          <w:sz w:val="20"/>
          <w:szCs w:val="20"/>
          <w:color w:val="auto"/>
        </w:rPr>
      </w:pPr>
      <w:r>
        <w:rPr>
          <w:rFonts w:ascii="Arial" w:cs="Arial" w:eastAsia="Arial" w:hAnsi="Arial"/>
          <w:sz w:val="17"/>
          <w:szCs w:val="17"/>
          <w:color w:val="auto"/>
        </w:rPr>
        <w:t>The carrying amounts of cash equivalents, restricted cash, accounts receivable, accounts payable and accrued liabilities approximate fair value because of the short maturity of these items.</w:t>
      </w:r>
    </w:p>
    <w:p>
      <w:pPr>
        <w:spacing w:after="0" w:line="130" w:lineRule="exact"/>
        <w:rPr>
          <w:sz w:val="20"/>
          <w:szCs w:val="20"/>
          <w:color w:val="auto"/>
        </w:rPr>
      </w:pPr>
    </w:p>
    <w:p>
      <w:pPr>
        <w:jc w:val="both"/>
        <w:ind w:firstLine="597"/>
        <w:spacing w:after="0" w:line="271" w:lineRule="auto"/>
        <w:rPr>
          <w:sz w:val="20"/>
          <w:szCs w:val="20"/>
          <w:color w:val="auto"/>
        </w:rPr>
      </w:pPr>
      <w:r>
        <w:rPr>
          <w:rFonts w:ascii="Arial" w:cs="Arial" w:eastAsia="Arial" w:hAnsi="Arial"/>
          <w:sz w:val="16"/>
          <w:szCs w:val="16"/>
          <w:color w:val="auto"/>
        </w:rPr>
        <w:t xml:space="preserve">The estimated fair value of the term loan made available to us by Wells Fargo Bank, National Association ("Wells Fargo"), as administrative agent, and the lenders that are parties thereto ("Term Loan"), approximates its carrying value due to the variable interest rates. We consider the fair value of the Term Loan to be a Level 2 measurement as the Term Loan is not actively traded. We carry the Term Loan at face value less the unamortized discount on our Consolidated Balance Sheets. Refer to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our Consolidated Financial Statements for more information about the Term Loan.</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There were no changes to our valuation techniques used to measure asset and liability fair values on a recurring basis during the year ended December 31, 2019.</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valuation techniques for the items in the table above are as follows:</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Cash Equivalents</w:t>
      </w:r>
    </w:p>
    <w:p>
      <w:pPr>
        <w:spacing w:after="0" w:line="103"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At December 31, 2019 and 2018, cash equivalents include cash invested in money market funds with a maturity of three months or less. Fair value is based on market prices for identical assets.</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Available-for-Sale Investment Securities</w:t>
      </w:r>
    </w:p>
    <w:p>
      <w:pPr>
        <w:spacing w:after="0" w:line="103"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6"/>
          <w:szCs w:val="16"/>
          <w:color w:val="auto"/>
        </w:rPr>
        <w:t>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103"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Certain assets, including goodwill, intangible assets and our note receivable with SecureDocs, are also subject to measurement at fair value on a non-recurring basis using Level 3 measurement, but only when they are deemed to be impaired as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736" w:right="239" w:bottom="1440" w:gutter="0" w:footer="0" w:header="0"/>
        </w:sectPr>
      </w:pPr>
    </w:p>
    <w:bookmarkStart w:id="78" w:name="page79"/>
    <w:bookmarkEnd w:id="78"/>
    <w:p>
      <w:pPr>
        <w:jc w:val="both"/>
        <w:spacing w:after="0" w:line="264" w:lineRule="auto"/>
        <w:rPr>
          <w:sz w:val="20"/>
          <w:szCs w:val="20"/>
          <w:color w:val="auto"/>
        </w:rPr>
      </w:pPr>
      <w:r>
        <w:rPr>
          <w:rFonts w:ascii="Arial" w:cs="Arial" w:eastAsia="Arial" w:hAnsi="Arial"/>
          <w:sz w:val="17"/>
          <w:szCs w:val="17"/>
          <w:color w:val="auto"/>
        </w:rPr>
        <w:t>a result of an impairment review. For the years ended December 31, 2019, 2018 and 2017, no impairments were identified on those assets required to be measured at fair value on a non-recurring basis.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Property and Equipment</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Property and equipment consists of the following at December 31, 2019 and 2018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Borders>
              <w:bottom w:val="single" w:sz="8" w:color="auto"/>
            </w:tcBorders>
          </w:tcPr>
          <w:p>
            <w:pPr>
              <w:spacing w:after="0"/>
              <w:rPr>
                <w:sz w:val="15"/>
                <w:szCs w:val="15"/>
                <w:color w:val="auto"/>
              </w:rPr>
            </w:pPr>
          </w:p>
        </w:tc>
      </w:tr>
      <w:tr>
        <w:trPr>
          <w:trHeight w:val="199"/>
        </w:trPr>
        <w:tc>
          <w:tcPr>
            <w:tcW w:w="8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579"/>
              <w:spacing w:after="0"/>
              <w:rPr>
                <w:sz w:val="20"/>
                <w:szCs w:val="20"/>
                <w:color w:val="auto"/>
              </w:rPr>
            </w:pPr>
            <w:r>
              <w:rPr>
                <w:rFonts w:ascii="Arial" w:cs="Arial" w:eastAsia="Arial" w:hAnsi="Arial"/>
                <w:sz w:val="13"/>
                <w:szCs w:val="13"/>
                <w:b w:val="1"/>
                <w:bCs w:val="1"/>
                <w:color w:val="auto"/>
              </w:rPr>
              <w:t>2018</w:t>
            </w:r>
          </w:p>
        </w:tc>
      </w:tr>
      <w:tr>
        <w:trPr>
          <w:trHeight w:val="47"/>
        </w:trPr>
        <w:tc>
          <w:tcPr>
            <w:tcW w:w="8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21"/>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Data center and computer equipment</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7,983</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6,854</w:t>
            </w:r>
          </w:p>
        </w:tc>
      </w:tr>
      <w:tr>
        <w:trPr>
          <w:trHeight w:val="224"/>
        </w:trPr>
        <w:tc>
          <w:tcPr>
            <w:tcW w:w="812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9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7"/>
                <w:szCs w:val="17"/>
                <w:color w:val="auto"/>
              </w:rPr>
              <w:t>3,953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2,928</w:t>
            </w:r>
          </w:p>
        </w:tc>
      </w:tr>
      <w:tr>
        <w:trPr>
          <w:trHeight w:val="25"/>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Office equipment</w:t>
            </w:r>
          </w:p>
        </w:tc>
        <w:tc>
          <w:tcPr>
            <w:tcW w:w="9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1,141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798</w:t>
            </w:r>
          </w:p>
        </w:tc>
      </w:tr>
      <w:tr>
        <w:trPr>
          <w:trHeight w:val="224"/>
        </w:trPr>
        <w:tc>
          <w:tcPr>
            <w:tcW w:w="812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9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7"/>
                <w:szCs w:val="17"/>
                <w:color w:val="auto"/>
              </w:rPr>
              <w:t>6,192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5,254</w:t>
            </w:r>
          </w:p>
        </w:tc>
      </w:tr>
      <w:tr>
        <w:trPr>
          <w:trHeight w:val="25"/>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Construction in process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7,118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79</w:t>
            </w:r>
          </w:p>
        </w:tc>
      </w:tr>
      <w:tr>
        <w:trPr>
          <w:trHeight w:val="217"/>
        </w:trPr>
        <w:tc>
          <w:tcPr>
            <w:tcW w:w="8120" w:type="dxa"/>
            <w:vAlign w:val="bottom"/>
          </w:tcPr>
          <w:p>
            <w:pPr>
              <w:ind w:left="340"/>
              <w:spacing w:after="0"/>
              <w:rPr>
                <w:sz w:val="20"/>
                <w:szCs w:val="20"/>
                <w:color w:val="auto"/>
              </w:rPr>
            </w:pPr>
            <w:r>
              <w:rPr>
                <w:rFonts w:ascii="Arial" w:cs="Arial" w:eastAsia="Arial" w:hAnsi="Arial"/>
                <w:sz w:val="17"/>
                <w:szCs w:val="17"/>
                <w:color w:val="auto"/>
              </w:rPr>
              <w:t>Gross property and equipment</w:t>
            </w: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w w:val="99"/>
              </w:rPr>
              <w:t>26,387</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15,913</w:t>
            </w:r>
          </w:p>
        </w:tc>
      </w:tr>
      <w:tr>
        <w:trPr>
          <w:trHeight w:val="25"/>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(11,643)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(9,042)</w:t>
            </w:r>
          </w:p>
        </w:tc>
      </w:tr>
      <w:tr>
        <w:trPr>
          <w:trHeight w:val="217"/>
        </w:trPr>
        <w:tc>
          <w:tcPr>
            <w:tcW w:w="8120" w:type="dxa"/>
            <w:vAlign w:val="bottom"/>
          </w:tcPr>
          <w:p>
            <w:pPr>
              <w:ind w:left="340"/>
              <w:spacing w:after="0"/>
              <w:rPr>
                <w:sz w:val="20"/>
                <w:szCs w:val="20"/>
                <w:color w:val="auto"/>
              </w:rPr>
            </w:pPr>
            <w:r>
              <w:rPr>
                <w:rFonts w:ascii="Arial" w:cs="Arial" w:eastAsia="Arial" w:hAnsi="Arial"/>
                <w:sz w:val="17"/>
                <w:szCs w:val="17"/>
                <w:color w:val="auto"/>
              </w:rPr>
              <w:t>Total property and equipment, net</w:t>
            </w:r>
          </w:p>
        </w:tc>
        <w:tc>
          <w:tcPr>
            <w:tcW w:w="960" w:type="dxa"/>
            <w:vAlign w:val="bottom"/>
            <w:tcBorders>
              <w:top w:val="single" w:sz="8" w:color="auto"/>
            </w:tcBorders>
          </w:tcPr>
          <w:p>
            <w:pPr>
              <w:jc w:val="right"/>
              <w:ind w:right="783"/>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w w:val="99"/>
              </w:rPr>
              <w:t>14,744</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7"/>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6,871</w:t>
            </w:r>
          </w:p>
        </w:tc>
      </w:tr>
      <w:tr>
        <w:trPr>
          <w:trHeight w:val="25"/>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Depreciation expense for property and equipment totaled $3.1 million, $2.4 million, and $2.3 million for the years ended December 31, 2019, 2018 and 2017,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Internal-Use Software Development Costs</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Internal-use software development costs were as follows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1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Borders>
              <w:bottom w:val="single" w:sz="8" w:color="auto"/>
            </w:tcBorders>
          </w:tcPr>
          <w:p>
            <w:pPr>
              <w:spacing w:after="0"/>
              <w:rPr>
                <w:sz w:val="15"/>
                <w:szCs w:val="15"/>
                <w:color w:val="auto"/>
              </w:rPr>
            </w:pPr>
          </w:p>
        </w:tc>
      </w:tr>
      <w:tr>
        <w:trPr>
          <w:trHeight w:val="241"/>
        </w:trPr>
        <w:tc>
          <w:tcPr>
            <w:tcW w:w="81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2018</w:t>
            </w:r>
          </w:p>
        </w:tc>
      </w:tr>
      <w:tr>
        <w:trPr>
          <w:trHeight w:val="22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Internal use software development costs, gross</w:t>
            </w: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w w:val="99"/>
              </w:rPr>
              <w:t>81,475</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58,237</w:t>
            </w:r>
          </w:p>
        </w:tc>
      </w:tr>
      <w:tr>
        <w:trPr>
          <w:trHeight w:val="224"/>
        </w:trPr>
        <w:tc>
          <w:tcPr>
            <w:tcW w:w="8140" w:type="dxa"/>
            <w:vAlign w:val="bottom"/>
          </w:tcPr>
          <w:p>
            <w:pPr>
              <w:ind w:left="20"/>
              <w:spacing w:after="0"/>
              <w:rPr>
                <w:sz w:val="20"/>
                <w:szCs w:val="20"/>
                <w:color w:val="auto"/>
              </w:rPr>
            </w:pPr>
            <w:r>
              <w:rPr>
                <w:rFonts w:ascii="Arial" w:cs="Arial" w:eastAsia="Arial" w:hAnsi="Arial"/>
                <w:sz w:val="17"/>
                <w:szCs w:val="17"/>
                <w:color w:val="auto"/>
              </w:rPr>
              <w:t>Less: Accumulated amortization</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8"/>
              </w:rPr>
              <w:t>(51,452)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(37,752)</w:t>
            </w:r>
          </w:p>
        </w:tc>
      </w:tr>
      <w:tr>
        <w:trPr>
          <w:trHeight w:val="25"/>
        </w:trPr>
        <w:tc>
          <w:tcPr>
            <w:tcW w:w="8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Internal use software development costs, net</w:t>
            </w: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w w:val="99"/>
              </w:rPr>
              <w:t>30,023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20,485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Capitalized software development costs were $23.6 million, $13.8 million and $11.1 million for the years ended December 31, 2019, 2018 and 2017, respectively. Amortization expense with respect to software development costs totaled $14.0 million, $11.0 million and $9.0 million for the years ended December 31, 2019, 2018 and 2017,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674" w:right="239" w:bottom="1440" w:gutter="0" w:footer="0" w:header="0"/>
        </w:sectPr>
      </w:pPr>
    </w:p>
    <w:bookmarkStart w:id="79" w:name="page80"/>
    <w:bookmarkEnd w:id="79"/>
    <w:p>
      <w:pPr>
        <w:ind w:left="600"/>
        <w:spacing w:after="0"/>
        <w:rPr>
          <w:sz w:val="20"/>
          <w:szCs w:val="20"/>
          <w:color w:val="auto"/>
        </w:rPr>
      </w:pPr>
      <w:r>
        <w:rPr>
          <w:rFonts w:ascii="Arial" w:cs="Arial" w:eastAsia="Arial" w:hAnsi="Arial"/>
          <w:sz w:val="16"/>
          <w:szCs w:val="16"/>
          <w:color w:val="auto"/>
        </w:rPr>
        <w:t>Future amortization expense with respect to capitalized software development costs at December 31, 2019 is estimated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40" w:type="dxa"/>
            <w:vAlign w:val="bottom"/>
          </w:tcPr>
          <w:p>
            <w:pPr>
              <w:ind w:left="20"/>
              <w:spacing w:after="0"/>
              <w:rPr>
                <w:sz w:val="20"/>
                <w:szCs w:val="20"/>
                <w:color w:val="auto"/>
              </w:rPr>
            </w:pPr>
            <w:r>
              <w:rPr>
                <w:rFonts w:ascii="Arial" w:cs="Arial" w:eastAsia="Arial" w:hAnsi="Arial"/>
                <w:sz w:val="17"/>
                <w:szCs w:val="17"/>
                <w:color w:val="auto"/>
              </w:rPr>
              <w:t>Years Ending December 31,</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
        </w:trPr>
        <w:tc>
          <w:tcPr>
            <w:tcW w:w="9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56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14,578</w:t>
            </w:r>
          </w:p>
        </w:tc>
      </w:tr>
      <w:tr>
        <w:trPr>
          <w:trHeight w:val="224"/>
        </w:trPr>
        <w:tc>
          <w:tcPr>
            <w:tcW w:w="9840" w:type="dxa"/>
            <w:vAlign w:val="bottom"/>
          </w:tcPr>
          <w:p>
            <w:pPr>
              <w:ind w:left="20"/>
              <w:spacing w:after="0"/>
              <w:rPr>
                <w:sz w:val="20"/>
                <w:szCs w:val="20"/>
                <w:color w:val="auto"/>
              </w:rPr>
            </w:pPr>
            <w:r>
              <w:rPr>
                <w:rFonts w:ascii="Arial" w:cs="Arial" w:eastAsia="Arial" w:hAnsi="Arial"/>
                <w:sz w:val="17"/>
                <w:szCs w:val="17"/>
                <w:color w:val="auto"/>
              </w:rPr>
              <w:t>2021</w:t>
            </w:r>
          </w:p>
        </w:tc>
        <w:tc>
          <w:tcPr>
            <w:tcW w:w="56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10,738</w:t>
            </w:r>
          </w:p>
        </w:tc>
      </w:tr>
      <w:tr>
        <w:trPr>
          <w:trHeight w:val="25"/>
        </w:trPr>
        <w:tc>
          <w:tcPr>
            <w:tcW w:w="9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5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4,691</w:t>
            </w:r>
          </w:p>
        </w:tc>
      </w:tr>
      <w:tr>
        <w:trPr>
          <w:trHeight w:val="224"/>
        </w:trPr>
        <w:tc>
          <w:tcPr>
            <w:tcW w:w="9840" w:type="dxa"/>
            <w:vAlign w:val="bottom"/>
          </w:tcPr>
          <w:p>
            <w:pPr>
              <w:ind w:left="20"/>
              <w:spacing w:after="0"/>
              <w:rPr>
                <w:sz w:val="20"/>
                <w:szCs w:val="20"/>
                <w:color w:val="auto"/>
              </w:rPr>
            </w:pPr>
            <w:r>
              <w:rPr>
                <w:rFonts w:ascii="Arial" w:cs="Arial" w:eastAsia="Arial" w:hAnsi="Arial"/>
                <w:sz w:val="17"/>
                <w:szCs w:val="17"/>
                <w:color w:val="auto"/>
              </w:rPr>
              <w:t>2023</w:t>
            </w:r>
          </w:p>
        </w:tc>
        <w:tc>
          <w:tcPr>
            <w:tcW w:w="56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16</w:t>
            </w:r>
          </w:p>
        </w:tc>
      </w:tr>
      <w:tr>
        <w:trPr>
          <w:trHeight w:val="25"/>
        </w:trPr>
        <w:tc>
          <w:tcPr>
            <w:tcW w:w="98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5"/>
        </w:trPr>
        <w:tc>
          <w:tcPr>
            <w:tcW w:w="9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amortization expense</w:t>
            </w:r>
          </w:p>
        </w:tc>
        <w:tc>
          <w:tcPr>
            <w:tcW w:w="56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30,023</w:t>
            </w:r>
          </w:p>
        </w:tc>
      </w:tr>
      <w:tr>
        <w:trPr>
          <w:trHeight w:val="20"/>
        </w:trPr>
        <w:tc>
          <w:tcPr>
            <w:tcW w:w="9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Goodwill and Intangible Assets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Intangible assets consisted of the following at December 31, 2019 and 2018 (in thousands, except years):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 2019</w:t>
            </w:r>
          </w:p>
        </w:tc>
        <w:tc>
          <w:tcPr>
            <w:tcW w:w="1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vMerge w:val="restart"/>
          </w:tcPr>
          <w:p>
            <w:pPr>
              <w:jc w:val="center"/>
              <w:ind w:right="140"/>
              <w:spacing w:after="0"/>
              <w:rPr>
                <w:sz w:val="20"/>
                <w:szCs w:val="20"/>
                <w:color w:val="auto"/>
              </w:rPr>
            </w:pPr>
            <w:r>
              <w:rPr>
                <w:rFonts w:ascii="Arial" w:cs="Arial" w:eastAsia="Arial" w:hAnsi="Arial"/>
                <w:sz w:val="13"/>
                <w:szCs w:val="13"/>
                <w:b w:val="1"/>
                <w:bCs w:val="1"/>
                <w:color w:val="auto"/>
                <w:w w:val="92"/>
              </w:rPr>
              <w:t>Gross Carrying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vMerge w:val="restart"/>
          </w:tcPr>
          <w:p>
            <w:pPr>
              <w:jc w:val="right"/>
              <w:ind w:right="640"/>
              <w:spacing w:after="0"/>
              <w:rPr>
                <w:sz w:val="20"/>
                <w:szCs w:val="20"/>
                <w:color w:val="auto"/>
              </w:rPr>
            </w:pPr>
            <w:r>
              <w:rPr>
                <w:rFonts w:ascii="Arial" w:cs="Arial" w:eastAsia="Arial" w:hAnsi="Arial"/>
                <w:sz w:val="13"/>
                <w:szCs w:val="13"/>
                <w:b w:val="1"/>
                <w:bCs w:val="1"/>
                <w:color w:val="auto"/>
              </w:rPr>
              <w:t>Accumulated</w:t>
            </w:r>
          </w:p>
        </w:tc>
        <w:tc>
          <w:tcPr>
            <w:tcW w:w="500" w:type="dxa"/>
            <w:vAlign w:val="bottom"/>
          </w:tcPr>
          <w:p>
            <w:pPr>
              <w:spacing w:after="0"/>
              <w:rPr>
                <w:sz w:val="12"/>
                <w:szCs w:val="12"/>
                <w:color w:val="auto"/>
              </w:rPr>
            </w:pPr>
          </w:p>
        </w:tc>
        <w:tc>
          <w:tcPr>
            <w:tcW w:w="1320" w:type="dxa"/>
            <w:vAlign w:val="bottom"/>
            <w:gridSpan w:val="2"/>
            <w:vMerge w:val="restart"/>
          </w:tcPr>
          <w:p>
            <w:pPr>
              <w:jc w:val="center"/>
              <w:ind w:right="520"/>
              <w:spacing w:after="0"/>
              <w:rPr>
                <w:sz w:val="20"/>
                <w:szCs w:val="20"/>
                <w:color w:val="auto"/>
              </w:rPr>
            </w:pPr>
            <w:r>
              <w:rPr>
                <w:rFonts w:ascii="Arial" w:cs="Arial" w:eastAsia="Arial" w:hAnsi="Arial"/>
                <w:sz w:val="13"/>
                <w:szCs w:val="13"/>
                <w:b w:val="1"/>
                <w:bCs w:val="1"/>
                <w:color w:val="auto"/>
                <w:w w:val="97"/>
              </w:rPr>
              <w:t>Net Carrying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0"/>
              </w:rPr>
              <w:t>Average Useful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2"/>
              </w:rPr>
              <w:t>Value</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Life in Years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42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3,070</w:t>
            </w:r>
          </w:p>
        </w:tc>
        <w:tc>
          <w:tcPr>
            <w:tcW w:w="480" w:type="dxa"/>
            <w:vAlign w:val="bottom"/>
            <w:tcBorders>
              <w:bottom w:val="single" w:sz="8" w:color="CCEEFF"/>
            </w:tcBorders>
            <w:gridSpan w:val="5"/>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1,774</w:t>
            </w:r>
          </w:p>
        </w:tc>
        <w:tc>
          <w:tcPr>
            <w:tcW w:w="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7"/>
                <w:szCs w:val="17"/>
                <w:color w:val="auto"/>
              </w:rPr>
              <w:t>Database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8,330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7,376</w:t>
            </w:r>
          </w:p>
        </w:tc>
        <w:tc>
          <w:tcPr>
            <w:tcW w:w="2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10,541</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(6,074)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4,467</w:t>
            </w:r>
          </w:p>
        </w:tc>
        <w:tc>
          <w:tcPr>
            <w:tcW w:w="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7"/>
                <w:szCs w:val="17"/>
                <w:color w:val="auto"/>
              </w:rPr>
              <w:t>Trademarks and trade names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2,690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1,792</w:t>
            </w:r>
          </w:p>
        </w:tc>
        <w:tc>
          <w:tcPr>
            <w:tcW w:w="2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Partner relationships</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7"/>
                <w:szCs w:val="17"/>
                <w:color w:val="auto"/>
              </w:rPr>
              <w:t>Non-compete agreements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7,400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(1,484)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5,916</w:t>
            </w:r>
          </w:p>
        </w:tc>
        <w:tc>
          <w:tcPr>
            <w:tcW w:w="2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Domain names</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25</w:t>
            </w:r>
          </w:p>
        </w:tc>
        <w:tc>
          <w:tcPr>
            <w:tcW w:w="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7"/>
                <w:szCs w:val="17"/>
                <w:color w:val="auto"/>
              </w:rPr>
              <w:t>Patents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252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Backlog</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20" w:type="dxa"/>
            <w:vAlign w:val="bottom"/>
            <w:tcBorders>
              <w:top w:val="single" w:sz="8" w:color="auto"/>
              <w:bottom w:val="single" w:sz="8" w:color="auto"/>
            </w:tcBorders>
            <w:gridSpan w:val="2"/>
          </w:tcPr>
          <w:p>
            <w:pPr>
              <w:jc w:val="right"/>
              <w:ind w:right="97"/>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33,734</w:t>
            </w:r>
          </w:p>
        </w:tc>
        <w:tc>
          <w:tcPr>
            <w:tcW w:w="80" w:type="dxa"/>
            <w:vAlign w:val="bottom"/>
            <w:tcBorders>
              <w:top w:val="single" w:sz="8" w:color="auto"/>
              <w:bottom w:val="single" w:sz="8" w:color="auto"/>
            </w:tcBorders>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(12,357)</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21,377</w:t>
            </w:r>
          </w:p>
        </w:tc>
        <w:tc>
          <w:tcPr>
            <w:tcW w:w="20" w:type="dxa"/>
            <w:vAlign w:val="bottom"/>
            <w:tcBorders>
              <w:top w:val="single" w:sz="8" w:color="auto"/>
              <w:bottom w:val="single" w:sz="8" w:color="auto"/>
            </w:tcBorders>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 2018</w:t>
            </w: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vMerge w:val="restart"/>
          </w:tcPr>
          <w:p>
            <w:pPr>
              <w:jc w:val="center"/>
              <w:ind w:right="180"/>
              <w:spacing w:after="0"/>
              <w:rPr>
                <w:sz w:val="20"/>
                <w:szCs w:val="20"/>
                <w:color w:val="auto"/>
              </w:rPr>
            </w:pPr>
            <w:r>
              <w:rPr>
                <w:rFonts w:ascii="Arial" w:cs="Arial" w:eastAsia="Arial" w:hAnsi="Arial"/>
                <w:sz w:val="13"/>
                <w:szCs w:val="13"/>
                <w:b w:val="1"/>
                <w:bCs w:val="1"/>
                <w:color w:val="auto"/>
                <w:w w:val="92"/>
              </w:rPr>
              <w:t>Gross Carrying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vMerge w:val="restart"/>
          </w:tcPr>
          <w:p>
            <w:pPr>
              <w:jc w:val="right"/>
              <w:ind w:right="660"/>
              <w:spacing w:after="0"/>
              <w:rPr>
                <w:sz w:val="20"/>
                <w:szCs w:val="20"/>
                <w:color w:val="auto"/>
              </w:rPr>
            </w:pPr>
            <w:r>
              <w:rPr>
                <w:rFonts w:ascii="Arial" w:cs="Arial" w:eastAsia="Arial" w:hAnsi="Arial"/>
                <w:sz w:val="13"/>
                <w:szCs w:val="13"/>
                <w:b w:val="1"/>
                <w:bCs w:val="1"/>
                <w:color w:val="auto"/>
              </w:rPr>
              <w:t>Accumulated</w:t>
            </w:r>
          </w:p>
        </w:tc>
        <w:tc>
          <w:tcPr>
            <w:tcW w:w="500" w:type="dxa"/>
            <w:vAlign w:val="bottom"/>
          </w:tcPr>
          <w:p>
            <w:pPr>
              <w:spacing w:after="0"/>
              <w:rPr>
                <w:sz w:val="12"/>
                <w:szCs w:val="12"/>
                <w:color w:val="auto"/>
              </w:rPr>
            </w:pPr>
          </w:p>
        </w:tc>
        <w:tc>
          <w:tcPr>
            <w:tcW w:w="1320" w:type="dxa"/>
            <w:vAlign w:val="bottom"/>
            <w:gridSpan w:val="2"/>
            <w:vMerge w:val="restart"/>
          </w:tcPr>
          <w:p>
            <w:pPr>
              <w:jc w:val="center"/>
              <w:ind w:right="520"/>
              <w:spacing w:after="0"/>
              <w:rPr>
                <w:sz w:val="20"/>
                <w:szCs w:val="20"/>
                <w:color w:val="auto"/>
              </w:rPr>
            </w:pPr>
            <w:r>
              <w:rPr>
                <w:rFonts w:ascii="Arial" w:cs="Arial" w:eastAsia="Arial" w:hAnsi="Arial"/>
                <w:sz w:val="13"/>
                <w:szCs w:val="13"/>
                <w:b w:val="1"/>
                <w:bCs w:val="1"/>
                <w:color w:val="auto"/>
                <w:w w:val="97"/>
              </w:rPr>
              <w:t>Net Carrying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0"/>
              </w:rPr>
              <w:t>Average Useful</w:t>
            </w:r>
          </w:p>
        </w:tc>
        <w:tc>
          <w:tcPr>
            <w:tcW w:w="0" w:type="dxa"/>
            <w:vAlign w:val="bottom"/>
          </w:tcPr>
          <w:p>
            <w:pPr>
              <w:spacing w:after="0"/>
              <w:rPr>
                <w:sz w:val="1"/>
                <w:szCs w:val="1"/>
                <w:color w:val="auto"/>
              </w:rPr>
            </w:pPr>
          </w:p>
        </w:tc>
      </w:tr>
      <w:tr>
        <w:trPr>
          <w:trHeight w:val="177"/>
        </w:trPr>
        <w:tc>
          <w:tcPr>
            <w:tcW w:w="20" w:type="dxa"/>
            <w:vAlign w:val="bottom"/>
            <w:tcBorders>
              <w:bottom w:val="single" w:sz="8" w:color="CCEEFF"/>
            </w:tcBorders>
          </w:tcPr>
          <w:p>
            <w:pPr>
              <w:spacing w:after="0"/>
              <w:rPr>
                <w:sz w:val="15"/>
                <w:szCs w:val="15"/>
                <w:color w:val="auto"/>
              </w:rPr>
            </w:pPr>
          </w:p>
        </w:tc>
        <w:tc>
          <w:tcPr>
            <w:tcW w:w="36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92"/>
              </w:rPr>
              <w:t>Value</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Borders>
              <w:bottom w:val="single" w:sz="8" w:color="CCEEFF"/>
            </w:tcBorders>
            <w:gridSpan w:val="2"/>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20"/>
              <w:spacing w:after="0"/>
              <w:rPr>
                <w:sz w:val="20"/>
                <w:szCs w:val="20"/>
                <w:color w:val="auto"/>
              </w:rPr>
            </w:pPr>
            <w:r>
              <w:rPr>
                <w:rFonts w:ascii="Arial" w:cs="Arial" w:eastAsia="Arial" w:hAnsi="Arial"/>
                <w:sz w:val="13"/>
                <w:szCs w:val="13"/>
                <w:b w:val="1"/>
                <w:bCs w:val="1"/>
                <w:color w:val="auto"/>
                <w:w w:val="92"/>
              </w:rPr>
              <w:t>Value</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Life in Years</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420" w:type="dxa"/>
            <w:vAlign w:val="bottom"/>
            <w:tcBorders>
              <w:bottom w:val="single" w:sz="8" w:color="CCEEFF"/>
            </w:tcBorders>
            <w:gridSpan w:val="2"/>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480" w:type="dxa"/>
            <w:vAlign w:val="bottom"/>
            <w:tcBorders>
              <w:bottom w:val="single" w:sz="8" w:color="CCEEFF"/>
            </w:tcBorders>
            <w:gridSpan w:val="5"/>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1,232</w:t>
            </w:r>
          </w:p>
        </w:tc>
        <w:tc>
          <w:tcPr>
            <w:tcW w:w="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Database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3,620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3,499</w:t>
            </w:r>
          </w:p>
        </w:tc>
        <w:tc>
          <w:tcPr>
            <w:tcW w:w="2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Technology</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4,811</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305</w:t>
            </w:r>
          </w:p>
        </w:tc>
        <w:tc>
          <w:tcPr>
            <w:tcW w:w="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Trademarks and trade names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1,300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658</w:t>
            </w:r>
          </w:p>
        </w:tc>
        <w:tc>
          <w:tcPr>
            <w:tcW w:w="2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Partner relationships</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Non-compete agreements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Domain names</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Patents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285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Backlog</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93</w:t>
            </w:r>
          </w:p>
        </w:tc>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13,169</w:t>
            </w: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20" w:type="dxa"/>
            <w:vAlign w:val="bottom"/>
            <w:tcBorders>
              <w:top w:val="single" w:sz="8" w:color="auto"/>
              <w:bottom w:val="single" w:sz="8" w:color="auto"/>
            </w:tcBorders>
            <w:gridSpan w:val="2"/>
          </w:tcPr>
          <w:p>
            <w:pPr>
              <w:jc w:val="right"/>
              <w:ind w:right="117"/>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(7,274)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5,895</w:t>
            </w:r>
          </w:p>
        </w:tc>
        <w:tc>
          <w:tcPr>
            <w:tcW w:w="2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gridSpan w:val="5"/>
          </w:tcPr>
          <w:p>
            <w:pPr>
              <w:jc w:val="right"/>
              <w:ind w:right="177"/>
              <w:spacing w:after="0"/>
              <w:rPr>
                <w:sz w:val="20"/>
                <w:szCs w:val="20"/>
                <w:color w:val="auto"/>
              </w:rPr>
            </w:pPr>
            <w:r>
              <w:rPr>
                <w:rFonts w:ascii="Arial" w:cs="Arial" w:eastAsia="Arial" w:hAnsi="Arial"/>
                <w:sz w:val="17"/>
                <w:szCs w:val="17"/>
                <w:color w:val="auto"/>
              </w:rPr>
              <w:t>76</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4" w:right="239" w:bottom="1440" w:gutter="0" w:footer="0" w:header="0"/>
        </w:sectPr>
      </w:pPr>
    </w:p>
    <w:bookmarkStart w:id="80" w:name="page81"/>
    <w:bookmarkEnd w:id="80"/>
    <w:p>
      <w:pPr>
        <w:jc w:val="both"/>
        <w:ind w:firstLine="597"/>
        <w:spacing w:after="0" w:line="264" w:lineRule="auto"/>
        <w:rPr>
          <w:sz w:val="20"/>
          <w:szCs w:val="20"/>
          <w:color w:val="auto"/>
        </w:rPr>
      </w:pPr>
      <w:r>
        <w:rPr>
          <w:rFonts w:ascii="Arial" w:cs="Arial" w:eastAsia="Arial" w:hAnsi="Arial"/>
          <w:sz w:val="17"/>
          <w:szCs w:val="17"/>
          <w:color w:val="auto"/>
        </w:rPr>
        <w:t>Amortization expense with respect to intangible assets totaled $5.3 million, $1.2 million and $1.4 million for the years ended December 31, 2019, 2018 and 2017, respectively. Future amortization expense with respect to intangible assets is estimated as follows (in thousands):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9600" w:type="dxa"/>
            <w:vAlign w:val="bottom"/>
          </w:tcPr>
          <w:p>
            <w:pPr>
              <w:ind w:left="20"/>
              <w:spacing w:after="0"/>
              <w:rPr>
                <w:sz w:val="20"/>
                <w:szCs w:val="20"/>
                <w:color w:val="auto"/>
              </w:rPr>
            </w:pPr>
            <w:r>
              <w:rPr>
                <w:rFonts w:ascii="Arial" w:cs="Arial" w:eastAsia="Arial" w:hAnsi="Arial"/>
                <w:sz w:val="17"/>
                <w:szCs w:val="17"/>
                <w:color w:val="auto"/>
              </w:rPr>
              <w:t>Years Ending December 31,</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
        </w:trPr>
        <w:tc>
          <w:tcPr>
            <w:tcW w:w="9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66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4,642</w:t>
            </w:r>
          </w:p>
        </w:tc>
      </w:tr>
      <w:tr>
        <w:trPr>
          <w:trHeight w:val="224"/>
        </w:trPr>
        <w:tc>
          <w:tcPr>
            <w:tcW w:w="9600" w:type="dxa"/>
            <w:vAlign w:val="bottom"/>
          </w:tcPr>
          <w:p>
            <w:pPr>
              <w:ind w:left="20"/>
              <w:spacing w:after="0"/>
              <w:rPr>
                <w:sz w:val="20"/>
                <w:szCs w:val="20"/>
                <w:color w:val="auto"/>
              </w:rPr>
            </w:pPr>
            <w:r>
              <w:rPr>
                <w:rFonts w:ascii="Arial" w:cs="Arial" w:eastAsia="Arial" w:hAnsi="Arial"/>
                <w:sz w:val="17"/>
                <w:szCs w:val="17"/>
                <w:color w:val="auto"/>
              </w:rPr>
              <w:t>2021</w:t>
            </w:r>
          </w:p>
        </w:tc>
        <w:tc>
          <w:tcPr>
            <w:tcW w:w="66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4,507</w:t>
            </w:r>
          </w:p>
        </w:tc>
      </w:tr>
      <w:tr>
        <w:trPr>
          <w:trHeight w:val="25"/>
        </w:trPr>
        <w:tc>
          <w:tcPr>
            <w:tcW w:w="9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6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4,445</w:t>
            </w:r>
          </w:p>
        </w:tc>
      </w:tr>
      <w:tr>
        <w:trPr>
          <w:trHeight w:val="224"/>
        </w:trPr>
        <w:tc>
          <w:tcPr>
            <w:tcW w:w="9600" w:type="dxa"/>
            <w:vAlign w:val="bottom"/>
          </w:tcPr>
          <w:p>
            <w:pPr>
              <w:ind w:left="20"/>
              <w:spacing w:after="0"/>
              <w:rPr>
                <w:sz w:val="20"/>
                <w:szCs w:val="20"/>
                <w:color w:val="auto"/>
              </w:rPr>
            </w:pPr>
            <w:r>
              <w:rPr>
                <w:rFonts w:ascii="Arial" w:cs="Arial" w:eastAsia="Arial" w:hAnsi="Arial"/>
                <w:sz w:val="17"/>
                <w:szCs w:val="17"/>
                <w:color w:val="auto"/>
              </w:rPr>
              <w:t>2023</w:t>
            </w:r>
          </w:p>
        </w:tc>
        <w:tc>
          <w:tcPr>
            <w:tcW w:w="66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2,869</w:t>
            </w:r>
          </w:p>
        </w:tc>
      </w:tr>
      <w:tr>
        <w:trPr>
          <w:trHeight w:val="25"/>
        </w:trPr>
        <w:tc>
          <w:tcPr>
            <w:tcW w:w="9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6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1,373</w:t>
            </w:r>
          </w:p>
        </w:tc>
      </w:tr>
      <w:tr>
        <w:trPr>
          <w:trHeight w:val="224"/>
        </w:trPr>
        <w:tc>
          <w:tcPr>
            <w:tcW w:w="960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66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3,541</w:t>
            </w:r>
          </w:p>
        </w:tc>
      </w:tr>
      <w:tr>
        <w:trPr>
          <w:trHeight w:val="25"/>
        </w:trPr>
        <w:tc>
          <w:tcPr>
            <w:tcW w:w="96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5"/>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amortization expense</w:t>
            </w:r>
          </w:p>
        </w:tc>
        <w:tc>
          <w:tcPr>
            <w:tcW w:w="66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21,377</w:t>
            </w:r>
          </w:p>
        </w:tc>
      </w:tr>
      <w:tr>
        <w:trPr>
          <w:trHeight w:val="20"/>
        </w:trPr>
        <w:tc>
          <w:tcPr>
            <w:tcW w:w="9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Our goodwill balance is solely attributed to acquisitions. There have been no impairment charges recorded against goodwill. Goodwill recorded during the twelve months ended December 31, 2019, which related to the acquisition of Dynasty was attributed to our one reporting unit. The change in the carrying amount of goodwill is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9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at December 31, 2018</w:t>
            </w:r>
          </w:p>
        </w:tc>
        <w:tc>
          <w:tcPr>
            <w:tcW w:w="680" w:type="dxa"/>
            <w:vAlign w:val="bottom"/>
            <w:shd w:val="clear" w:color="auto" w:fill="CCEEFF"/>
          </w:tcPr>
          <w:p>
            <w:pPr>
              <w:jc w:val="right"/>
              <w:ind w:right="49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15,548</w:t>
            </w:r>
          </w:p>
        </w:tc>
      </w:tr>
      <w:tr>
        <w:trPr>
          <w:trHeight w:val="224"/>
        </w:trPr>
        <w:tc>
          <w:tcPr>
            <w:tcW w:w="9620" w:type="dxa"/>
            <w:vAlign w:val="bottom"/>
          </w:tcPr>
          <w:p>
            <w:pPr>
              <w:ind w:left="20"/>
              <w:spacing w:after="0"/>
              <w:rPr>
                <w:sz w:val="20"/>
                <w:szCs w:val="20"/>
                <w:color w:val="auto"/>
              </w:rPr>
            </w:pPr>
            <w:r>
              <w:rPr>
                <w:rFonts w:ascii="Arial" w:cs="Arial" w:eastAsia="Arial" w:hAnsi="Arial"/>
                <w:sz w:val="17"/>
                <w:szCs w:val="17"/>
                <w:color w:val="auto"/>
              </w:rPr>
              <w:t>Goodwill from acquisition of Dynasty</w:t>
            </w:r>
          </w:p>
        </w:tc>
        <w:tc>
          <w:tcPr>
            <w:tcW w:w="680" w:type="dxa"/>
            <w:vAlign w:val="bottom"/>
          </w:tcPr>
          <w:p>
            <w:pPr>
              <w:spacing w:after="0"/>
              <w:rPr>
                <w:sz w:val="19"/>
                <w:szCs w:val="19"/>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42,877</w:t>
            </w:r>
          </w:p>
        </w:tc>
      </w:tr>
      <w:tr>
        <w:trPr>
          <w:trHeight w:val="25"/>
        </w:trPr>
        <w:tc>
          <w:tcPr>
            <w:tcW w:w="96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5"/>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 at December 31, 2019</w:t>
            </w:r>
          </w:p>
        </w:tc>
        <w:tc>
          <w:tcPr>
            <w:tcW w:w="68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58,425</w:t>
            </w:r>
          </w:p>
        </w:tc>
      </w:tr>
      <w:tr>
        <w:trPr>
          <w:trHeight w:val="20"/>
        </w:trPr>
        <w:tc>
          <w:tcPr>
            <w:tcW w:w="9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Leases</w:t>
      </w:r>
    </w:p>
    <w:p>
      <w:pPr>
        <w:spacing w:after="0" w:line="206" w:lineRule="exact"/>
        <w:rPr>
          <w:sz w:val="20"/>
          <w:szCs w:val="20"/>
          <w:color w:val="auto"/>
        </w:rPr>
      </w:pPr>
    </w:p>
    <w:p>
      <w:pPr>
        <w:jc w:val="both"/>
        <w:ind w:firstLine="597"/>
        <w:spacing w:after="0" w:line="268" w:lineRule="auto"/>
        <w:rPr>
          <w:sz w:val="20"/>
          <w:szCs w:val="20"/>
          <w:color w:val="auto"/>
        </w:rPr>
      </w:pPr>
      <w:r>
        <w:rPr>
          <w:rFonts w:ascii="Arial" w:cs="Arial" w:eastAsia="Arial" w:hAnsi="Arial"/>
          <w:sz w:val="16"/>
          <w:szCs w:val="16"/>
          <w:color w:val="auto"/>
        </w:rPr>
        <w:t>We have operating leases for our corporate offices and data centers. Our leases have remaining lease terms ranging from one to twelve years, some of which include options to extend the leases for up to 10 years. These options to extend have not been recognized as part of our operating lease ROU assets and lease liabilities as it is not reasonably certain that we will exercise these options. Our lease agreements do not contain any residual value guarantees or material restrictive covenants. We have lease agreements with lease and non-lease components, which we have elected to combine for all asset classes. The total lease cost associated with our operating leases for the twelve months ended December 31, 2019 was $5.1 million.</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Lease-related assets and liabilities were as follows at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57415" cy="158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158115"/>
                    </a:xfrm>
                    <a:prstGeom prst="rect">
                      <a:avLst/>
                    </a:prstGeom>
                    <a:noFill/>
                  </pic:spPr>
                </pic:pic>
              </a:graphicData>
            </a:graphic>
          </wp:anchor>
        </w:drawing>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Assets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80" w:type="dxa"/>
            <w:vAlign w:val="bottom"/>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560" w:type="dxa"/>
            <w:vAlign w:val="bottom"/>
          </w:tcPr>
          <w:p>
            <w:pPr>
              <w:jc w:val="right"/>
              <w:ind w:right="377"/>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77"/>
              <w:spacing w:after="0"/>
              <w:rPr>
                <w:sz w:val="20"/>
                <w:szCs w:val="20"/>
                <w:color w:val="auto"/>
              </w:rPr>
            </w:pPr>
            <w:r>
              <w:rPr>
                <w:rFonts w:ascii="Arial" w:cs="Arial" w:eastAsia="Arial" w:hAnsi="Arial"/>
                <w:sz w:val="17"/>
                <w:szCs w:val="17"/>
                <w:color w:val="auto"/>
              </w:rPr>
              <w:t>3,908</w:t>
            </w:r>
          </w:p>
        </w:tc>
      </w:tr>
      <w:tr>
        <w:trPr>
          <w:trHeight w:val="25"/>
        </w:trPr>
        <w:tc>
          <w:tcPr>
            <w:tcW w:w="9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27,803</w:t>
            </w:r>
          </w:p>
        </w:tc>
      </w:tr>
      <w:tr>
        <w:trPr>
          <w:trHeight w:val="298"/>
        </w:trPr>
        <w:tc>
          <w:tcPr>
            <w:tcW w:w="9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9"/>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24"/>
        </w:trPr>
        <w:tc>
          <w:tcPr>
            <w:tcW w:w="9780" w:type="dxa"/>
            <w:vAlign w:val="bottom"/>
          </w:tcPr>
          <w:p>
            <w:pPr>
              <w:ind w:left="20"/>
              <w:spacing w:after="0"/>
              <w:rPr>
                <w:sz w:val="20"/>
                <w:szCs w:val="20"/>
                <w:color w:val="auto"/>
              </w:rPr>
            </w:pPr>
            <w:r>
              <w:rPr>
                <w:rFonts w:ascii="Arial" w:cs="Arial" w:eastAsia="Arial" w:hAnsi="Arial"/>
                <w:sz w:val="17"/>
                <w:szCs w:val="17"/>
                <w:color w:val="auto"/>
              </w:rPr>
              <w:t>Other current liabilities</w:t>
            </w:r>
          </w:p>
        </w:tc>
        <w:tc>
          <w:tcPr>
            <w:tcW w:w="560" w:type="dxa"/>
            <w:vAlign w:val="bottom"/>
          </w:tcPr>
          <w:p>
            <w:pPr>
              <w:jc w:val="right"/>
              <w:ind w:right="377"/>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77"/>
              <w:spacing w:after="0"/>
              <w:rPr>
                <w:sz w:val="20"/>
                <w:szCs w:val="20"/>
                <w:color w:val="auto"/>
              </w:rPr>
            </w:pPr>
            <w:r>
              <w:rPr>
                <w:rFonts w:ascii="Arial" w:cs="Arial" w:eastAsia="Arial" w:hAnsi="Arial"/>
                <w:sz w:val="17"/>
                <w:szCs w:val="17"/>
                <w:color w:val="auto"/>
              </w:rPr>
              <w:t>2,826</w:t>
            </w:r>
          </w:p>
        </w:tc>
      </w:tr>
      <w:tr>
        <w:trPr>
          <w:trHeight w:val="25"/>
        </w:trPr>
        <w:tc>
          <w:tcPr>
            <w:tcW w:w="9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9"/>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33,312</w:t>
            </w:r>
          </w:p>
        </w:tc>
      </w:tr>
      <w:tr>
        <w:trPr>
          <w:trHeight w:val="275"/>
        </w:trPr>
        <w:tc>
          <w:tcPr>
            <w:tcW w:w="97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Total lease liabilities</w:t>
            </w:r>
          </w:p>
        </w:tc>
        <w:tc>
          <w:tcPr>
            <w:tcW w:w="56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rPr>
              <w:t>36,138</w:t>
            </w:r>
          </w:p>
        </w:tc>
      </w:tr>
      <w:tr>
        <w:trPr>
          <w:trHeight w:val="282"/>
        </w:trPr>
        <w:tc>
          <w:tcPr>
            <w:tcW w:w="97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24"/>
        </w:trPr>
        <w:tc>
          <w:tcPr>
            <w:tcW w:w="9780" w:type="dxa"/>
            <w:vAlign w:val="bottom"/>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560" w:type="dxa"/>
            <w:vAlign w:val="bottom"/>
          </w:tcPr>
          <w:p>
            <w:pPr>
              <w:spacing w:after="0"/>
              <w:rPr>
                <w:sz w:val="19"/>
                <w:szCs w:val="19"/>
                <w:color w:val="auto"/>
              </w:rPr>
            </w:pPr>
          </w:p>
        </w:tc>
        <w:tc>
          <w:tcPr>
            <w:tcW w:w="1080" w:type="dxa"/>
            <w:vAlign w:val="bottom"/>
          </w:tcPr>
          <w:p>
            <w:pPr>
              <w:jc w:val="right"/>
              <w:ind w:right="77"/>
              <w:spacing w:after="0"/>
              <w:rPr>
                <w:sz w:val="20"/>
                <w:szCs w:val="20"/>
                <w:color w:val="auto"/>
              </w:rPr>
            </w:pPr>
            <w:r>
              <w:rPr>
                <w:rFonts w:ascii="Arial" w:cs="Arial" w:eastAsia="Arial" w:hAnsi="Arial"/>
                <w:sz w:val="17"/>
                <w:szCs w:val="17"/>
                <w:color w:val="auto"/>
              </w:rPr>
              <w:t>10.6</w:t>
            </w:r>
          </w:p>
        </w:tc>
      </w:tr>
    </w:tbl>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9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discount rate</w:t>
            </w: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398"/>
        </w:trPr>
        <w:tc>
          <w:tcPr>
            <w:tcW w:w="9840" w:type="dxa"/>
            <w:vAlign w:val="bottom"/>
          </w:tcPr>
          <w:p>
            <w:pPr>
              <w:ind w:left="600"/>
              <w:spacing w:after="0"/>
              <w:rPr>
                <w:sz w:val="20"/>
                <w:szCs w:val="20"/>
                <w:color w:val="auto"/>
              </w:rPr>
            </w:pPr>
            <w:r>
              <w:rPr>
                <w:rFonts w:ascii="Arial" w:cs="Arial" w:eastAsia="Arial" w:hAnsi="Arial"/>
                <w:sz w:val="17"/>
                <w:szCs w:val="17"/>
                <w:color w:val="auto"/>
                <w:w w:val="92"/>
              </w:rPr>
              <w:t>Supplemental cash flow information related to leases was as follows for the twelve months ended December 31, 2019 (in thousands):</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24"/>
        </w:trPr>
        <w:tc>
          <w:tcPr>
            <w:tcW w:w="9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29"/>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24"/>
        </w:trPr>
        <w:tc>
          <w:tcPr>
            <w:tcW w:w="9840" w:type="dxa"/>
            <w:vAlign w:val="bottom"/>
          </w:tcPr>
          <w:p>
            <w:pPr>
              <w:ind w:left="340"/>
              <w:spacing w:after="0"/>
              <w:rPr>
                <w:sz w:val="20"/>
                <w:szCs w:val="20"/>
                <w:color w:val="auto"/>
              </w:rPr>
            </w:pPr>
            <w:r>
              <w:rPr>
                <w:rFonts w:ascii="Arial" w:cs="Arial" w:eastAsia="Arial" w:hAnsi="Arial"/>
                <w:sz w:val="17"/>
                <w:szCs w:val="17"/>
                <w:color w:val="auto"/>
              </w:rPr>
              <w:t>Operating cash flows from operating leases</w:t>
            </w:r>
          </w:p>
        </w:tc>
        <w:tc>
          <w:tcPr>
            <w:tcW w:w="540" w:type="dxa"/>
            <w:vAlign w:val="bottom"/>
          </w:tcPr>
          <w:p>
            <w:pPr>
              <w:jc w:val="right"/>
              <w:ind w:right="35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5,007</w:t>
            </w:r>
          </w:p>
        </w:tc>
      </w:tr>
      <w:tr>
        <w:trPr>
          <w:trHeight w:val="25"/>
        </w:trPr>
        <w:tc>
          <w:tcPr>
            <w:tcW w:w="9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lease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24"/>
        </w:trPr>
        <w:tc>
          <w:tcPr>
            <w:tcW w:w="9840" w:type="dxa"/>
            <w:vAlign w:val="bottom"/>
          </w:tcPr>
          <w:p>
            <w:pPr>
              <w:ind w:left="340"/>
              <w:spacing w:after="0"/>
              <w:rPr>
                <w:sz w:val="20"/>
                <w:szCs w:val="20"/>
                <w:color w:val="auto"/>
              </w:rPr>
            </w:pPr>
            <w:r>
              <w:rPr>
                <w:rFonts w:ascii="Arial" w:cs="Arial" w:eastAsia="Arial" w:hAnsi="Arial"/>
                <w:sz w:val="17"/>
                <w:szCs w:val="17"/>
                <w:color w:val="auto"/>
              </w:rPr>
              <w:t>Operating leases</w:t>
            </w:r>
          </w:p>
        </w:tc>
        <w:tc>
          <w:tcPr>
            <w:tcW w:w="540" w:type="dxa"/>
            <w:vAlign w:val="bottom"/>
          </w:tcPr>
          <w:p>
            <w:pPr>
              <w:jc w:val="right"/>
              <w:ind w:right="35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14,986</w:t>
            </w:r>
          </w:p>
        </w:tc>
      </w:tr>
      <w:tr>
        <w:trPr>
          <w:trHeight w:val="622"/>
        </w:trPr>
        <w:tc>
          <w:tcPr>
            <w:tcW w:w="9840" w:type="dxa"/>
            <w:vAlign w:val="bottom"/>
          </w:tcPr>
          <w:p>
            <w:pPr>
              <w:ind w:left="600"/>
              <w:spacing w:after="0"/>
              <w:rPr>
                <w:sz w:val="20"/>
                <w:szCs w:val="20"/>
                <w:color w:val="auto"/>
              </w:rPr>
            </w:pPr>
            <w:r>
              <w:rPr>
                <w:rFonts w:ascii="Arial" w:cs="Arial" w:eastAsia="Arial" w:hAnsi="Arial"/>
                <w:sz w:val="17"/>
                <w:szCs w:val="17"/>
                <w:color w:val="auto"/>
              </w:rPr>
              <w:t>Future minimum lease payments under non-cancellable leases as of December 31, 2019 were as follows (in thousands):</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24"/>
        </w:trPr>
        <w:tc>
          <w:tcPr>
            <w:tcW w:w="9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29"/>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Years ending December 31,</w:t>
            </w: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49"/>
        </w:trPr>
        <w:tc>
          <w:tcPr>
            <w:tcW w:w="9840" w:type="dxa"/>
            <w:vAlign w:val="bottom"/>
          </w:tcPr>
          <w:p>
            <w:pPr>
              <w:ind w:left="20"/>
              <w:spacing w:after="0" w:line="248" w:lineRule="exact"/>
              <w:rPr>
                <w:sz w:val="20"/>
                <w:szCs w:val="20"/>
                <w:color w:val="auto"/>
              </w:rPr>
            </w:pPr>
            <w:r>
              <w:rPr>
                <w:rFonts w:ascii="Arial" w:cs="Arial" w:eastAsia="Arial" w:hAnsi="Arial"/>
                <w:sz w:val="17"/>
                <w:szCs w:val="17"/>
                <w:color w:val="auto"/>
              </w:rPr>
              <w:t>2020</w:t>
            </w:r>
            <w:r>
              <w:rPr>
                <w:rFonts w:ascii="Arial" w:cs="Arial" w:eastAsia="Arial" w:hAnsi="Arial"/>
                <w:sz w:val="23"/>
                <w:szCs w:val="23"/>
                <w:color w:val="auto"/>
                <w:vertAlign w:val="superscript"/>
              </w:rPr>
              <w:t>(1)</w:t>
            </w:r>
          </w:p>
        </w:tc>
        <w:tc>
          <w:tcPr>
            <w:tcW w:w="540" w:type="dxa"/>
            <w:vAlign w:val="bottom"/>
          </w:tcPr>
          <w:p>
            <w:pPr>
              <w:jc w:val="right"/>
              <w:ind w:right="35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472</w:t>
            </w:r>
          </w:p>
        </w:tc>
      </w:tr>
      <w:tr>
        <w:trPr>
          <w:trHeight w:val="249"/>
        </w:trPr>
        <w:tc>
          <w:tcPr>
            <w:tcW w:w="9840" w:type="dxa"/>
            <w:vAlign w:val="bottom"/>
            <w:shd w:val="clear" w:color="auto" w:fill="CCEEFF"/>
          </w:tcPr>
          <w:p>
            <w:pPr>
              <w:ind w:left="20"/>
              <w:spacing w:after="0" w:line="248" w:lineRule="exact"/>
              <w:rPr>
                <w:sz w:val="20"/>
                <w:szCs w:val="20"/>
                <w:color w:val="auto"/>
              </w:rPr>
            </w:pPr>
            <w:r>
              <w:rPr>
                <w:rFonts w:ascii="Arial" w:cs="Arial" w:eastAsia="Arial" w:hAnsi="Arial"/>
                <w:sz w:val="17"/>
                <w:szCs w:val="17"/>
                <w:color w:val="auto"/>
              </w:rPr>
              <w:t>2021</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2,383</w:t>
            </w:r>
          </w:p>
        </w:tc>
      </w:tr>
      <w:tr>
        <w:trPr>
          <w:trHeight w:val="224"/>
        </w:trPr>
        <w:tc>
          <w:tcPr>
            <w:tcW w:w="9840" w:type="dxa"/>
            <w:vAlign w:val="bottom"/>
          </w:tcPr>
          <w:p>
            <w:pPr>
              <w:ind w:left="20"/>
              <w:spacing w:after="0"/>
              <w:rPr>
                <w:sz w:val="20"/>
                <w:szCs w:val="20"/>
                <w:color w:val="auto"/>
              </w:rPr>
            </w:pPr>
            <w:r>
              <w:rPr>
                <w:rFonts w:ascii="Arial" w:cs="Arial" w:eastAsia="Arial" w:hAnsi="Arial"/>
                <w:sz w:val="17"/>
                <w:szCs w:val="17"/>
                <w:color w:val="auto"/>
              </w:rPr>
              <w:t>2022</w:t>
            </w:r>
          </w:p>
        </w:tc>
        <w:tc>
          <w:tcPr>
            <w:tcW w:w="540" w:type="dxa"/>
            <w:vAlign w:val="bottom"/>
          </w:tcPr>
          <w:p>
            <w:pPr>
              <w:spacing w:after="0"/>
              <w:rPr>
                <w:sz w:val="19"/>
                <w:szCs w:val="19"/>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4,085</w:t>
            </w:r>
          </w:p>
        </w:tc>
      </w:tr>
      <w:tr>
        <w:trPr>
          <w:trHeight w:val="25"/>
        </w:trPr>
        <w:tc>
          <w:tcPr>
            <w:tcW w:w="9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3,977</w:t>
            </w:r>
          </w:p>
        </w:tc>
      </w:tr>
      <w:tr>
        <w:trPr>
          <w:trHeight w:val="224"/>
        </w:trPr>
        <w:tc>
          <w:tcPr>
            <w:tcW w:w="9840" w:type="dxa"/>
            <w:vAlign w:val="bottom"/>
          </w:tcPr>
          <w:p>
            <w:pPr>
              <w:ind w:left="20"/>
              <w:spacing w:after="0"/>
              <w:rPr>
                <w:sz w:val="20"/>
                <w:szCs w:val="20"/>
                <w:color w:val="auto"/>
              </w:rPr>
            </w:pPr>
            <w:r>
              <w:rPr>
                <w:rFonts w:ascii="Arial" w:cs="Arial" w:eastAsia="Arial" w:hAnsi="Arial"/>
                <w:sz w:val="17"/>
                <w:szCs w:val="17"/>
                <w:color w:val="auto"/>
              </w:rPr>
              <w:t>2024</w:t>
            </w:r>
          </w:p>
        </w:tc>
        <w:tc>
          <w:tcPr>
            <w:tcW w:w="540" w:type="dxa"/>
            <w:vAlign w:val="bottom"/>
          </w:tcPr>
          <w:p>
            <w:pPr>
              <w:spacing w:after="0"/>
              <w:rPr>
                <w:sz w:val="19"/>
                <w:szCs w:val="19"/>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3,908</w:t>
            </w:r>
          </w:p>
        </w:tc>
      </w:tr>
      <w:tr>
        <w:trPr>
          <w:trHeight w:val="25"/>
        </w:trPr>
        <w:tc>
          <w:tcPr>
            <w:tcW w:w="9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9"/>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29,590</w:t>
            </w:r>
          </w:p>
        </w:tc>
      </w:tr>
      <w:tr>
        <w:trPr>
          <w:trHeight w:val="217"/>
        </w:trPr>
        <w:tc>
          <w:tcPr>
            <w:tcW w:w="9840" w:type="dxa"/>
            <w:vAlign w:val="bottom"/>
          </w:tcPr>
          <w:p>
            <w:pPr>
              <w:ind w:left="240"/>
              <w:spacing w:after="0"/>
              <w:rPr>
                <w:sz w:val="20"/>
                <w:szCs w:val="20"/>
                <w:color w:val="auto"/>
              </w:rPr>
            </w:pPr>
            <w:r>
              <w:rPr>
                <w:rFonts w:ascii="Arial" w:cs="Arial" w:eastAsia="Arial" w:hAnsi="Arial"/>
                <w:sz w:val="17"/>
                <w:szCs w:val="17"/>
                <w:color w:val="auto"/>
              </w:rPr>
              <w:t>Total future minimum lease payments</w:t>
            </w: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44,415</w:t>
            </w:r>
          </w:p>
        </w:tc>
      </w:tr>
      <w:tr>
        <w:trPr>
          <w:trHeight w:val="25"/>
        </w:trPr>
        <w:tc>
          <w:tcPr>
            <w:tcW w:w="9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9"/>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(12,185)</w:t>
            </w:r>
          </w:p>
        </w:tc>
      </w:tr>
      <w:tr>
        <w:trPr>
          <w:trHeight w:val="241"/>
        </w:trPr>
        <w:tc>
          <w:tcPr>
            <w:tcW w:w="9840" w:type="dxa"/>
            <w:vAlign w:val="bottom"/>
          </w:tcPr>
          <w:p>
            <w:pPr>
              <w:ind w:left="240"/>
              <w:spacing w:after="0" w:line="241" w:lineRule="exact"/>
              <w:rPr>
                <w:sz w:val="20"/>
                <w:szCs w:val="20"/>
                <w:color w:val="auto"/>
              </w:rPr>
            </w:pPr>
            <w:r>
              <w:rPr>
                <w:rFonts w:ascii="Arial" w:cs="Arial" w:eastAsia="Arial" w:hAnsi="Arial"/>
                <w:sz w:val="17"/>
                <w:szCs w:val="17"/>
                <w:color w:val="auto"/>
              </w:rPr>
              <w:t>Total</w:t>
            </w:r>
            <w:r>
              <w:rPr>
                <w:rFonts w:ascii="Arial" w:cs="Arial" w:eastAsia="Arial" w:hAnsi="Arial"/>
                <w:sz w:val="23"/>
                <w:szCs w:val="23"/>
                <w:color w:val="auto"/>
                <w:vertAlign w:val="superscript"/>
              </w:rPr>
              <w:t>(2)</w:t>
            </w:r>
          </w:p>
        </w:tc>
        <w:tc>
          <w:tcPr>
            <w:tcW w:w="5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32,230</w:t>
            </w:r>
          </w:p>
        </w:tc>
      </w:tr>
      <w:tr>
        <w:trPr>
          <w:trHeight w:val="20"/>
        </w:trPr>
        <w:tc>
          <w:tcPr>
            <w:tcW w:w="9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firstLine="596"/>
        <w:spacing w:after="0" w:line="252" w:lineRule="auto"/>
        <w:tabs>
          <w:tab w:leader="none" w:pos="761"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Future minimum lease payments for the years ending December 31, 2020 and 2021 are presented net of tenant improvement allowances of $5.5 million and $2.3 million, respectively.</w:t>
      </w:r>
    </w:p>
    <w:p>
      <w:pPr>
        <w:ind w:firstLine="597"/>
        <w:spacing w:after="0" w:line="230" w:lineRule="auto"/>
        <w:rPr>
          <w:rFonts w:ascii="Arial" w:cs="Arial" w:eastAsia="Arial" w:hAnsi="Arial"/>
          <w:sz w:val="20"/>
          <w:szCs w:val="20"/>
          <w:color w:val="auto"/>
          <w:vertAlign w:val="superscript"/>
        </w:rPr>
      </w:pPr>
      <w:r>
        <w:rPr>
          <w:rFonts w:ascii="Arial" w:cs="Arial" w:eastAsia="Arial" w:hAnsi="Arial"/>
          <w:sz w:val="21"/>
          <w:szCs w:val="21"/>
          <w:color w:val="auto"/>
          <w:vertAlign w:val="superscript"/>
        </w:rPr>
        <w:t>(2)</w:t>
      </w:r>
      <w:r>
        <w:rPr>
          <w:rFonts w:ascii="Arial" w:cs="Arial" w:eastAsia="Arial" w:hAnsi="Arial"/>
          <w:sz w:val="15"/>
          <w:szCs w:val="15"/>
          <w:color w:val="auto"/>
        </w:rPr>
        <w:t>Total future minimum lease payments include the current portion of lease liabilities recorded in prepaid expenses and other current assets of $3.9 million which relates to certain of the Company's leases for which the lease incentives to be received exceed the minimum lease payments to be paid over the next twelve months.</w:t>
      </w:r>
    </w:p>
    <w:p>
      <w:pPr>
        <w:sectPr>
          <w:pgSz w:w="11900" w:h="16838" w:orient="portrait"/>
          <w:cols w:equalWidth="0" w:num="1">
            <w:col w:w="11420"/>
          </w:cols>
          <w:pgMar w:left="240" w:top="774" w:right="239" w:bottom="0" w:gutter="0" w:footer="0" w:header="0"/>
        </w:sectPr>
      </w:pPr>
    </w:p>
    <w:bookmarkStart w:id="81" w:name="page82"/>
    <w:bookmarkEnd w:id="81"/>
    <w:p>
      <w:pPr>
        <w:ind w:left="400"/>
        <w:spacing w:after="0"/>
        <w:rPr>
          <w:sz w:val="20"/>
          <w:szCs w:val="20"/>
          <w:color w:val="auto"/>
        </w:rPr>
      </w:pPr>
      <w:r>
        <w:rPr>
          <w:rFonts w:ascii="Arial" w:cs="Arial" w:eastAsia="Arial" w:hAnsi="Arial"/>
          <w:sz w:val="15"/>
          <w:szCs w:val="15"/>
          <w:color w:val="auto"/>
        </w:rPr>
        <w:t>A summary of our future minimum payments for obligations under non-cancellable operating leases as of December 31, 2018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257415" cy="158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158115"/>
                    </a:xfrm>
                    <a:prstGeom prst="rect">
                      <a:avLst/>
                    </a:prstGeom>
                    <a:noFill/>
                  </pic:spPr>
                </pic:pic>
              </a:graphicData>
            </a:graphic>
          </wp:anchor>
        </w:drawing>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Years Ending December 31,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40" w:type="dxa"/>
            <w:vAlign w:val="bottom"/>
          </w:tcPr>
          <w:p>
            <w:pPr>
              <w:ind w:left="20"/>
              <w:spacing w:after="0"/>
              <w:rPr>
                <w:sz w:val="20"/>
                <w:szCs w:val="20"/>
                <w:color w:val="auto"/>
              </w:rPr>
            </w:pPr>
            <w:r>
              <w:rPr>
                <w:rFonts w:ascii="Arial" w:cs="Arial" w:eastAsia="Arial" w:hAnsi="Arial"/>
                <w:sz w:val="17"/>
                <w:szCs w:val="17"/>
                <w:color w:val="auto"/>
              </w:rPr>
              <w:t>2019</w:t>
            </w:r>
          </w:p>
        </w:tc>
        <w:tc>
          <w:tcPr>
            <w:tcW w:w="560" w:type="dxa"/>
            <w:vAlign w:val="bottom"/>
          </w:tcPr>
          <w:p>
            <w:pPr>
              <w:jc w:val="right"/>
              <w:ind w:right="37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4,211</w:t>
            </w:r>
          </w:p>
        </w:tc>
      </w:tr>
      <w:tr>
        <w:trPr>
          <w:trHeight w:val="25"/>
        </w:trPr>
        <w:tc>
          <w:tcPr>
            <w:tcW w:w="9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5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4,889</w:t>
            </w:r>
          </w:p>
        </w:tc>
      </w:tr>
      <w:tr>
        <w:trPr>
          <w:trHeight w:val="224"/>
        </w:trPr>
        <w:tc>
          <w:tcPr>
            <w:tcW w:w="9840" w:type="dxa"/>
            <w:vAlign w:val="bottom"/>
          </w:tcPr>
          <w:p>
            <w:pPr>
              <w:ind w:left="20"/>
              <w:spacing w:after="0"/>
              <w:rPr>
                <w:sz w:val="20"/>
                <w:szCs w:val="20"/>
                <w:color w:val="auto"/>
              </w:rPr>
            </w:pPr>
            <w:r>
              <w:rPr>
                <w:rFonts w:ascii="Arial" w:cs="Arial" w:eastAsia="Arial" w:hAnsi="Arial"/>
                <w:sz w:val="17"/>
                <w:szCs w:val="17"/>
                <w:color w:val="auto"/>
              </w:rPr>
              <w:t>2021</w:t>
            </w:r>
          </w:p>
        </w:tc>
        <w:tc>
          <w:tcPr>
            <w:tcW w:w="56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4,038</w:t>
            </w:r>
          </w:p>
        </w:tc>
      </w:tr>
      <w:tr>
        <w:trPr>
          <w:trHeight w:val="25"/>
        </w:trPr>
        <w:tc>
          <w:tcPr>
            <w:tcW w:w="9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5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2,717</w:t>
            </w:r>
          </w:p>
        </w:tc>
      </w:tr>
      <w:tr>
        <w:trPr>
          <w:trHeight w:val="224"/>
        </w:trPr>
        <w:tc>
          <w:tcPr>
            <w:tcW w:w="9840" w:type="dxa"/>
            <w:vAlign w:val="bottom"/>
          </w:tcPr>
          <w:p>
            <w:pPr>
              <w:ind w:left="20"/>
              <w:spacing w:after="0"/>
              <w:rPr>
                <w:sz w:val="20"/>
                <w:szCs w:val="20"/>
                <w:color w:val="auto"/>
              </w:rPr>
            </w:pPr>
            <w:r>
              <w:rPr>
                <w:rFonts w:ascii="Arial" w:cs="Arial" w:eastAsia="Arial" w:hAnsi="Arial"/>
                <w:sz w:val="17"/>
                <w:szCs w:val="17"/>
                <w:color w:val="auto"/>
              </w:rPr>
              <w:t>2023</w:t>
            </w:r>
          </w:p>
        </w:tc>
        <w:tc>
          <w:tcPr>
            <w:tcW w:w="56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2,053</w:t>
            </w:r>
          </w:p>
        </w:tc>
      </w:tr>
      <w:tr>
        <w:trPr>
          <w:trHeight w:val="25"/>
        </w:trPr>
        <w:tc>
          <w:tcPr>
            <w:tcW w:w="9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9"/>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9,128</w:t>
            </w:r>
          </w:p>
        </w:tc>
      </w:tr>
      <w:tr>
        <w:trPr>
          <w:trHeight w:val="235"/>
        </w:trPr>
        <w:tc>
          <w:tcPr>
            <w:tcW w:w="9840" w:type="dxa"/>
            <w:vAlign w:val="bottom"/>
          </w:tcPr>
          <w:p>
            <w:pPr>
              <w:ind w:left="20"/>
              <w:spacing w:after="0"/>
              <w:rPr>
                <w:sz w:val="20"/>
                <w:szCs w:val="20"/>
                <w:color w:val="auto"/>
              </w:rPr>
            </w:pPr>
            <w:r>
              <w:rPr>
                <w:rFonts w:ascii="Arial" w:cs="Arial" w:eastAsia="Arial" w:hAnsi="Arial"/>
                <w:sz w:val="17"/>
                <w:szCs w:val="17"/>
                <w:color w:val="auto"/>
              </w:rPr>
              <w:t>Total lease commitments</w:t>
            </w:r>
          </w:p>
        </w:tc>
        <w:tc>
          <w:tcPr>
            <w:tcW w:w="56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27,036</w:t>
            </w:r>
          </w:p>
        </w:tc>
      </w:tr>
      <w:tr>
        <w:trPr>
          <w:trHeight w:val="20"/>
        </w:trPr>
        <w:tc>
          <w:tcPr>
            <w:tcW w:w="9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recorded rent expense of $2.6 million and $2.1 million for the years ended December 31, 2018 and 2017, respectively.</w:t>
      </w:r>
    </w:p>
    <w:p>
      <w:pPr>
        <w:spacing w:after="0" w:line="165"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On April 1, 2019, we signed a new lease with Rose Studios, LLC to lease approximately 5,000 square feet of office space located in Venice, California. The lease is for a five-year term commencing August 1, 2019 ending on July 31, 2024. The total commitment under this lease is$2.0 million for which the remaining amount due at December 31, 2019 is included in the maturities table above.</w:t>
      </w:r>
    </w:p>
    <w:p>
      <w:pPr>
        <w:spacing w:after="0" w:line="175"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On December 6, 2019, we signed three new leases for certain premises located in the Castilian Technical Center at 50, 70, and 90 Castilian Drive in Santa Barbara, California. The leases replaced the Company's prior lease agreements with the previous landlord with respect to the premises. The leases commenced December 6, 2019 and are for a twelve-year term ending on February 29, 2032, with two consecutive five-year renewal periods, each at the Company's option. The total commitment under these lease agreements is $36.5 million for which the remaining amount due at December 31, 2019 is included in the maturities table above.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227"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9620" w:type="dxa"/>
            <w:vAlign w:val="bottom"/>
            <w:gridSpan w:val="3"/>
          </w:tcPr>
          <w:p>
            <w:pPr>
              <w:spacing w:after="0"/>
              <w:rPr>
                <w:sz w:val="20"/>
                <w:szCs w:val="20"/>
                <w:color w:val="auto"/>
              </w:rPr>
            </w:pPr>
            <w:r>
              <w:rPr>
                <w:rFonts w:ascii="Arial" w:cs="Arial" w:eastAsia="Arial" w:hAnsi="Arial"/>
                <w:sz w:val="17"/>
                <w:szCs w:val="17"/>
                <w:b w:val="1"/>
                <w:bCs w:val="1"/>
                <w:color w:val="auto"/>
              </w:rPr>
              <w:t>9. Long-term Debt</w:t>
            </w: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9600" w:type="dxa"/>
            <w:vAlign w:val="bottom"/>
            <w:gridSpan w:val="2"/>
          </w:tcPr>
          <w:p>
            <w:pPr>
              <w:ind w:left="580"/>
              <w:spacing w:after="0"/>
              <w:rPr>
                <w:sz w:val="20"/>
                <w:szCs w:val="20"/>
                <w:color w:val="auto"/>
              </w:rPr>
            </w:pPr>
            <w:r>
              <w:rPr>
                <w:rFonts w:ascii="Arial" w:cs="Arial" w:eastAsia="Arial" w:hAnsi="Arial"/>
                <w:sz w:val="17"/>
                <w:szCs w:val="17"/>
                <w:color w:val="auto"/>
              </w:rPr>
              <w:t>The following is a summary of our long-term debt at December 31, 2019 (in thousands):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9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Principal amounts due under term loan</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48,750</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7"/>
                <w:szCs w:val="17"/>
                <w:color w:val="auto"/>
              </w:rPr>
              <w:t>Less: Debt financing costs</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9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Long-term debt, net of unamortized debt financing costs</w:t>
            </w:r>
          </w:p>
        </w:tc>
        <w:tc>
          <w:tcPr>
            <w:tcW w:w="6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48,583</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7"/>
                <w:szCs w:val="17"/>
                <w:color w:val="auto"/>
              </w:rPr>
              <w:t>Less: Current portion of long-term debt</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9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0" w:type="dxa"/>
            <w:vAlign w:val="bottom"/>
            <w:tcBorders>
              <w:bottom w:val="single" w:sz="8" w:color="CCEEFF"/>
            </w:tcBorders>
            <w:shd w:val="clear" w:color="auto" w:fill="CCEEFF"/>
          </w:tcPr>
          <w:p>
            <w:pPr>
              <w:spacing w:after="0"/>
              <w:rPr>
                <w:sz w:val="20"/>
                <w:szCs w:val="20"/>
                <w:color w:val="auto"/>
              </w:rPr>
            </w:pPr>
          </w:p>
        </w:tc>
        <w:tc>
          <w:tcPr>
            <w:tcW w:w="9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long-term debt, net of current portion</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47,375</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0" w:type="dxa"/>
            <w:vAlign w:val="bottom"/>
            <w:tcBorders>
              <w:top w:val="single" w:sz="8" w:color="CCEEFF"/>
              <w:bottom w:val="single" w:sz="8" w:color="CCEEFF"/>
            </w:tcBorders>
            <w:gridSpan w:val="2"/>
            <w:vMerge w:val="restart"/>
          </w:tcPr>
          <w:p>
            <w:pPr>
              <w:ind w:left="580"/>
              <w:spacing w:after="0"/>
              <w:rPr>
                <w:sz w:val="20"/>
                <w:szCs w:val="20"/>
                <w:color w:val="auto"/>
              </w:rPr>
            </w:pPr>
            <w:r>
              <w:rPr>
                <w:rFonts w:ascii="Arial" w:cs="Arial" w:eastAsia="Arial" w:hAnsi="Arial"/>
                <w:sz w:val="17"/>
                <w:szCs w:val="17"/>
                <w:color w:val="auto"/>
              </w:rPr>
              <w:t>Scheduled principal payments for the Term Loan at December 31, 2019 are as follows (in thousands):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20" w:type="dxa"/>
            <w:vAlign w:val="bottom"/>
          </w:tcPr>
          <w:p>
            <w:pPr>
              <w:spacing w:after="0"/>
              <w:rPr>
                <w:sz w:val="24"/>
                <w:szCs w:val="24"/>
                <w:color w:val="auto"/>
              </w:rPr>
            </w:pPr>
          </w:p>
        </w:tc>
        <w:tc>
          <w:tcPr>
            <w:tcW w:w="96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9600" w:type="dxa"/>
            <w:vAlign w:val="bottom"/>
            <w:gridSpan w:val="2"/>
          </w:tcPr>
          <w:p>
            <w:pPr>
              <w:ind w:left="20"/>
              <w:spacing w:after="0"/>
              <w:rPr>
                <w:sz w:val="20"/>
                <w:szCs w:val="20"/>
                <w:color w:val="auto"/>
              </w:rPr>
            </w:pPr>
            <w:r>
              <w:rPr>
                <w:rFonts w:ascii="Arial" w:cs="Arial" w:eastAsia="Arial" w:hAnsi="Arial"/>
                <w:sz w:val="17"/>
                <w:szCs w:val="17"/>
                <w:color w:val="auto"/>
              </w:rPr>
              <w:t>Years Ending December 31,</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9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580" w:type="dxa"/>
            <w:vAlign w:val="bottom"/>
            <w:gridSpan w:val="2"/>
          </w:tcPr>
          <w:p>
            <w:pPr>
              <w:ind w:left="40"/>
              <w:spacing w:after="0"/>
              <w:rPr>
                <w:sz w:val="20"/>
                <w:szCs w:val="20"/>
                <w:color w:val="auto"/>
              </w:rPr>
            </w:pPr>
            <w:r>
              <w:rPr>
                <w:rFonts w:ascii="Arial" w:cs="Arial" w:eastAsia="Arial" w:hAnsi="Arial"/>
                <w:sz w:val="17"/>
                <w:szCs w:val="17"/>
                <w:color w:val="auto"/>
              </w:rPr>
              <w:t>2021</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9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580" w:type="dxa"/>
            <w:vAlign w:val="bottom"/>
            <w:gridSpan w:val="2"/>
          </w:tcPr>
          <w:p>
            <w:pPr>
              <w:ind w:left="40"/>
              <w:spacing w:after="0"/>
              <w:rPr>
                <w:sz w:val="20"/>
                <w:szCs w:val="20"/>
                <w:color w:val="auto"/>
              </w:rPr>
            </w:pPr>
            <w:r>
              <w:rPr>
                <w:rFonts w:ascii="Arial" w:cs="Arial" w:eastAsia="Arial" w:hAnsi="Arial"/>
                <w:sz w:val="17"/>
                <w:szCs w:val="17"/>
                <w:color w:val="auto"/>
              </w:rPr>
              <w:t>2023</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42,500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5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0"/>
                <w:szCs w:val="20"/>
                <w:color w:val="auto"/>
              </w:rPr>
            </w:pPr>
          </w:p>
        </w:tc>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principal payments</w:t>
            </w:r>
          </w:p>
        </w:tc>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48,750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Credit Agreement</w:t>
      </w:r>
    </w:p>
    <w:p>
      <w:pPr>
        <w:spacing w:after="0" w:line="202" w:lineRule="exact"/>
        <w:rPr>
          <w:sz w:val="20"/>
          <w:szCs w:val="20"/>
          <w:color w:val="auto"/>
        </w:rPr>
      </w:pPr>
    </w:p>
    <w:p>
      <w:pPr>
        <w:jc w:val="both"/>
        <w:ind w:firstLine="597"/>
        <w:spacing w:after="0" w:line="248" w:lineRule="auto"/>
        <w:rPr>
          <w:sz w:val="20"/>
          <w:szCs w:val="20"/>
          <w:color w:val="auto"/>
        </w:rPr>
      </w:pPr>
      <w:r>
        <w:rPr>
          <w:rFonts w:ascii="Arial" w:cs="Arial" w:eastAsia="Arial" w:hAnsi="Arial"/>
          <w:sz w:val="17"/>
          <w:szCs w:val="17"/>
          <w:color w:val="auto"/>
        </w:rPr>
        <w:t>On December 24, 2018, we amended our credit agreement (Amendment Number Two to the Credit Agreement, or the "Second Amendment") with Wells Fargo, as administrative agent, and the lenders that are parties thereto (as amended, the "Credit Agreement"). Under the terms of the Second Amendment, the lenders have made available to us a $50.0 million term loan (the "Term Loan") and have increased the existing $25.0 million Revolving Facility to $50.0 million. The maturity date of the Term Loan and Revolving Facility is December 24, 2023. In addition, we are now permitted to make certain restricted junior payments, including without limitation stock repurchases and enter into acquisitions in which we are the purchaser ("Acquisitions"), with no dollar cap on such Acquisitions, so long as we maintain certain specified liquidity requirements and leverage ratios.</w:t>
      </w:r>
    </w:p>
    <w:p>
      <w:pPr>
        <w:spacing w:after="0" w:line="144"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6"/>
          <w:szCs w:val="16"/>
          <w:color w:val="auto"/>
        </w:rPr>
        <w:t>The Second Amendment also modifies certain financial covenants by, among other things, requiring us to maintain (i) an EBITDA to interest expense ratio of not less than 3.0 to 1.0, and (ii) a funded indebtedness to EBITDA ratio of not more than 3.5:1.0 (the "Required Leverage Ratio") (decreasing by 0.25 per year until the Required Leverage Ratio is 2.5 to 1.0); provided, however, that we are not required to maintain the foregoing ratios if our liquidity (sum of remaining borrowing capacity and available cash) has equaled or exceeded the greater of $20.0 million and 20% of the sum of the outstanding principal amount of the Term Loan and commitments under the Revolving Facility. If we enter into an Acquisition with a purchase price greater than or equal to $20.0 million, then the Required Leverage Ratio will be increased by 0.5 for the 12-month period immediately following the consummation of such Acquisition.</w:t>
      </w:r>
    </w:p>
    <w:p>
      <w:pPr>
        <w:spacing w:after="0" w:line="132"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The Credit Agreement contains customary affirmative, negative and financial covenants. The affirmative covenants require us to, among other things, disclose financial and other information to the lenders, maintain our business and properties, and maintain adequate insurance. The negative covenants restrict us from, among other things, incurring additional indebtedness, prepaying certain types of indebtedness, encumbering or disposing of our assets, making fundamental changes to our corporate structure, and making certain dividends and distributions. At December 31, 2019, we were in compliance with the financial covenants under the Credit Agreement.</w:t>
      </w:r>
    </w:p>
    <w:p>
      <w:pPr>
        <w:spacing w:after="0" w:line="110"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Under the terms of the Second Amendment, borrowings under the Credit Agreement will bear interest at a fluctuating rate per annum equal to, at our option, (i) the adjusted London Interbank Offered Rate ("LIBOR") or (ii) an alternate base rate, in each case plus the applicable interest rate margin. Borrowings will fluctuate between adjusted LIBOR plus 1.5% per annum and adjusted LIBOR plus 2.0% per annum (or between the alternate base rate plus 0.5% per annum and the alternate base rate plus 1.0% per annum), based upon our leverage ratio. The average interest rate during the twelve months ended December 31, 2019 was 3.9%.</w:t>
      </w:r>
    </w:p>
    <w:p>
      <w:pPr>
        <w:spacing w:after="0" w:line="110"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6"/>
          <w:szCs w:val="16"/>
          <w:color w:val="auto"/>
        </w:rPr>
        <w:t>Fees payable on the unused portion of the Revolving Facility will be 25 basis points per annum, unless the average usage of the Revolving Facility is equal to or less than $30.0 million for the applicable period, in which case the fees on the unused portion of the Revolving Facility will be 0.375% per annum.</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 December 31, 2019 and 2018, there was no outstanding balance under the Revolving Facility.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869" w:right="239" w:bottom="1440" w:gutter="0" w:footer="0" w:header="0"/>
        </w:sectPr>
      </w:pPr>
    </w:p>
    <w:bookmarkStart w:id="83" w:name="page84"/>
    <w:bookmarkEnd w:id="83"/>
    <w:p>
      <w:pPr>
        <w:ind w:left="600"/>
        <w:spacing w:after="0"/>
        <w:rPr>
          <w:sz w:val="20"/>
          <w:szCs w:val="20"/>
          <w:color w:val="auto"/>
        </w:rPr>
      </w:pPr>
      <w:r>
        <w:rPr>
          <w:rFonts w:ascii="Arial" w:cs="Arial" w:eastAsia="Arial" w:hAnsi="Arial"/>
          <w:sz w:val="17"/>
          <w:szCs w:val="17"/>
          <w:b w:val="1"/>
          <w:bCs w:val="1"/>
          <w:i w:val="1"/>
          <w:iCs w:val="1"/>
          <w:color w:val="auto"/>
        </w:rPr>
        <w:t>Debt Financing Costs</w:t>
      </w:r>
    </w:p>
    <w:p>
      <w:pPr>
        <w:spacing w:after="0" w:line="165"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As a result of the Second Amendment, we incurred $0.4 million in financing fees that were capitalized and will be amortized over the remaining life of the related debt, $0.2 million of which was related to the Term Loan and $0.2 million of which was related to the Revolving Facility. Pursuant to GAAP, the Second Amendment is accounted for as a debt modification. As a result, the unamortized deferred debt financing costs related to the Revolving Facility prior to the Second Amendment were added to the $0.2 million of deferred debt financing costs related to the Second Amendment and will be amortized over the remaining life of the Revolving Facility.</w:t>
      </w:r>
    </w:p>
    <w:p>
      <w:pPr>
        <w:spacing w:after="0" w:line="110" w:lineRule="exact"/>
        <w:rPr>
          <w:sz w:val="20"/>
          <w:szCs w:val="20"/>
          <w:color w:val="auto"/>
        </w:rPr>
      </w:pPr>
    </w:p>
    <w:p>
      <w:pPr>
        <w:jc w:val="both"/>
        <w:ind w:firstLine="597"/>
        <w:spacing w:after="0" w:line="287" w:lineRule="auto"/>
        <w:rPr>
          <w:sz w:val="20"/>
          <w:szCs w:val="20"/>
          <w:color w:val="auto"/>
        </w:rPr>
      </w:pPr>
      <w:r>
        <w:rPr>
          <w:rFonts w:ascii="Arial" w:cs="Arial" w:eastAsia="Arial" w:hAnsi="Arial"/>
          <w:sz w:val="15"/>
          <w:szCs w:val="15"/>
          <w:color w:val="auto"/>
        </w:rPr>
        <w:t>Debt financing costs are deferred and amortized, using the straight-line method, which approximates the effective interest method, for costs related to the Term Loan and the straight-line method for costs related to the Revolving Facility over the term of the debt arrangement; such amortization is included in interest expense in the Consolidated Statements of Operations. Amortization of deferred debt financing costs was not material for the years ended December 31, 2019, 2018 and 2017. At December 31, 2019 and 2018, the remaining unamortized deferred debt financing costs were $0.4 million and $0.5 million, of which, at December 31, 2019 and 2018, $0.2 million was offset against debt. At December 31, 2019 and 2018, $0.3 million of the remaining unamortized deferred debt financing costs were recorded in prepaid expenses and other current assets and other assets on the Consolidated Balance Sheets, as they pertained to the Revolving Facility.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Legal Liability to Landlord Insurance</w:t>
      </w:r>
    </w:p>
    <w:p>
      <w:pPr>
        <w:spacing w:after="0" w:line="202"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We have a wholly owned subsidiary, Terra Mar Insurance Company, Inc., which was established to provide our customers with the option to purchase legal liability to landlord insurance. If our customers choose to use our insurance services, they are issued an insurance policy underwritten by our third-party service provider. The policy has a limit of $100,000 per incident for each insured residence. We have entered into a reinsurance agreement with our third-party service provider and, as a result, we assume a 100% quota share of the legal liability to landlord insurance provided to our customers through our third-party service provider. Included in cost of revenue we accrue for reported claims, and an estimate of losses incurred but not reported by our property management customers, as we bear the risk related to claims. Our liability for reported claims and incurred but not reported claims at December 31, 2019 and 2018 was $1.8 million and $0.6 million, respectively, and is included in other current liabilities on the Consolidated Balance Sheets.</w:t>
      </w:r>
    </w:p>
    <w:p>
      <w:pPr>
        <w:spacing w:after="0" w:line="70"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Included in prepaid expenses and other current assets as of December 31, 2019 and 2018 are $1.3 million and $1.8 million, respectively, of deposits held with a third party related to requirements to maintain collateral for our insurance services.</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03"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In July 2019, we received a Request for Information from the Civil Rights Division (Housing and Civil Enforcement Section) of the U.S. Department of Justice ("DOJ") requesting certain information relating to our compliance with the Servicemembers Civil Relief Act in connection with our tenant screening Value+ service. We continue to fully cooperate with the DOJ, and do not presently have sufficient information to predict the outcome of, or any potential costs or penalties associated with, the DOJ investigation.</w:t>
      </w:r>
    </w:p>
    <w:p>
      <w:pPr>
        <w:spacing w:after="0" w:line="180"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6"/>
          <w:szCs w:val="16"/>
          <w:color w:val="auto"/>
        </w:rPr>
        <w:t>In December 2018, we received a Civil Investigative Demand from the Federal Trade Commission ("FTC") requesting certain information relating to our compliance with the Fair Credit Reporting Act in connection with our tenant screening Value+ service. We continue to fully cooperate with the FTC, and do not presently have sufficient information to predict the outcome of, or any potential costs or penalties associated with, the FTC investigation.</w:t>
      </w:r>
    </w:p>
    <w:p>
      <w:pPr>
        <w:spacing w:after="0" w:line="59" w:lineRule="exact"/>
        <w:rPr>
          <w:sz w:val="20"/>
          <w:szCs w:val="20"/>
          <w:color w:val="auto"/>
        </w:rPr>
      </w:pPr>
    </w:p>
    <w:p>
      <w:pPr>
        <w:jc w:val="both"/>
        <w:ind w:firstLine="597"/>
        <w:spacing w:after="0" w:line="249" w:lineRule="auto"/>
        <w:rPr>
          <w:sz w:val="20"/>
          <w:szCs w:val="20"/>
          <w:color w:val="auto"/>
        </w:rPr>
      </w:pPr>
      <w:r>
        <w:rPr>
          <w:rFonts w:ascii="Arial" w:cs="Arial" w:eastAsia="Arial" w:hAnsi="Arial"/>
          <w:sz w:val="17"/>
          <w:szCs w:val="17"/>
          <w:color w:val="auto"/>
        </w:rPr>
        <w:t>In addition, from time to time, we are involved in various other investigatory inquiries or legal proceedings arising from or related to matters incident to the ordinary course of our business activities, including actions with respect to intellectual property, employment, regulatory and contractual issues. Although the results of such investigatory inquiries and legal proceedings cannot be predicted with certainty, we believe that we are not currently a party to any investigatory inquiries or legal proceeding(s) which, if determined adversely to us, would, individually or taken together, have a material adverse effect on our business, operating results, financial condition or cash flows.</w:t>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Indemnification</w:t>
      </w:r>
    </w:p>
    <w:p>
      <w:pPr>
        <w:spacing w:after="0" w:line="202" w:lineRule="exact"/>
        <w:rPr>
          <w:sz w:val="20"/>
          <w:szCs w:val="20"/>
          <w:color w:val="auto"/>
        </w:rPr>
      </w:pPr>
    </w:p>
    <w:p>
      <w:pPr>
        <w:jc w:val="both"/>
        <w:ind w:firstLine="597"/>
        <w:spacing w:after="0" w:line="285" w:lineRule="auto"/>
        <w:rPr>
          <w:sz w:val="20"/>
          <w:szCs w:val="20"/>
          <w:color w:val="auto"/>
        </w:rPr>
      </w:pPr>
      <w:r>
        <w:rPr>
          <w:rFonts w:ascii="Arial" w:cs="Arial" w:eastAsia="Arial" w:hAnsi="Arial"/>
          <w:sz w:val="15"/>
          <w:szCs w:val="15"/>
          <w:color w:val="auto"/>
        </w:rPr>
        <w:t>In the ordinary course of business, we may provide indemnification of varying scope and terms to customers, investors, directors and officers with respect to certain matters, including, but not limited to, losses arising out of our breach of any applicable agreements, services to be provided by us, or intellectual property infringement claims made by third parties.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never paid a material claim, nor have any legal claims been brought against us, in connection with these indemnification arrangements. At December 31, 2019 and 2018, we have not accrued a liability for these indemnification arrangements because we determined that the likelihood of incurring a payment obligation, if any, in connection with these indemnification arrangements is not probable or reasonably possible and the amount or range of amounts of any such liability is not reasonably estimable.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Stockholders’ Equity</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Amended and Restated Certificate of Incorporation</w:t>
      </w:r>
    </w:p>
    <w:p>
      <w:pPr>
        <w:spacing w:after="0" w:line="103" w:lineRule="exact"/>
        <w:rPr>
          <w:sz w:val="20"/>
          <w:szCs w:val="20"/>
          <w:color w:val="auto"/>
        </w:rPr>
      </w:pPr>
    </w:p>
    <w:p>
      <w:pPr>
        <w:jc w:val="both"/>
        <w:ind w:firstLine="633"/>
        <w:spacing w:after="0" w:line="304" w:lineRule="auto"/>
        <w:rPr>
          <w:sz w:val="20"/>
          <w:szCs w:val="20"/>
          <w:color w:val="auto"/>
        </w:rPr>
      </w:pPr>
      <w:r>
        <w:rPr>
          <w:rFonts w:ascii="Arial" w:cs="Arial" w:eastAsia="Arial" w:hAnsi="Arial"/>
          <w:sz w:val="15"/>
          <w:szCs w:val="15"/>
          <w:color w:val="auto"/>
        </w:rPr>
        <w:t>Upon the effectiveness of our Amended and Restated Certificate of Incorporation on June 25, 2015, the number of shares of capital stock that is authorized to be issued was increased to 325,000,000 shares, of which 250,000,000 shares are Class A common stock, 50,000,000 shares are Class B common stock and 25,000,000 are undesignated preferred stock. The Class A common stock, Class B common stock and preferred stock have a par value of $0.0001 per share.</w:t>
      </w:r>
    </w:p>
    <w:p>
      <w:pPr>
        <w:spacing w:after="0" w:line="41"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At December 31, 2019, there were 16,552,000 shares of Class A common stock outstanding, 17,594,000 shares of Class B common stock outstanding and no preferred shares outstanding.</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Class A Common Stock and Class B Common Stock</w:t>
      </w:r>
    </w:p>
    <w:p>
      <w:pPr>
        <w:spacing w:after="0" w:line="103"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6"/>
          <w:szCs w:val="16"/>
          <w:color w:val="auto"/>
        </w:rPr>
        <w:t>Except for voting rights, or as otherwise required by applicable law, the shares of our Class A common stock and Class B common stock have the same powers, preferences and rights and rank equally, share ratably and are identical in all respects as to all matters. The rights and preferences are as follows:</w:t>
      </w:r>
    </w:p>
    <w:p>
      <w:pPr>
        <w:spacing w:after="0" w:line="45"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Subject to preferences that may apply to any shares of preferred stock outstanding at the time, the holders of outstanding shares of our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and Class B common stock are entitled to receive dividends out of funds legally available at the times and in the amounts that our Board of Directors may determine.</w:t>
      </w:r>
    </w:p>
    <w:p>
      <w:pPr>
        <w:spacing w:after="0" w:line="138"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i w:val="1"/>
          <w:iCs w:val="1"/>
          <w:color w:val="auto"/>
        </w:rPr>
        <w:t>Voting Rights</w:t>
      </w:r>
      <w:r>
        <w:rPr>
          <w:rFonts w:ascii="Arial" w:cs="Arial" w:eastAsia="Arial" w:hAnsi="Arial"/>
          <w:sz w:val="15"/>
          <w:szCs w:val="15"/>
          <w:color w:val="auto"/>
        </w:rPr>
        <w:t>. The holders of our Class A common stock are entitled to one vote per share, and holders of our Class B common stock are entitled to 10 votes per</w:t>
      </w:r>
      <w:r>
        <w:rPr>
          <w:rFonts w:ascii="Arial" w:cs="Arial" w:eastAsia="Arial" w:hAnsi="Arial"/>
          <w:sz w:val="15"/>
          <w:szCs w:val="15"/>
          <w:i w:val="1"/>
          <w:iCs w:val="1"/>
          <w:color w:val="auto"/>
        </w:rPr>
        <w:t xml:space="preserve"> </w:t>
      </w:r>
      <w:r>
        <w:rPr>
          <w:rFonts w:ascii="Arial" w:cs="Arial" w:eastAsia="Arial" w:hAnsi="Arial"/>
          <w:sz w:val="15"/>
          <w:szCs w:val="15"/>
          <w:color w:val="auto"/>
        </w:rPr>
        <w:t>share. The holders of our Class A common stock and Class B common stock will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addition, our amended and restated certificate of incorporation requires the approval of the holders of at least a majority of the outstanding shares of our Class B common stock, voting as a separate class to approve a change-in-control transaction.</w:t>
      </w:r>
    </w:p>
    <w:p>
      <w:pPr>
        <w:sectPr>
          <w:pgSz w:w="11900" w:h="16838" w:orient="portrait"/>
          <w:cols w:equalWidth="0" w:num="1">
            <w:col w:w="11420"/>
          </w:cols>
          <w:pgMar w:left="240" w:top="575" w:right="239" w:bottom="56" w:gutter="0" w:footer="0" w:header="0"/>
        </w:sectPr>
      </w:pPr>
    </w:p>
    <w:bookmarkStart w:id="84" w:name="page85"/>
    <w:bookmarkEnd w:id="84"/>
    <w:p>
      <w:pPr>
        <w:jc w:val="both"/>
        <w:ind w:firstLine="597"/>
        <w:spacing w:after="0" w:line="247" w:lineRule="auto"/>
        <w:rPr>
          <w:sz w:val="20"/>
          <w:szCs w:val="20"/>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 Upon the closing of our initial public offering ("IPO"), all shares of our convertible preferred stock and common stock held prior to the offering were</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into shares of Class B common stock. Currently, each share of our Class B common stock is convertible at any time at the option of the holder into one share of our Class A common stock. In addition, each share of our Class B common stock will convert into one share of our Class A common stock upon any transfer, whether or not for value, except for certain transfers described in our amended and restated certificate of incorporation, including, without limitation, (i) a transfer by a partnership or limited liability company that was a registered holder of our Class B common stock at the “effective time,” as defined in our amended and restated certificate of incorporation, to a partner or member thereof at the effective time or (ii) a transfer to a “qualified recipient,” as defined in our amended and restated certificate of incorporation.</w:t>
      </w:r>
    </w:p>
    <w:p>
      <w:pPr>
        <w:spacing w:after="0" w:line="184"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All the outstanding shares of our Class B common stock will convert automatically into shares of our Class A common stock upon the date when the number of outstanding shares of our Class B common stock represents less than 10% of all outstanding shares of our Class A common stock and Class B common stock. Once converted into our Class A common stock, our Class B common stock may not be reissued.</w:t>
      </w:r>
    </w:p>
    <w:p>
      <w:pPr>
        <w:spacing w:after="0" w:line="175"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i w:val="1"/>
          <w:iCs w:val="1"/>
          <w:color w:val="auto"/>
        </w:rPr>
        <w:t>Right to Receive Liquidation Distributions</w:t>
      </w:r>
      <w:r>
        <w:rPr>
          <w:rFonts w:ascii="Arial" w:cs="Arial" w:eastAsia="Arial" w:hAnsi="Arial"/>
          <w:sz w:val="17"/>
          <w:szCs w:val="17"/>
          <w:color w:val="auto"/>
        </w:rPr>
        <w:t>. Upon our dissolution, liquidation or winding-up, the assets legally available for distribution to our stockholders are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326" w:right="239" w:bottom="1440" w:gutter="0" w:footer="0" w:header="0"/>
        </w:sectPr>
      </w:pPr>
    </w:p>
    <w:bookmarkStart w:id="85" w:name="page86"/>
    <w:bookmarkEnd w:id="85"/>
    <w:p>
      <w:pPr>
        <w:ind w:left="600"/>
        <w:spacing w:after="0"/>
        <w:rPr>
          <w:sz w:val="20"/>
          <w:szCs w:val="20"/>
          <w:color w:val="auto"/>
        </w:rPr>
      </w:pPr>
      <w:r>
        <w:rPr>
          <w:rFonts w:ascii="Arial" w:cs="Arial" w:eastAsia="Arial" w:hAnsi="Arial"/>
          <w:sz w:val="17"/>
          <w:szCs w:val="17"/>
          <w:b w:val="1"/>
          <w:bCs w:val="1"/>
          <w:i w:val="1"/>
          <w:iCs w:val="1"/>
          <w:color w:val="auto"/>
        </w:rPr>
        <w:t>Preferred Stock</w:t>
      </w:r>
    </w:p>
    <w:p>
      <w:pPr>
        <w:spacing w:after="0" w:line="103"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Effective upon the filing of our amended and restated certificate of incorporation in June 2015, no shares of preferred stock were outstanding because all outstanding shares of our convertible preferred stock converted into our Class B common stock.</w:t>
      </w:r>
    </w:p>
    <w:p>
      <w:pPr>
        <w:spacing w:after="0" w:line="130"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6"/>
          <w:szCs w:val="16"/>
          <w:color w:val="auto"/>
        </w:rPr>
        <w:t>Pursuant to the terms of our amended and restated certificate of incorporation, our Board of Directors will be authorized, subject to limitations prescribed by Delaware law, to issue up to 25,000,000 shares of our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action by our stockholders. The number of authorized shares of any series of preferred stock may be increased or decreased, but not below the number of shares of that series then outstanding, by the affirmative vote of the holders of a majority of the voting power of our outstanding capital stock entitled to vote thereon, or such other vote as may be required by the certificate of designation establishing the series.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153" w:lineRule="exact"/>
        <w:rPr>
          <w:sz w:val="20"/>
          <w:szCs w:val="20"/>
          <w:color w:val="auto"/>
        </w:rPr>
      </w:pPr>
    </w:p>
    <w:p>
      <w:pPr>
        <w:jc w:val="both"/>
        <w:ind w:firstLine="597"/>
        <w:spacing w:after="0" w:line="344" w:lineRule="auto"/>
        <w:rPr>
          <w:sz w:val="20"/>
          <w:szCs w:val="20"/>
          <w:color w:val="auto"/>
        </w:rPr>
      </w:pPr>
      <w:r>
        <w:rPr>
          <w:rFonts w:ascii="Arial" w:cs="Arial" w:eastAsia="Arial" w:hAnsi="Arial"/>
          <w:sz w:val="13"/>
          <w:szCs w:val="13"/>
          <w:color w:val="auto"/>
        </w:rPr>
        <w:t>On February 20, 2019, the Board of Directors (the "Board") authorized a $100.0 million Share Repurchase Program (the "Program") of our outstanding Class A Common Stock. Under the Program, share repurchases may be made from time to time, as directed by a Committee consisting of three Directors, in open market purchases or privately negotiated transactions at a repurchase price that the members of the Committee unanimously believe is below intrinsic value conservatively determined. The Program does not obligate us to repurchase any specific dollar amount or number of shares, there is no expiration date to the Program, and it may be modified, suspended or terminated at any time and for any reason. We did not repurchase any Class A Common Stock under the Program during the year ended December 31, 2019.</w:t>
      </w:r>
    </w:p>
    <w:p>
      <w:pPr>
        <w:spacing w:after="0" w:line="172"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In October 2018, our Board authorized a $30.0 million Share Repurchase Program of its outstanding Class A Common Stock. Pursuant to this program, the Company has repurchased 370,751 shares for an aggregate purchase price of $21.6 million. The balance of $8.4 million remaining under the October authorization is included within the $100.0 million Share Repurchase Program authorized on February 20, 2019.</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Stock-Based Compensation</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2015 Stock Incentive Plan</w:t>
      </w:r>
    </w:p>
    <w:p>
      <w:pPr>
        <w:spacing w:after="0" w:line="66"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6"/>
          <w:szCs w:val="16"/>
          <w:color w:val="auto"/>
        </w:rPr>
        <w:t>In conjunction with our IPO in 2015, our Board of Directors and stockholders adopted the 2015 Stock Incentive Plan (the "2015 Plan"). Upon adoption of the 2015 Plan, 2,000,000 shares of our Class A common stock were reserved and available for grant and issuance. On January 1 of each subsequent calendar year, the number of shares available for grant and issuance under the 2015 Plan increase by the lesser of (i) the number of shares of our Class A common stock subject to awards granted under the 2015 Plan during the preceding calendar year and (ii) such lesser number of shares of our Class A common stock determined by our Board of Directors. At December 31, 2019, we have reserved an aggregate of 3,977,621 shares of our Class A common stock for grant and issuance under the 2015 Plan. The number of shares of our Class A common stock is also subject to adjustment in the event of a recapitalization, stock split, reclassification, stock dividend or other change in our capitalization. The 2015 Plan authorizes the award of stock options, stock appreciation rights, RSAs, RSUs, performance awards and stock bonuses. The 2015 Plan provides for the grant of awards to our employees, directors, consultants and independent contractors, subject to certain exceptions. RSUs, PSUs, and RSAs have been issued during 2019 pursuant to the 2015 Plan.</w:t>
      </w:r>
    </w:p>
    <w:p>
      <w:pPr>
        <w:spacing w:after="0" w:line="131"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6"/>
          <w:szCs w:val="16"/>
          <w:color w:val="auto"/>
        </w:rPr>
        <w:t>Stock options may vest based on the passage of time or the achievement of performance conditions at the discretion of our compensation committee. Our compensation committee may provide for stock options to be exercised only as they vest or to be immediately exercisable with any shares issued on exercise being subject to our right of repurchase that lapses as the shares vest. The maximum term of stock options granted under the 2015 Plan is 10 years.</w:t>
      </w:r>
    </w:p>
    <w:p>
      <w:pPr>
        <w:spacing w:after="0" w:line="159"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6"/>
          <w:szCs w:val="16"/>
          <w:color w:val="auto"/>
        </w:rPr>
        <w:t>RSUs and PSUs represent the right on the part of the holder to receive shares of our Class A common stock at a specified date in the future or the achievement of performance conditions at the discretion of our compensation committee, subject to forfeiture of that right due to termination of employment. If an RSU or PSU has not been forfeited, then, on the specified date, we will deliver to the holder of the RSU or PSU shares of our Class A common stock.</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2007 Stock Incentive Plan</w:t>
      </w:r>
    </w:p>
    <w:p>
      <w:pPr>
        <w:spacing w:after="0" w:line="202"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6"/>
          <w:szCs w:val="16"/>
          <w:color w:val="auto"/>
        </w:rPr>
        <w:t>On February 14, 2007, our Board of Directors adopted the 2007 Stock Incentive Plan (the “2007 Plan”) as an amendment and restatement to an original 2006 Equity Incentive Plan and was most recently amended in July 2014. Following our IPO, our Board of Directors determined not to make any further awards under the 2007 Plan. The 2007 Plan expired on February 14, 2017. The 2007 Plan will continue to govern outstanding awards granted under the 2007 Plan.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736" w:right="239" w:bottom="1440" w:gutter="0" w:footer="0" w:header="0"/>
        </w:sectPr>
      </w:pPr>
    </w:p>
    <w:bookmarkStart w:id="86" w:name="page87"/>
    <w:bookmarkEnd w:id="86"/>
    <w:p>
      <w:pPr>
        <w:ind w:left="400"/>
        <w:spacing w:after="0"/>
        <w:rPr>
          <w:sz w:val="20"/>
          <w:szCs w:val="20"/>
          <w:color w:val="auto"/>
        </w:rPr>
      </w:pPr>
      <w:r>
        <w:rPr>
          <w:rFonts w:ascii="Arial" w:cs="Arial" w:eastAsia="Arial" w:hAnsi="Arial"/>
          <w:sz w:val="17"/>
          <w:szCs w:val="17"/>
          <w:b w:val="1"/>
          <w:bCs w:val="1"/>
          <w:i w:val="1"/>
          <w:iCs w:val="1"/>
          <w:color w:val="auto"/>
        </w:rPr>
        <w:t>Stock Options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 summary of our stock option activity for the year ended December 31, 2019 is as follows (number of shares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7"/>
              </w:rPr>
              <w:t>Weighted Average Exercise</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9"/>
              </w:rPr>
              <w:t>Weighted Average</w:t>
            </w:r>
          </w:p>
        </w:tc>
        <w:tc>
          <w:tcPr>
            <w:tcW w:w="0" w:type="dxa"/>
            <w:vAlign w:val="bottom"/>
          </w:tcPr>
          <w:p>
            <w:pPr>
              <w:spacing w:after="0"/>
              <w:rPr>
                <w:sz w:val="1"/>
                <w:szCs w:val="1"/>
                <w:color w:val="auto"/>
              </w:rPr>
            </w:pPr>
          </w:p>
        </w:tc>
      </w:tr>
      <w:tr>
        <w:trPr>
          <w:trHeight w:val="137"/>
        </w:trPr>
        <w:tc>
          <w:tcPr>
            <w:tcW w:w="6420" w:type="dxa"/>
            <w:vAlign w:val="bottom"/>
          </w:tcPr>
          <w:p>
            <w:pPr>
              <w:spacing w:after="0"/>
              <w:rPr>
                <w:sz w:val="11"/>
                <w:szCs w:val="11"/>
                <w:color w:val="auto"/>
              </w:rPr>
            </w:pPr>
          </w:p>
        </w:tc>
        <w:tc>
          <w:tcPr>
            <w:tcW w:w="1600" w:type="dxa"/>
            <w:vAlign w:val="bottom"/>
            <w:vMerge w:val="restart"/>
          </w:tcPr>
          <w:p>
            <w:pPr>
              <w:jc w:val="right"/>
              <w:ind w:right="199"/>
              <w:spacing w:after="0"/>
              <w:rPr>
                <w:sz w:val="20"/>
                <w:szCs w:val="20"/>
                <w:color w:val="auto"/>
              </w:rPr>
            </w:pPr>
            <w:r>
              <w:rPr>
                <w:rFonts w:ascii="Arial" w:cs="Arial" w:eastAsia="Arial" w:hAnsi="Arial"/>
                <w:sz w:val="13"/>
                <w:szCs w:val="13"/>
                <w:b w:val="1"/>
                <w:bCs w:val="1"/>
                <w:color w:val="auto"/>
              </w:rPr>
              <w:t>Number of Shares</w:t>
            </w:r>
          </w:p>
        </w:tc>
        <w:tc>
          <w:tcPr>
            <w:tcW w:w="12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5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77"/>
        </w:trPr>
        <w:tc>
          <w:tcPr>
            <w:tcW w:w="642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3"/>
                <w:szCs w:val="13"/>
                <w:b w:val="1"/>
                <w:bCs w:val="1"/>
                <w:color w:val="auto"/>
              </w:rPr>
              <w:t>Price per Share</w:t>
            </w:r>
          </w:p>
        </w:tc>
        <w:tc>
          <w:tcPr>
            <w:tcW w:w="1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Contractual Life in Years</w:t>
            </w:r>
          </w:p>
        </w:tc>
        <w:tc>
          <w:tcPr>
            <w:tcW w:w="0" w:type="dxa"/>
            <w:vAlign w:val="bottom"/>
          </w:tcPr>
          <w:p>
            <w:pPr>
              <w:spacing w:after="0"/>
              <w:rPr>
                <w:sz w:val="1"/>
                <w:szCs w:val="1"/>
                <w:color w:val="auto"/>
              </w:rPr>
            </w:pPr>
          </w:p>
        </w:tc>
      </w:tr>
      <w:tr>
        <w:trPr>
          <w:trHeight w:val="22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outstanding at December 31, 2018</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1,513</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11.31</w:t>
            </w: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24"/>
        </w:trPr>
        <w:tc>
          <w:tcPr>
            <w:tcW w:w="6420" w:type="dxa"/>
            <w:vAlign w:val="bottom"/>
          </w:tcPr>
          <w:p>
            <w:pPr>
              <w:ind w:left="20"/>
              <w:spacing w:after="0"/>
              <w:rPr>
                <w:sz w:val="20"/>
                <w:szCs w:val="20"/>
                <w:color w:val="auto"/>
              </w:rPr>
            </w:pPr>
            <w:r>
              <w:rPr>
                <w:rFonts w:ascii="Arial" w:cs="Arial" w:eastAsia="Arial" w:hAnsi="Arial"/>
                <w:sz w:val="17"/>
                <w:szCs w:val="17"/>
                <w:color w:val="auto"/>
              </w:rPr>
              <w:t>Options granted</w:t>
            </w:r>
          </w:p>
        </w:tc>
        <w:tc>
          <w:tcPr>
            <w:tcW w:w="160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4.60</w:t>
            </w: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20" w:type="dxa"/>
            <w:vAlign w:val="bottom"/>
          </w:tcPr>
          <w:p>
            <w:pPr>
              <w:ind w:left="20"/>
              <w:spacing w:after="0"/>
              <w:rPr>
                <w:sz w:val="20"/>
                <w:szCs w:val="20"/>
                <w:color w:val="auto"/>
              </w:rPr>
            </w:pPr>
            <w:r>
              <w:rPr>
                <w:rFonts w:ascii="Arial" w:cs="Arial" w:eastAsia="Arial" w:hAnsi="Arial"/>
                <w:sz w:val="17"/>
                <w:szCs w:val="17"/>
                <w:color w:val="auto"/>
              </w:rPr>
              <w:t>Options cancelled/forfeited</w:t>
            </w:r>
          </w:p>
        </w:tc>
        <w:tc>
          <w:tcPr>
            <w:tcW w:w="1600" w:type="dxa"/>
            <w:vAlign w:val="bottom"/>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7"/>
                <w:szCs w:val="17"/>
                <w:color w:val="auto"/>
              </w:rPr>
              <w:t>13.41</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4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outstanding at December 31, 2019</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1,342</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11.84</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At December 31, 2019:</w:t>
            </w: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20" w:type="dxa"/>
            <w:vAlign w:val="bottom"/>
          </w:tcPr>
          <w:p>
            <w:pPr>
              <w:ind w:left="20"/>
              <w:spacing w:after="0"/>
              <w:rPr>
                <w:sz w:val="20"/>
                <w:szCs w:val="20"/>
                <w:color w:val="auto"/>
              </w:rPr>
            </w:pPr>
            <w:r>
              <w:rPr>
                <w:rFonts w:ascii="Arial" w:cs="Arial" w:eastAsia="Arial" w:hAnsi="Arial"/>
                <w:sz w:val="17"/>
                <w:szCs w:val="17"/>
                <w:color w:val="auto"/>
              </w:rPr>
              <w:t>Options vested and expected to vest</w:t>
            </w:r>
          </w:p>
        </w:tc>
        <w:tc>
          <w:tcPr>
            <w:tcW w:w="1600" w:type="dxa"/>
            <w:vAlign w:val="bottom"/>
          </w:tcPr>
          <w:p>
            <w:pPr>
              <w:jc w:val="right"/>
              <w:ind w:right="39"/>
              <w:spacing w:after="0"/>
              <w:rPr>
                <w:sz w:val="20"/>
                <w:szCs w:val="20"/>
                <w:color w:val="auto"/>
              </w:rPr>
            </w:pPr>
            <w:r>
              <w:rPr>
                <w:rFonts w:ascii="Arial" w:cs="Arial" w:eastAsia="Arial" w:hAnsi="Arial"/>
                <w:sz w:val="17"/>
                <w:szCs w:val="17"/>
                <w:color w:val="auto"/>
              </w:rPr>
              <w:t>1,342</w:t>
            </w:r>
          </w:p>
        </w:tc>
        <w:tc>
          <w:tcPr>
            <w:tcW w:w="3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9"/>
              <w:spacing w:after="0"/>
              <w:rPr>
                <w:sz w:val="20"/>
                <w:szCs w:val="20"/>
                <w:color w:val="auto"/>
              </w:rPr>
            </w:pPr>
            <w:r>
              <w:rPr>
                <w:rFonts w:ascii="Arial" w:cs="Arial" w:eastAsia="Arial" w:hAnsi="Arial"/>
                <w:sz w:val="17"/>
                <w:szCs w:val="17"/>
                <w:color w:val="auto"/>
              </w:rPr>
              <w:t>11.84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69"/>
        </w:trPr>
        <w:tc>
          <w:tcPr>
            <w:tcW w:w="6420" w:type="dxa"/>
            <w:vAlign w:val="bottom"/>
          </w:tcPr>
          <w:p>
            <w:pPr>
              <w:ind w:left="20"/>
              <w:spacing w:after="0"/>
              <w:rPr>
                <w:sz w:val="20"/>
                <w:szCs w:val="20"/>
                <w:color w:val="auto"/>
              </w:rPr>
            </w:pPr>
            <w:r>
              <w:rPr>
                <w:rFonts w:ascii="Arial" w:cs="Arial" w:eastAsia="Arial" w:hAnsi="Arial"/>
                <w:sz w:val="17"/>
                <w:szCs w:val="17"/>
                <w:color w:val="auto"/>
              </w:rPr>
              <w:t>Options exercisable</w:t>
            </w:r>
            <w:r>
              <w:rPr>
                <w:rFonts w:ascii="Arial" w:cs="Arial" w:eastAsia="Arial" w:hAnsi="Arial"/>
                <w:sz w:val="23"/>
                <w:szCs w:val="23"/>
                <w:color w:val="auto"/>
                <w:vertAlign w:val="superscript"/>
              </w:rPr>
              <w:t>(1)</w:t>
            </w:r>
          </w:p>
        </w:tc>
        <w:tc>
          <w:tcPr>
            <w:tcW w:w="1600" w:type="dxa"/>
            <w:vAlign w:val="bottom"/>
          </w:tcPr>
          <w:p>
            <w:pPr>
              <w:jc w:val="right"/>
              <w:ind w:right="39"/>
              <w:spacing w:after="0"/>
              <w:rPr>
                <w:sz w:val="20"/>
                <w:szCs w:val="20"/>
                <w:color w:val="auto"/>
              </w:rPr>
            </w:pPr>
            <w:r>
              <w:rPr>
                <w:rFonts w:ascii="Arial" w:cs="Arial" w:eastAsia="Arial" w:hAnsi="Arial"/>
                <w:sz w:val="17"/>
                <w:szCs w:val="17"/>
                <w:color w:val="auto"/>
              </w:rPr>
              <w:t>1,325</w:t>
            </w:r>
          </w:p>
        </w:tc>
        <w:tc>
          <w:tcPr>
            <w:tcW w:w="3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9"/>
              <w:spacing w:after="0"/>
              <w:rPr>
                <w:sz w:val="20"/>
                <w:szCs w:val="20"/>
                <w:color w:val="auto"/>
              </w:rPr>
            </w:pPr>
            <w:r>
              <w:rPr>
                <w:rFonts w:ascii="Arial" w:cs="Arial" w:eastAsia="Arial" w:hAnsi="Arial"/>
                <w:sz w:val="17"/>
                <w:szCs w:val="17"/>
                <w:color w:val="auto"/>
              </w:rPr>
              <w:t>11.93</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7257415" cy="1581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158115"/>
                    </a:xfrm>
                    <a:prstGeom prst="rect">
                      <a:avLst/>
                    </a:prstGeom>
                    <a:noFill/>
                  </pic:spPr>
                </pic:pic>
              </a:graphicData>
            </a:graphic>
          </wp:anchor>
        </w:drawing>
      </w:r>
    </w:p>
    <w:p>
      <w:pPr>
        <w:ind w:firstLine="596"/>
        <w:spacing w:after="0" w:line="256" w:lineRule="auto"/>
        <w:tabs>
          <w:tab w:leader="none" w:pos="761" w:val="left"/>
        </w:tabs>
        <w:numPr>
          <w:ilvl w:val="0"/>
          <w:numId w:val="28"/>
        </w:numPr>
        <w:rPr>
          <w:rFonts w:ascii="Arial" w:cs="Arial" w:eastAsia="Arial" w:hAnsi="Arial"/>
          <w:sz w:val="20"/>
          <w:szCs w:val="20"/>
          <w:color w:val="auto"/>
          <w:vertAlign w:val="superscript"/>
        </w:rPr>
      </w:pPr>
      <w:r>
        <w:rPr>
          <w:rFonts w:ascii="Arial" w:cs="Arial" w:eastAsia="Arial" w:hAnsi="Arial"/>
          <w:sz w:val="14"/>
          <w:szCs w:val="14"/>
          <w:color w:val="auto"/>
        </w:rPr>
        <w:t>Included in the options exercisable is 15,000 shares which have an early exercise option. The weighted average exercise price of these options is $5.64 per share and the weighted average contractual life in years is 5.1 years.</w:t>
      </w:r>
    </w:p>
    <w:p>
      <w:pPr>
        <w:spacing w:after="0" w:line="171" w:lineRule="exact"/>
        <w:rPr>
          <w:sz w:val="20"/>
          <w:szCs w:val="20"/>
          <w:color w:val="auto"/>
        </w:rPr>
      </w:pPr>
    </w:p>
    <w:p>
      <w:pPr>
        <w:jc w:val="both"/>
        <w:ind w:firstLine="597"/>
        <w:spacing w:after="0" w:line="287" w:lineRule="auto"/>
        <w:rPr>
          <w:sz w:val="20"/>
          <w:szCs w:val="20"/>
          <w:color w:val="auto"/>
        </w:rPr>
      </w:pPr>
      <w:r>
        <w:rPr>
          <w:rFonts w:ascii="Arial" w:cs="Arial" w:eastAsia="Arial" w:hAnsi="Arial"/>
          <w:sz w:val="15"/>
          <w:szCs w:val="15"/>
          <w:color w:val="auto"/>
        </w:rPr>
        <w:t>Included in the options outstanding as of December 31, 2019 are 172,000 PSOs granted in 2017. Vesting of these PSOs is based on the achievement of pre-established performance targets for the year ending December 31, 2019 and continued employment throughout the performance period. Of these PSOs, 132,000 shares vest based on the achievement of a pre-established free cash flow performance target for the year ending December 31, 2019, assuming achievement of the performance metric at the maximum level, which is 150% of the performance target, resulting in a maximum payout of 100% of the initial target award. The remaining 40,000 PSOs have a pre-established adjusted gross margin target for the year ending December 31, 2019. PSOs tied to the gross margin performance target have two levels of vesting, with 50% vesting based on the achievement of 110% of the targeted amount and the remaining 50% vesting based on the achievement of 115% of the targeted amount.</w:t>
      </w:r>
    </w:p>
    <w:p>
      <w:pPr>
        <w:spacing w:after="0" w:line="118"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During the year ended December 31, 2019, 200,000 PSOs vested based on the achievement of 120% of the pre-established free cash flow performance target for the year ended December 31, 2018.</w:t>
      </w:r>
    </w:p>
    <w:p>
      <w:pPr>
        <w:spacing w:after="0" w:line="130"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6"/>
          <w:szCs w:val="16"/>
          <w:color w:val="auto"/>
        </w:rPr>
        <w:t>We recognize expense for the PSOs based on the grant date fair value of the PSOs that we determine are probable of vesting. Adjustments to compensation expense are made each period based on changes in our estimate of the number of PSOs that are probable of vesting. Our stock-based compensation expense for stock options for the years ended December 31, 2019, 2018 and 2017 was $0.6 million, $1.6 million, and $2.9 million, respectively.</w:t>
      </w:r>
    </w:p>
    <w:p>
      <w:pPr>
        <w:spacing w:after="0" w:line="122"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The fair value of stock options is estimated on their date of grant using the Black-Scholes option-pricing model. No stock options were granted during the years ended December 31, 2019 and 2018.</w:t>
      </w:r>
    </w:p>
    <w:p>
      <w:pPr>
        <w:spacing w:after="0" w:line="167"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At December 31, 2019, the total remaining stock-based compensation expense for unvested stock options was $0.1 million, which is expected to be recognized over a weighted average period of 0.9 years.</w:t>
      </w:r>
    </w:p>
    <w:p>
      <w:pPr>
        <w:spacing w:after="0" w:line="167" w:lineRule="exact"/>
        <w:rPr>
          <w:sz w:val="20"/>
          <w:szCs w:val="20"/>
          <w:color w:val="auto"/>
        </w:rPr>
      </w:pPr>
    </w:p>
    <w:p>
      <w:pPr>
        <w:jc w:val="both"/>
        <w:ind w:firstLine="597"/>
        <w:spacing w:after="0" w:line="271" w:lineRule="auto"/>
        <w:rPr>
          <w:sz w:val="20"/>
          <w:szCs w:val="20"/>
          <w:color w:val="auto"/>
        </w:rPr>
      </w:pPr>
      <w:r>
        <w:rPr>
          <w:rFonts w:ascii="Arial" w:cs="Arial" w:eastAsia="Arial" w:hAnsi="Arial"/>
          <w:sz w:val="16"/>
          <w:szCs w:val="16"/>
          <w:color w:val="auto"/>
        </w:rPr>
        <w:t>The total intrinsic value of options exercised in 2019, 2018 and 2017 was $11.5 million, $7.5 million, and $4.6 million, respectively. This intrinsic value represents the difference between the fair value of our common stock on the date of exercise and the exercise price of each option. Based on the fair value of our common stock at December 31, 2019, the total intrinsic value of all outstanding options was $131.7 million. The total intrinsic value of exercisable options at December 31, 2019 was $129.8 million. The total intrinsic value of options vested and expected to vest at December 31, 2019 was $131.7 million.</w:t>
      </w:r>
    </w:p>
    <w:p>
      <w:pPr>
        <w:spacing w:after="0" w:line="164"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The excess tax benefit realized from option exercises during the years ended December 31, 2019, 2018 and 2017 was $20.5 million, $7.7 million and $5.2 million,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674" w:right="239" w:bottom="1440" w:gutter="0" w:footer="0" w:header="0"/>
        </w:sectPr>
      </w:pPr>
    </w:p>
    <w:bookmarkStart w:id="87" w:name="page88"/>
    <w:bookmarkEnd w:id="87"/>
    <w:p>
      <w:pPr>
        <w:ind w:left="60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summary of activity in connection with our RSUs for the year ended December 31, 2019 is as follows (number of shares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60" w:type="dxa"/>
            <w:vAlign w:val="bottom"/>
          </w:tcPr>
          <w:p>
            <w:pPr>
              <w:spacing w:after="0"/>
              <w:rPr>
                <w:sz w:val="13"/>
                <w:szCs w:val="13"/>
                <w:color w:val="auto"/>
              </w:rPr>
            </w:pPr>
          </w:p>
        </w:tc>
        <w:tc>
          <w:tcPr>
            <w:tcW w:w="1820" w:type="dxa"/>
            <w:vAlign w:val="bottom"/>
            <w:vMerge w:val="restart"/>
          </w:tcPr>
          <w:p>
            <w:pPr>
              <w:jc w:val="right"/>
              <w:ind w:right="320"/>
              <w:spacing w:after="0"/>
              <w:rPr>
                <w:sz w:val="20"/>
                <w:szCs w:val="20"/>
                <w:color w:val="auto"/>
              </w:rPr>
            </w:pPr>
            <w:r>
              <w:rPr>
                <w:rFonts w:ascii="Arial" w:cs="Arial" w:eastAsia="Arial" w:hAnsi="Arial"/>
                <w:sz w:val="13"/>
                <w:szCs w:val="13"/>
                <w:b w:val="1"/>
                <w:bCs w:val="1"/>
                <w:color w:val="auto"/>
              </w:rPr>
              <w:t>Number of 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right"/>
              <w:ind w:right="22"/>
              <w:spacing w:after="0"/>
              <w:rPr>
                <w:sz w:val="20"/>
                <w:szCs w:val="20"/>
                <w:color w:val="auto"/>
              </w:rPr>
            </w:pPr>
            <w:r>
              <w:rPr>
                <w:rFonts w:ascii="Arial" w:cs="Arial" w:eastAsia="Arial" w:hAnsi="Arial"/>
                <w:sz w:val="13"/>
                <w:szCs w:val="13"/>
                <w:b w:val="1"/>
                <w:bCs w:val="1"/>
                <w:color w:val="auto"/>
                <w:w w:val="92"/>
              </w:rPr>
              <w:t>Weighted Average Grant Date</w:t>
            </w:r>
          </w:p>
        </w:tc>
        <w:tc>
          <w:tcPr>
            <w:tcW w:w="0" w:type="dxa"/>
            <w:vAlign w:val="bottom"/>
          </w:tcPr>
          <w:p>
            <w:pPr>
              <w:spacing w:after="0"/>
              <w:rPr>
                <w:sz w:val="1"/>
                <w:szCs w:val="1"/>
                <w:color w:val="auto"/>
              </w:rPr>
            </w:pPr>
          </w:p>
        </w:tc>
      </w:tr>
      <w:tr>
        <w:trPr>
          <w:trHeight w:val="177"/>
        </w:trPr>
        <w:tc>
          <w:tcPr>
            <w:tcW w:w="756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Fair Value per Share</w:t>
            </w:r>
          </w:p>
        </w:tc>
        <w:tc>
          <w:tcPr>
            <w:tcW w:w="0" w:type="dxa"/>
            <w:vAlign w:val="bottom"/>
          </w:tcPr>
          <w:p>
            <w:pPr>
              <w:spacing w:after="0"/>
              <w:rPr>
                <w:sz w:val="1"/>
                <w:szCs w:val="1"/>
                <w:color w:val="auto"/>
              </w:rPr>
            </w:pPr>
          </w:p>
        </w:tc>
      </w:tr>
      <w:tr>
        <w:trPr>
          <w:trHeight w:val="22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December 31, 2018</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674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32.61</w:t>
            </w:r>
          </w:p>
        </w:tc>
        <w:tc>
          <w:tcPr>
            <w:tcW w:w="0" w:type="dxa"/>
            <w:vAlign w:val="bottom"/>
          </w:tcPr>
          <w:p>
            <w:pPr>
              <w:spacing w:after="0"/>
              <w:rPr>
                <w:sz w:val="1"/>
                <w:szCs w:val="1"/>
                <w:color w:val="auto"/>
              </w:rPr>
            </w:pPr>
          </w:p>
        </w:tc>
      </w:tr>
      <w:tr>
        <w:trPr>
          <w:trHeight w:val="224"/>
        </w:trPr>
        <w:tc>
          <w:tcPr>
            <w:tcW w:w="7560" w:type="dxa"/>
            <w:vAlign w:val="bottom"/>
          </w:tcPr>
          <w:p>
            <w:pPr>
              <w:ind w:left="20"/>
              <w:spacing w:after="0"/>
              <w:rPr>
                <w:sz w:val="20"/>
                <w:szCs w:val="20"/>
                <w:color w:val="auto"/>
              </w:rPr>
            </w:pPr>
            <w:r>
              <w:rPr>
                <w:rFonts w:ascii="Arial" w:cs="Arial" w:eastAsia="Arial" w:hAnsi="Arial"/>
                <w:sz w:val="17"/>
                <w:szCs w:val="17"/>
                <w:color w:val="auto"/>
              </w:rPr>
              <w:t>Granted</w:t>
            </w:r>
          </w:p>
        </w:tc>
        <w:tc>
          <w:tcPr>
            <w:tcW w:w="1820" w:type="dxa"/>
            <w:vAlign w:val="bottom"/>
          </w:tcPr>
          <w:p>
            <w:pPr>
              <w:jc w:val="right"/>
              <w:ind w:right="20"/>
              <w:spacing w:after="0"/>
              <w:rPr>
                <w:sz w:val="20"/>
                <w:szCs w:val="20"/>
                <w:color w:val="auto"/>
              </w:rPr>
            </w:pPr>
            <w:r>
              <w:rPr>
                <w:rFonts w:ascii="Arial" w:cs="Arial" w:eastAsia="Arial" w:hAnsi="Arial"/>
                <w:sz w:val="17"/>
                <w:szCs w:val="17"/>
                <w:color w:val="auto"/>
              </w:rPr>
              <w:t>216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jc w:val="right"/>
              <w:ind w:right="22"/>
              <w:spacing w:after="0"/>
              <w:rPr>
                <w:sz w:val="20"/>
                <w:szCs w:val="20"/>
                <w:color w:val="auto"/>
              </w:rPr>
            </w:pPr>
            <w:r>
              <w:rPr>
                <w:rFonts w:ascii="Arial" w:cs="Arial" w:eastAsia="Arial" w:hAnsi="Arial"/>
                <w:sz w:val="17"/>
                <w:szCs w:val="17"/>
                <w:color w:val="auto"/>
              </w:rPr>
              <w:t>89.10</w:t>
            </w:r>
          </w:p>
        </w:tc>
        <w:tc>
          <w:tcPr>
            <w:tcW w:w="0" w:type="dxa"/>
            <w:vAlign w:val="bottom"/>
          </w:tcPr>
          <w:p>
            <w:pPr>
              <w:spacing w:after="0"/>
              <w:rPr>
                <w:sz w:val="1"/>
                <w:szCs w:val="1"/>
                <w:color w:val="auto"/>
              </w:rPr>
            </w:pPr>
          </w:p>
        </w:tc>
      </w:tr>
      <w:tr>
        <w:trPr>
          <w:trHeight w:val="25"/>
        </w:trPr>
        <w:tc>
          <w:tcPr>
            <w:tcW w:w="7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26.78</w:t>
            </w:r>
          </w:p>
        </w:tc>
        <w:tc>
          <w:tcPr>
            <w:tcW w:w="0" w:type="dxa"/>
            <w:vAlign w:val="bottom"/>
          </w:tcPr>
          <w:p>
            <w:pPr>
              <w:spacing w:after="0"/>
              <w:rPr>
                <w:sz w:val="1"/>
                <w:szCs w:val="1"/>
                <w:color w:val="auto"/>
              </w:rPr>
            </w:pPr>
          </w:p>
        </w:tc>
      </w:tr>
      <w:tr>
        <w:trPr>
          <w:trHeight w:val="224"/>
        </w:trPr>
        <w:tc>
          <w:tcPr>
            <w:tcW w:w="75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82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jc w:val="right"/>
              <w:ind w:right="22"/>
              <w:spacing w:after="0"/>
              <w:rPr>
                <w:sz w:val="20"/>
                <w:szCs w:val="20"/>
                <w:color w:val="auto"/>
              </w:rPr>
            </w:pPr>
            <w:r>
              <w:rPr>
                <w:rFonts w:ascii="Arial" w:cs="Arial" w:eastAsia="Arial" w:hAnsi="Arial"/>
                <w:sz w:val="17"/>
                <w:szCs w:val="17"/>
                <w:color w:val="auto"/>
              </w:rPr>
              <w:t>43.97</w:t>
            </w:r>
          </w:p>
        </w:tc>
        <w:tc>
          <w:tcPr>
            <w:tcW w:w="0" w:type="dxa"/>
            <w:vAlign w:val="bottom"/>
          </w:tcPr>
          <w:p>
            <w:pPr>
              <w:spacing w:after="0"/>
              <w:rPr>
                <w:sz w:val="1"/>
                <w:szCs w:val="1"/>
                <w:color w:val="auto"/>
              </w:rPr>
            </w:pPr>
          </w:p>
        </w:tc>
      </w:tr>
      <w:tr>
        <w:trPr>
          <w:trHeight w:val="25"/>
        </w:trPr>
        <w:tc>
          <w:tcPr>
            <w:tcW w:w="75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December 31, 2019</w:t>
            </w:r>
          </w:p>
        </w:tc>
        <w:tc>
          <w:tcPr>
            <w:tcW w:w="1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646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52.42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During the year ended December 31, 2019, we granted a total of 216,000 RSUs and PSUs: 173,000 RSUs vest annually over four years; 37,000 PSUs vest based on the achievement of a pre-established consolidated net revenue growth target for each of the years ending December 31, 2020, 2021 and 2022 and continued employment throughout the performance period; and 6,000 PSUs were granted and vested as a result of the achievement of a pre-established free cash flow performance target for the year ended December 31, 2018. The number of PSUs granted, as included in the above table, assumes achievement of the performance metric at 100% of the targeted performance metric. The actual number of shares to be issued at the end of the performance period will range from 0% to 100% of the initial target awards. Achievement of the performance target between 100% and 150% of the performance target will result in a performance-based cash bonus payment between 100% and 165% of the initial target awards.</w:t>
      </w:r>
    </w:p>
    <w:p>
      <w:pPr>
        <w:spacing w:after="0" w:line="170"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During the year ended December 31, 2019, 29,000 of the PSUs vested and an additional 6,000 PSUs were granted and vested based on the achievement of 120% of the pre-established free cash flow performance target for the year ended December 31, 2018.</w:t>
      </w:r>
    </w:p>
    <w:p>
      <w:pPr>
        <w:spacing w:after="0" w:line="167" w:lineRule="exact"/>
        <w:rPr>
          <w:sz w:val="20"/>
          <w:szCs w:val="20"/>
          <w:color w:val="auto"/>
        </w:rPr>
      </w:pPr>
    </w:p>
    <w:p>
      <w:pPr>
        <w:jc w:val="both"/>
        <w:ind w:firstLine="597"/>
        <w:spacing w:after="0" w:line="284" w:lineRule="auto"/>
        <w:rPr>
          <w:sz w:val="20"/>
          <w:szCs w:val="20"/>
          <w:color w:val="auto"/>
        </w:rPr>
      </w:pPr>
      <w:r>
        <w:rPr>
          <w:rFonts w:ascii="Arial" w:cs="Arial" w:eastAsia="Arial" w:hAnsi="Arial"/>
          <w:sz w:val="15"/>
          <w:szCs w:val="15"/>
          <w:color w:val="auto"/>
        </w:rPr>
        <w:t>Included in the unvested RSUs and PSUs at December 31, 2019 are 95,000 and 88,000 PSUs granted in 2018 and 2017, respectively. Of the PSUs granted in 2018, 54,000 vest based on the achievement of a pre-established consolidated net revenue growth target for the year ending December 31, 2020 and 41,000 vest based on the achievement of a pre-established consolidated net revenue growth target for the year ending December 31, 2021. Vesting of the PSUs granted in 2017 is based on the achievement of pre-established free cash flow performance targets for the year ending December 31, 2019, and continued employment throughout the performance period. The number of PSUs granted assumes achievement of the performance metric at 100% of the performance target. For the PSUs granted in 2018, the actual number of shares to be issued at the end of the performance period will range from 0% to 100% of the initial target awards. Achievement of the performance target between 100% and 150% of the performance target will result in a performance based cash bonus payment between 100% and 165% of the initial target awards. For the PSUs granted in 2017, the actual number of shares to be issued at the end of the performance period will range from 0% to 165% of the initial target award.</w:t>
      </w:r>
    </w:p>
    <w:p>
      <w:pPr>
        <w:spacing w:after="0" w:line="158" w:lineRule="exact"/>
        <w:rPr>
          <w:sz w:val="20"/>
          <w:szCs w:val="20"/>
          <w:color w:val="auto"/>
        </w:rPr>
      </w:pPr>
    </w:p>
    <w:p>
      <w:pPr>
        <w:jc w:val="both"/>
        <w:ind w:firstLine="597"/>
        <w:spacing w:after="0" w:line="304" w:lineRule="auto"/>
        <w:rPr>
          <w:sz w:val="20"/>
          <w:szCs w:val="20"/>
          <w:color w:val="auto"/>
        </w:rPr>
      </w:pPr>
      <w:r>
        <w:rPr>
          <w:rFonts w:ascii="Arial" w:cs="Arial" w:eastAsia="Arial" w:hAnsi="Arial"/>
          <w:sz w:val="15"/>
          <w:szCs w:val="15"/>
          <w:color w:val="auto"/>
        </w:rPr>
        <w:t>We recognize expense for the PSUs based on the grant date fair value of the PSUs that we determine are probable of vesting. Adjustments to compensation expense are made each period based on changes in our estimate of the number of PSUs that are probable of vesting. Our stock-based compensation expense for the RSUs and PSUs for the years ended December 31, 2019, 2018 and 2017, was $8.3 million, $5.5 million and $3.6 million, respectively.</w:t>
      </w:r>
    </w:p>
    <w:p>
      <w:pPr>
        <w:spacing w:after="0" w:line="140" w:lineRule="exact"/>
        <w:rPr>
          <w:sz w:val="20"/>
          <w:szCs w:val="20"/>
          <w:color w:val="auto"/>
        </w:rPr>
      </w:pPr>
    </w:p>
    <w:p>
      <w:pPr>
        <w:jc w:val="both"/>
        <w:ind w:firstLine="398"/>
        <w:spacing w:after="0" w:line="264" w:lineRule="auto"/>
        <w:rPr>
          <w:sz w:val="20"/>
          <w:szCs w:val="20"/>
          <w:color w:val="auto"/>
        </w:rPr>
      </w:pPr>
      <w:r>
        <w:rPr>
          <w:rFonts w:ascii="Arial" w:cs="Arial" w:eastAsia="Arial" w:hAnsi="Arial"/>
          <w:sz w:val="17"/>
          <w:szCs w:val="17"/>
          <w:color w:val="auto"/>
        </w:rPr>
        <w:t>At December 31, 2019, the total remaining stock-based compensation expense for these RSUs was $21.8 million, which is expected to be recognized over a weighted average period of 1.9 years.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736" w:right="239" w:bottom="1440" w:gutter="0" w:footer="0" w:header="0"/>
        </w:sectPr>
      </w:pPr>
    </w:p>
    <w:bookmarkStart w:id="88" w:name="page89"/>
    <w:bookmarkEnd w:id="88"/>
    <w:p>
      <w:pPr>
        <w:spacing w:after="0" w:line="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summary of activity in connection with our RSAs for the year ended December 31, 2019 is as follows (number of shares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00" w:type="dxa"/>
            <w:vAlign w:val="bottom"/>
          </w:tcPr>
          <w:p>
            <w:pPr>
              <w:spacing w:after="0"/>
              <w:rPr>
                <w:sz w:val="13"/>
                <w:szCs w:val="13"/>
                <w:color w:val="auto"/>
              </w:rPr>
            </w:pPr>
          </w:p>
        </w:tc>
        <w:tc>
          <w:tcPr>
            <w:tcW w:w="1580" w:type="dxa"/>
            <w:vAlign w:val="bottom"/>
            <w:vMerge w:val="restart"/>
          </w:tcPr>
          <w:p>
            <w:pPr>
              <w:ind w:left="460"/>
              <w:spacing w:after="0"/>
              <w:rPr>
                <w:sz w:val="20"/>
                <w:szCs w:val="20"/>
                <w:color w:val="auto"/>
              </w:rPr>
            </w:pPr>
            <w:r>
              <w:rPr>
                <w:rFonts w:ascii="Arial" w:cs="Arial" w:eastAsia="Arial" w:hAnsi="Arial"/>
                <w:sz w:val="13"/>
                <w:szCs w:val="13"/>
                <w:b w:val="1"/>
                <w:bCs w:val="1"/>
                <w:color w:val="auto"/>
                <w:w w:val="98"/>
              </w:rPr>
              <w:t>Number of Shares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tcPr>
          <w:p>
            <w:pPr>
              <w:jc w:val="right"/>
              <w:ind w:right="182"/>
              <w:spacing w:after="0"/>
              <w:rPr>
                <w:sz w:val="20"/>
                <w:szCs w:val="20"/>
                <w:color w:val="auto"/>
              </w:rPr>
            </w:pPr>
            <w:r>
              <w:rPr>
                <w:rFonts w:ascii="Arial" w:cs="Arial" w:eastAsia="Arial" w:hAnsi="Arial"/>
                <w:sz w:val="13"/>
                <w:szCs w:val="13"/>
                <w:b w:val="1"/>
                <w:bCs w:val="1"/>
                <w:color w:val="auto"/>
                <w:w w:val="95"/>
              </w:rPr>
              <w:t>Weighted- Average Grant Date</w:t>
            </w:r>
          </w:p>
        </w:tc>
        <w:tc>
          <w:tcPr>
            <w:tcW w:w="0" w:type="dxa"/>
            <w:vAlign w:val="bottom"/>
          </w:tcPr>
          <w:p>
            <w:pPr>
              <w:spacing w:after="0"/>
              <w:rPr>
                <w:sz w:val="1"/>
                <w:szCs w:val="1"/>
                <w:color w:val="auto"/>
              </w:rPr>
            </w:pPr>
          </w:p>
        </w:tc>
      </w:tr>
      <w:tr>
        <w:trPr>
          <w:trHeight w:val="177"/>
        </w:trPr>
        <w:tc>
          <w:tcPr>
            <w:tcW w:w="7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Fair Value per Share</w:t>
            </w:r>
          </w:p>
        </w:tc>
        <w:tc>
          <w:tcPr>
            <w:tcW w:w="0" w:type="dxa"/>
            <w:vAlign w:val="bottom"/>
          </w:tcPr>
          <w:p>
            <w:pPr>
              <w:spacing w:after="0"/>
              <w:rPr>
                <w:sz w:val="1"/>
                <w:szCs w:val="1"/>
                <w:color w:val="auto"/>
              </w:rPr>
            </w:pPr>
          </w:p>
        </w:tc>
      </w:tr>
      <w:tr>
        <w:trPr>
          <w:trHeight w:val="22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December 31, 2018</w:t>
            </w:r>
          </w:p>
        </w:tc>
        <w:tc>
          <w:tcPr>
            <w:tcW w:w="15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51.36</w:t>
            </w:r>
          </w:p>
        </w:tc>
        <w:tc>
          <w:tcPr>
            <w:tcW w:w="0" w:type="dxa"/>
            <w:vAlign w:val="bottom"/>
          </w:tcPr>
          <w:p>
            <w:pPr>
              <w:spacing w:after="0"/>
              <w:rPr>
                <w:sz w:val="1"/>
                <w:szCs w:val="1"/>
                <w:color w:val="auto"/>
              </w:rPr>
            </w:pPr>
          </w:p>
        </w:tc>
      </w:tr>
      <w:tr>
        <w:trPr>
          <w:trHeight w:val="224"/>
        </w:trPr>
        <w:tc>
          <w:tcPr>
            <w:tcW w:w="868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360" w:type="dxa"/>
            <w:vAlign w:val="bottom"/>
          </w:tcPr>
          <w:p>
            <w:pPr>
              <w:jc w:val="right"/>
              <w:ind w:right="37"/>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jc w:val="right"/>
              <w:ind w:right="22"/>
              <w:spacing w:after="0"/>
              <w:rPr>
                <w:sz w:val="20"/>
                <w:szCs w:val="20"/>
                <w:color w:val="auto"/>
              </w:rPr>
            </w:pPr>
            <w:r>
              <w:rPr>
                <w:rFonts w:ascii="Arial" w:cs="Arial" w:eastAsia="Arial" w:hAnsi="Arial"/>
                <w:sz w:val="17"/>
                <w:szCs w:val="17"/>
                <w:color w:val="auto"/>
              </w:rPr>
              <w:t>105.88</w:t>
            </w:r>
          </w:p>
        </w:tc>
        <w:tc>
          <w:tcPr>
            <w:tcW w:w="0" w:type="dxa"/>
            <w:vAlign w:val="bottom"/>
          </w:tcPr>
          <w:p>
            <w:pPr>
              <w:spacing w:after="0"/>
              <w:rPr>
                <w:sz w:val="1"/>
                <w:szCs w:val="1"/>
                <w:color w:val="auto"/>
              </w:rPr>
            </w:pPr>
          </w:p>
        </w:tc>
      </w:tr>
      <w:tr>
        <w:trPr>
          <w:trHeight w:val="25"/>
        </w:trPr>
        <w:tc>
          <w:tcPr>
            <w:tcW w:w="7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51.36</w:t>
            </w:r>
          </w:p>
        </w:tc>
        <w:tc>
          <w:tcPr>
            <w:tcW w:w="0" w:type="dxa"/>
            <w:vAlign w:val="bottom"/>
          </w:tcPr>
          <w:p>
            <w:pPr>
              <w:spacing w:after="0"/>
              <w:rPr>
                <w:sz w:val="1"/>
                <w:szCs w:val="1"/>
                <w:color w:val="auto"/>
              </w:rPr>
            </w:pPr>
          </w:p>
        </w:tc>
      </w:tr>
      <w:tr>
        <w:trPr>
          <w:trHeight w:val="224"/>
        </w:trPr>
        <w:tc>
          <w:tcPr>
            <w:tcW w:w="868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3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jc w:val="right"/>
              <w:ind w:right="2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7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December 31, 2019</w:t>
            </w:r>
          </w:p>
        </w:tc>
        <w:tc>
          <w:tcPr>
            <w:tcW w:w="15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105.88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both"/>
        <w:ind w:firstLine="597"/>
        <w:spacing w:after="0" w:line="277" w:lineRule="auto"/>
        <w:rPr>
          <w:sz w:val="20"/>
          <w:szCs w:val="20"/>
          <w:color w:val="auto"/>
        </w:rPr>
      </w:pPr>
      <w:r>
        <w:rPr>
          <w:rFonts w:ascii="Arial" w:cs="Arial" w:eastAsia="Arial" w:hAnsi="Arial"/>
          <w:sz w:val="16"/>
          <w:szCs w:val="16"/>
          <w:color w:val="auto"/>
        </w:rPr>
        <w:t>We have the right to repurchase any unvested RSAs subject to certain conditions. RSAs vest over a four-year period for employees and over a one-year period for non-employee directors. For the years ended December 31, 2019, 2018 and 2017, we recognized stock-based compensation expense for RSAs of $0.3 million, $0.3 million and $0.4 million, respectively. During 2019, the grant date fair value of the shares vested was $0.3 million.</w:t>
      </w:r>
    </w:p>
    <w:p>
      <w:pPr>
        <w:spacing w:after="0" w:line="59"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At December 31, 2019, the total remaining stock-based compensation expense for unvested RSAs was $0.4 million, which is expected to be recognized over a weighted average period of 0.8 years.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206"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For the year ended December 31, 2019, we recorded an income tax benefit of $31.5 million. During the second quarter of 2019, the Company evaluated all available positive and negative evidence, including the Company's sustained profitability in 2018 and 2019, the impact of recent acquisitions and future projections of profitability. As a result, the Company determined that all of its deferred tax assets were more likely than not to be realized and reversed the valuation allowance against those deferred tax assets accordingly.</w:t>
      </w:r>
    </w:p>
    <w:p>
      <w:pPr>
        <w:spacing w:after="0" w:line="180"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For the years ended December 31, 2018 and 2017, we recorded income tax expense of $420,000 and $58,000, respectively, associated with state taxes and the amortization of tax deductible goodwill that is not an available source of income to realize the deferred tax asset.</w:t>
      </w:r>
    </w:p>
    <w:p>
      <w:pPr>
        <w:spacing w:after="0" w:line="192" w:lineRule="exact"/>
        <w:rPr>
          <w:sz w:val="20"/>
          <w:szCs w:val="20"/>
          <w:color w:val="auto"/>
        </w:rPr>
      </w:pPr>
    </w:p>
    <w:p>
      <w:pPr>
        <w:jc w:val="both"/>
        <w:ind w:firstLine="597"/>
        <w:spacing w:after="0" w:line="301" w:lineRule="auto"/>
        <w:rPr>
          <w:sz w:val="20"/>
          <w:szCs w:val="20"/>
          <w:color w:val="auto"/>
        </w:rPr>
      </w:pPr>
      <w:r>
        <w:rPr>
          <w:rFonts w:ascii="Arial" w:cs="Arial" w:eastAsia="Arial" w:hAnsi="Arial"/>
          <w:sz w:val="17"/>
          <w:szCs w:val="17"/>
          <w:color w:val="auto"/>
        </w:rPr>
        <w:t>Our effective tax rate differs from the United States federal statutory rate of 21% primarily because, in years prior to 2019, our reported losses were offset by a valuation allowance due to uncertainty as to the realization of those losses while, in 2019, we released such valuation allowance. Set forth below is a reconciliation of the components that caused our provision for income taxes to differ from amounts computed by applying the United States federal statutory rate of 21% for the years ended December 31, 2019 and 2018, and 34% for the year ended December 31, 2017: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5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8"/>
          </w:tcPr>
          <w:p>
            <w:pPr>
              <w:ind w:left="80"/>
              <w:spacing w:after="0"/>
              <w:rPr>
                <w:sz w:val="20"/>
                <w:szCs w:val="20"/>
                <w:color w:val="auto"/>
              </w:rPr>
            </w:pPr>
            <w:r>
              <w:rPr>
                <w:rFonts w:ascii="Arial" w:cs="Arial" w:eastAsia="Arial" w:hAnsi="Arial"/>
                <w:sz w:val="13"/>
                <w:szCs w:val="13"/>
                <w:b w:val="1"/>
                <w:bCs w:val="1"/>
                <w:color w:val="auto"/>
                <w:w w:val="97"/>
              </w:rPr>
              <w:t>Year Ended December 31,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41"/>
        </w:trPr>
        <w:tc>
          <w:tcPr>
            <w:tcW w:w="3540" w:type="dxa"/>
            <w:vAlign w:val="bottom"/>
            <w:tcBorders>
              <w:bottom w:val="single" w:sz="8" w:color="CCEEFF"/>
            </w:tcBorders>
          </w:tcPr>
          <w:p>
            <w:pPr>
              <w:spacing w:after="0"/>
              <w:rPr>
                <w:sz w:val="20"/>
                <w:szCs w:val="20"/>
                <w:color w:val="auto"/>
              </w:rPr>
            </w:pPr>
          </w:p>
        </w:tc>
        <w:tc>
          <w:tcPr>
            <w:tcW w:w="3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2017</w:t>
            </w:r>
          </w:p>
        </w:tc>
      </w:tr>
      <w:tr>
        <w:trPr>
          <w:trHeight w:val="22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benefit at the statutory rate</w:t>
            </w:r>
          </w:p>
        </w:tc>
        <w:tc>
          <w:tcPr>
            <w:tcW w:w="3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34 %</w:t>
            </w:r>
          </w:p>
        </w:tc>
      </w:tr>
      <w:tr>
        <w:trPr>
          <w:trHeight w:val="224"/>
        </w:trPr>
        <w:tc>
          <w:tcPr>
            <w:tcW w:w="3540" w:type="dxa"/>
            <w:vAlign w:val="bottom"/>
          </w:tcPr>
          <w:p>
            <w:pPr>
              <w:ind w:left="20"/>
              <w:spacing w:after="0"/>
              <w:rPr>
                <w:sz w:val="20"/>
                <w:szCs w:val="20"/>
                <w:color w:val="auto"/>
              </w:rPr>
            </w:pPr>
            <w:r>
              <w:rPr>
                <w:rFonts w:ascii="Arial" w:cs="Arial" w:eastAsia="Arial" w:hAnsi="Arial"/>
                <w:sz w:val="17"/>
                <w:szCs w:val="17"/>
                <w:color w:val="auto"/>
                <w:w w:val="91"/>
              </w:rPr>
              <w:t>State and local income taxes, net of federal benefit</w:t>
            </w: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(14)</w:t>
            </w:r>
          </w:p>
        </w:tc>
      </w:tr>
      <w:tr>
        <w:trPr>
          <w:trHeight w:val="25"/>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Stock-based compensation expense</w:t>
            </w:r>
          </w:p>
        </w:tc>
        <w:tc>
          <w:tcPr>
            <w:tcW w:w="3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(88)</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(15)</w:t>
            </w:r>
          </w:p>
        </w:tc>
      </w:tr>
      <w:tr>
        <w:trPr>
          <w:trHeight w:val="224"/>
        </w:trPr>
        <w:tc>
          <w:tcPr>
            <w:tcW w:w="3540" w:type="dxa"/>
            <w:vAlign w:val="bottom"/>
          </w:tcPr>
          <w:p>
            <w:pPr>
              <w:ind w:left="20"/>
              <w:spacing w:after="0"/>
              <w:rPr>
                <w:sz w:val="20"/>
                <w:szCs w:val="20"/>
                <w:color w:val="auto"/>
              </w:rPr>
            </w:pPr>
            <w:r>
              <w:rPr>
                <w:rFonts w:ascii="Arial" w:cs="Arial" w:eastAsia="Arial" w:hAnsi="Arial"/>
                <w:sz w:val="17"/>
                <w:szCs w:val="17"/>
                <w:color w:val="auto"/>
              </w:rPr>
              <w:t>Meals and entertainment</w:t>
            </w: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19"/>
              <w:spacing w:after="0"/>
              <w:rPr>
                <w:sz w:val="20"/>
                <w:szCs w:val="20"/>
                <w:color w:val="auto"/>
              </w:rPr>
            </w:pPr>
            <w:r>
              <w:rPr>
                <w:rFonts w:ascii="Arial" w:cs="Arial" w:eastAsia="Arial" w:hAnsi="Arial"/>
                <w:sz w:val="17"/>
                <w:szCs w:val="17"/>
                <w:color w:val="auto"/>
              </w:rPr>
              <w:t>2</w:t>
            </w:r>
          </w:p>
        </w:tc>
      </w:tr>
      <w:tr>
        <w:trPr>
          <w:trHeight w:val="25"/>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valuation allowance</w:t>
            </w:r>
          </w:p>
        </w:tc>
        <w:tc>
          <w:tcPr>
            <w:tcW w:w="3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(475)</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(60)</w:t>
            </w:r>
          </w:p>
        </w:tc>
      </w:tr>
      <w:tr>
        <w:trPr>
          <w:trHeight w:val="224"/>
        </w:trPr>
        <w:tc>
          <w:tcPr>
            <w:tcW w:w="3540" w:type="dxa"/>
            <w:vAlign w:val="bottom"/>
          </w:tcPr>
          <w:p>
            <w:pPr>
              <w:ind w:left="20"/>
              <w:spacing w:after="0"/>
              <w:rPr>
                <w:sz w:val="20"/>
                <w:szCs w:val="20"/>
                <w:color w:val="auto"/>
              </w:rPr>
            </w:pPr>
            <w:r>
              <w:rPr>
                <w:rFonts w:ascii="Arial" w:cs="Arial" w:eastAsia="Arial" w:hAnsi="Arial"/>
                <w:sz w:val="17"/>
                <w:szCs w:val="17"/>
                <w:color w:val="auto"/>
              </w:rPr>
              <w:t>Change in federal rate</w:t>
            </w: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7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19"/>
              <w:spacing w:after="0"/>
              <w:rPr>
                <w:sz w:val="20"/>
                <w:szCs w:val="20"/>
                <w:color w:val="auto"/>
              </w:rPr>
            </w:pPr>
            <w:r>
              <w:rPr>
                <w:rFonts w:ascii="Arial" w:cs="Arial" w:eastAsia="Arial" w:hAnsi="Arial"/>
                <w:sz w:val="17"/>
                <w:szCs w:val="17"/>
                <w:color w:val="auto"/>
              </w:rPr>
              <w:t>74</w:t>
            </w:r>
          </w:p>
        </w:tc>
      </w:tr>
      <w:tr>
        <w:trPr>
          <w:trHeight w:val="25"/>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 tax credits</w:t>
            </w:r>
          </w:p>
        </w:tc>
        <w:tc>
          <w:tcPr>
            <w:tcW w:w="3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(20)</w:t>
            </w:r>
          </w:p>
        </w:tc>
      </w:tr>
      <w:tr>
        <w:trPr>
          <w:trHeight w:val="235"/>
        </w:trPr>
        <w:tc>
          <w:tcPr>
            <w:tcW w:w="3540" w:type="dxa"/>
            <w:vAlign w:val="bottom"/>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3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1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1 %</w:t>
            </w:r>
          </w:p>
        </w:tc>
      </w:tr>
      <w:tr>
        <w:trPr>
          <w:trHeight w:val="20"/>
        </w:trPr>
        <w:tc>
          <w:tcPr>
            <w:tcW w:w="35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81"/>
        </w:trPr>
        <w:tc>
          <w:tcPr>
            <w:tcW w:w="3540" w:type="dxa"/>
            <w:vAlign w:val="bottom"/>
          </w:tcPr>
          <w:p>
            <w:pPr>
              <w:spacing w:after="0"/>
              <w:rPr>
                <w:sz w:val="24"/>
                <w:szCs w:val="24"/>
                <w:color w:val="auto"/>
              </w:rPr>
            </w:pPr>
          </w:p>
        </w:tc>
        <w:tc>
          <w:tcPr>
            <w:tcW w:w="4900" w:type="dxa"/>
            <w:vAlign w:val="bottom"/>
            <w:gridSpan w:val="5"/>
          </w:tcPr>
          <w:p>
            <w:pPr>
              <w:jc w:val="right"/>
              <w:ind w:right="34"/>
              <w:spacing w:after="0"/>
              <w:rPr>
                <w:sz w:val="20"/>
                <w:szCs w:val="20"/>
                <w:color w:val="auto"/>
              </w:rPr>
            </w:pPr>
            <w:r>
              <w:rPr>
                <w:rFonts w:ascii="Arial" w:cs="Arial" w:eastAsia="Arial" w:hAnsi="Arial"/>
                <w:sz w:val="17"/>
                <w:szCs w:val="17"/>
                <w:color w:val="auto"/>
                <w:w w:val="92"/>
              </w:rPr>
              <w:t>The provision for income tax consists of the following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8"/>
        </w:trPr>
        <w:tc>
          <w:tcPr>
            <w:tcW w:w="3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ind w:left="100"/>
              <w:spacing w:after="0"/>
              <w:rPr>
                <w:sz w:val="20"/>
                <w:szCs w:val="20"/>
                <w:color w:val="auto"/>
              </w:rPr>
            </w:pPr>
            <w:r>
              <w:rPr>
                <w:rFonts w:ascii="Arial" w:cs="Arial" w:eastAsia="Arial" w:hAnsi="Arial"/>
                <w:sz w:val="13"/>
                <w:szCs w:val="13"/>
                <w:color w:val="auto"/>
                <w:w w:val="89"/>
              </w:rPr>
              <w:t>Year Ended December 31,</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41"/>
        </w:trPr>
        <w:tc>
          <w:tcPr>
            <w:tcW w:w="3540" w:type="dxa"/>
            <w:vAlign w:val="bottom"/>
            <w:tcBorders>
              <w:bottom w:val="single" w:sz="8" w:color="CCEEFF"/>
            </w:tcBorders>
          </w:tcPr>
          <w:p>
            <w:pPr>
              <w:spacing w:after="0"/>
              <w:rPr>
                <w:sz w:val="20"/>
                <w:szCs w:val="20"/>
                <w:color w:val="auto"/>
              </w:rPr>
            </w:pPr>
          </w:p>
        </w:tc>
        <w:tc>
          <w:tcPr>
            <w:tcW w:w="33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2017</w:t>
            </w:r>
          </w:p>
        </w:tc>
      </w:tr>
      <w:tr>
        <w:trPr>
          <w:trHeight w:val="22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3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24"/>
        </w:trPr>
        <w:tc>
          <w:tcPr>
            <w:tcW w:w="3540" w:type="dxa"/>
            <w:vAlign w:val="bottom"/>
          </w:tcPr>
          <w:p>
            <w:pPr>
              <w:ind w:left="320"/>
              <w:spacing w:after="0"/>
              <w:rPr>
                <w:sz w:val="20"/>
                <w:szCs w:val="20"/>
                <w:color w:val="auto"/>
              </w:rPr>
            </w:pPr>
            <w:r>
              <w:rPr>
                <w:rFonts w:ascii="Arial" w:cs="Arial" w:eastAsia="Arial" w:hAnsi="Arial"/>
                <w:sz w:val="17"/>
                <w:szCs w:val="17"/>
                <w:color w:val="auto"/>
              </w:rPr>
              <w:t>Federal</w:t>
            </w:r>
          </w:p>
        </w:tc>
        <w:tc>
          <w:tcPr>
            <w:tcW w:w="37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5"/>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3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State and local</w:t>
            </w:r>
          </w:p>
        </w:tc>
        <w:tc>
          <w:tcPr>
            <w:tcW w:w="3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53</w:t>
            </w:r>
          </w:p>
        </w:tc>
      </w:tr>
      <w:tr>
        <w:trPr>
          <w:trHeight w:val="217"/>
        </w:trPr>
        <w:tc>
          <w:tcPr>
            <w:tcW w:w="354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(15)</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339</w:t>
            </w: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53</w:t>
            </w:r>
          </w:p>
        </w:tc>
      </w:tr>
      <w:tr>
        <w:trPr>
          <w:trHeight w:val="25"/>
        </w:trPr>
        <w:tc>
          <w:tcPr>
            <w:tcW w:w="354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1"/>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3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24"/>
        </w:trPr>
        <w:tc>
          <w:tcPr>
            <w:tcW w:w="3540" w:type="dxa"/>
            <w:vAlign w:val="bottom"/>
          </w:tcPr>
          <w:p>
            <w:pPr>
              <w:ind w:left="320"/>
              <w:spacing w:after="0"/>
              <w:rPr>
                <w:sz w:val="20"/>
                <w:szCs w:val="20"/>
                <w:color w:val="auto"/>
              </w:rPr>
            </w:pPr>
            <w:r>
              <w:rPr>
                <w:rFonts w:ascii="Arial" w:cs="Arial" w:eastAsia="Arial" w:hAnsi="Arial"/>
                <w:sz w:val="17"/>
                <w:szCs w:val="17"/>
                <w:color w:val="auto"/>
              </w:rPr>
              <w:t>Federal</w:t>
            </w: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(18,761)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3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State and local</w:t>
            </w:r>
          </w:p>
        </w:tc>
        <w:tc>
          <w:tcPr>
            <w:tcW w:w="3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(12,683)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w:t>
            </w:r>
          </w:p>
        </w:tc>
      </w:tr>
      <w:tr>
        <w:trPr>
          <w:trHeight w:val="217"/>
        </w:trPr>
        <w:tc>
          <w:tcPr>
            <w:tcW w:w="3540" w:type="dxa"/>
            <w:vAlign w:val="bottom"/>
          </w:tcPr>
          <w:p>
            <w:pPr>
              <w:ind w:left="20"/>
              <w:spacing w:after="0"/>
              <w:rPr>
                <w:sz w:val="20"/>
                <w:szCs w:val="20"/>
                <w:color w:val="auto"/>
              </w:rPr>
            </w:pPr>
            <w:r>
              <w:rPr>
                <w:rFonts w:ascii="Arial" w:cs="Arial" w:eastAsia="Arial" w:hAnsi="Arial"/>
                <w:sz w:val="17"/>
                <w:szCs w:val="17"/>
                <w:color w:val="auto"/>
              </w:rPr>
              <w:t>Deferred income tax (benefit) expense</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(31,444)</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5</w:t>
            </w:r>
          </w:p>
        </w:tc>
      </w:tr>
      <w:tr>
        <w:trPr>
          <w:trHeight w:val="25"/>
        </w:trPr>
        <w:tc>
          <w:tcPr>
            <w:tcW w:w="354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5"/>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income tax provision (benefit)</w:t>
            </w:r>
          </w:p>
        </w:tc>
        <w:tc>
          <w:tcPr>
            <w:tcW w:w="37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(31,459)</w:t>
            </w:r>
          </w:p>
        </w:tc>
        <w:tc>
          <w:tcPr>
            <w:tcW w:w="42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58</w:t>
            </w:r>
          </w:p>
        </w:tc>
      </w:tr>
      <w:tr>
        <w:trPr>
          <w:trHeight w:val="20"/>
        </w:trPr>
        <w:tc>
          <w:tcPr>
            <w:tcW w:w="708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780"/>
        </w:trPr>
        <w:tc>
          <w:tcPr>
            <w:tcW w:w="7320" w:type="dxa"/>
            <w:vAlign w:val="bottom"/>
            <w:gridSpan w:val="4"/>
          </w:tcPr>
          <w:p>
            <w:pPr>
              <w:ind w:left="600"/>
              <w:spacing w:after="0"/>
              <w:rPr>
                <w:sz w:val="20"/>
                <w:szCs w:val="20"/>
                <w:color w:val="auto"/>
              </w:rPr>
            </w:pPr>
            <w:r>
              <w:rPr>
                <w:rFonts w:ascii="Arial" w:cs="Arial" w:eastAsia="Arial" w:hAnsi="Arial"/>
                <w:sz w:val="17"/>
                <w:szCs w:val="17"/>
                <w:color w:val="auto"/>
              </w:rPr>
              <w:t>The components of deferred tax assets (liabilities) were as follows (in thousands):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8"/>
        </w:trPr>
        <w:tc>
          <w:tcPr>
            <w:tcW w:w="3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41"/>
        </w:trPr>
        <w:tc>
          <w:tcPr>
            <w:tcW w:w="3540" w:type="dxa"/>
            <w:vAlign w:val="bottom"/>
            <w:tcBorders>
              <w:bottom w:val="single" w:sz="8" w:color="CCEEFF"/>
            </w:tcBorders>
          </w:tcPr>
          <w:p>
            <w:pPr>
              <w:spacing w:after="0"/>
              <w:rPr>
                <w:sz w:val="20"/>
                <w:szCs w:val="20"/>
                <w:color w:val="auto"/>
              </w:rPr>
            </w:pPr>
          </w:p>
        </w:tc>
        <w:tc>
          <w:tcPr>
            <w:tcW w:w="33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2018</w:t>
            </w:r>
          </w:p>
        </w:tc>
      </w:tr>
      <w:tr>
        <w:trPr>
          <w:trHeight w:val="22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income tax assets:</w:t>
            </w:r>
          </w:p>
        </w:tc>
        <w:tc>
          <w:tcPr>
            <w:tcW w:w="3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24"/>
        </w:trPr>
        <w:tc>
          <w:tcPr>
            <w:tcW w:w="3540" w:type="dxa"/>
            <w:vAlign w:val="bottom"/>
          </w:tcPr>
          <w:p>
            <w:pPr>
              <w:ind w:left="20"/>
              <w:spacing w:after="0"/>
              <w:rPr>
                <w:sz w:val="20"/>
                <w:szCs w:val="20"/>
                <w:color w:val="auto"/>
              </w:rPr>
            </w:pPr>
            <w:r>
              <w:rPr>
                <w:rFonts w:ascii="Arial" w:cs="Arial" w:eastAsia="Arial" w:hAnsi="Arial"/>
                <w:sz w:val="17"/>
                <w:szCs w:val="17"/>
                <w:color w:val="auto"/>
              </w:rPr>
              <w:t>Net operating loss carryforwards</w:t>
            </w: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22,525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15,675</w:t>
            </w:r>
          </w:p>
        </w:tc>
      </w:tr>
      <w:tr>
        <w:trPr>
          <w:trHeight w:val="25"/>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 tax credits</w:t>
            </w:r>
          </w:p>
        </w:tc>
        <w:tc>
          <w:tcPr>
            <w:tcW w:w="3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17,700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11,907</w:t>
            </w:r>
          </w:p>
        </w:tc>
      </w:tr>
      <w:tr>
        <w:trPr>
          <w:trHeight w:val="224"/>
        </w:trPr>
        <w:tc>
          <w:tcPr>
            <w:tcW w:w="354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143</w:t>
            </w:r>
          </w:p>
        </w:tc>
      </w:tr>
      <w:tr>
        <w:trPr>
          <w:trHeight w:val="25"/>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9"/>
        </w:trPr>
        <w:tc>
          <w:tcPr>
            <w:tcW w:w="354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736" w:right="239" w:bottom="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2,895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2,203</w:t>
            </w:r>
          </w:p>
        </w:tc>
      </w:tr>
      <w:tr>
        <w:trPr>
          <w:trHeight w:val="224"/>
        </w:trPr>
        <w:tc>
          <w:tcPr>
            <w:tcW w:w="8580" w:type="dxa"/>
            <w:vAlign w:val="bottom"/>
          </w:tcPr>
          <w:p>
            <w:pPr>
              <w:ind w:left="20"/>
              <w:spacing w:after="0"/>
              <w:rPr>
                <w:sz w:val="20"/>
                <w:szCs w:val="20"/>
                <w:color w:val="auto"/>
              </w:rPr>
            </w:pPr>
            <w:r>
              <w:rPr>
                <w:rFonts w:ascii="Arial" w:cs="Arial" w:eastAsia="Arial" w:hAnsi="Arial"/>
                <w:sz w:val="17"/>
                <w:szCs w:val="17"/>
                <w:color w:val="auto"/>
              </w:rPr>
              <w:t>Lease asset</w:t>
            </w:r>
          </w:p>
        </w:tc>
        <w:tc>
          <w:tcPr>
            <w:tcW w:w="440" w:type="dxa"/>
            <w:vAlign w:val="bottom"/>
          </w:tcPr>
          <w:p>
            <w:pPr>
              <w:spacing w:after="0"/>
              <w:rPr>
                <w:sz w:val="19"/>
                <w:szCs w:val="19"/>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8,291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9"/>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1,692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2,878</w:t>
            </w:r>
          </w:p>
        </w:tc>
      </w:tr>
      <w:tr>
        <w:trPr>
          <w:trHeight w:val="217"/>
        </w:trPr>
        <w:tc>
          <w:tcPr>
            <w:tcW w:w="8580" w:type="dxa"/>
            <w:vAlign w:val="bottom"/>
          </w:tcPr>
          <w:p>
            <w:pPr>
              <w:ind w:left="20"/>
              <w:spacing w:after="0"/>
              <w:rPr>
                <w:sz w:val="20"/>
                <w:szCs w:val="20"/>
                <w:color w:val="auto"/>
              </w:rPr>
            </w:pPr>
            <w:r>
              <w:rPr>
                <w:rFonts w:ascii="Arial" w:cs="Arial" w:eastAsia="Arial" w:hAnsi="Arial"/>
                <w:sz w:val="17"/>
                <w:szCs w:val="17"/>
                <w:color w:val="auto"/>
              </w:rPr>
              <w:t>Gross deferred tax assets</w:t>
            </w: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53,103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32,806</w:t>
            </w:r>
          </w:p>
        </w:tc>
      </w:tr>
      <w:tr>
        <w:trPr>
          <w:trHeight w:val="25"/>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9"/>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(23,002)</w:t>
            </w:r>
          </w:p>
        </w:tc>
      </w:tr>
      <w:tr>
        <w:trPr>
          <w:trHeight w:val="217"/>
        </w:trPr>
        <w:tc>
          <w:tcPr>
            <w:tcW w:w="8580" w:type="dxa"/>
            <w:vAlign w:val="bottom"/>
          </w:tcPr>
          <w:p>
            <w:pPr>
              <w:ind w:left="20"/>
              <w:spacing w:after="0"/>
              <w:rPr>
                <w:sz w:val="20"/>
                <w:szCs w:val="20"/>
                <w:color w:val="auto"/>
              </w:rPr>
            </w:pPr>
            <w:r>
              <w:rPr>
                <w:rFonts w:ascii="Arial" w:cs="Arial" w:eastAsia="Arial" w:hAnsi="Arial"/>
                <w:sz w:val="17"/>
                <w:szCs w:val="17"/>
                <w:color w:val="auto"/>
              </w:rPr>
              <w:t>Deferred tax assets, net of valuation allowance</w:t>
            </w: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53,103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9,804</w:t>
            </w:r>
          </w:p>
        </w:tc>
      </w:tr>
      <w:tr>
        <w:trPr>
          <w:trHeight w:val="25"/>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4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24"/>
        </w:trPr>
        <w:tc>
          <w:tcPr>
            <w:tcW w:w="8580" w:type="dxa"/>
            <w:vAlign w:val="bottom"/>
          </w:tcPr>
          <w:p>
            <w:pPr>
              <w:ind w:left="20"/>
              <w:spacing w:after="0"/>
              <w:rPr>
                <w:sz w:val="20"/>
                <w:szCs w:val="20"/>
                <w:color w:val="auto"/>
              </w:rPr>
            </w:pPr>
            <w:r>
              <w:rPr>
                <w:rFonts w:ascii="Arial" w:cs="Arial" w:eastAsia="Arial" w:hAnsi="Arial"/>
                <w:sz w:val="17"/>
                <w:szCs w:val="17"/>
                <w:color w:val="auto"/>
              </w:rPr>
              <w:t>Property, equipment and software</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(7,965)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(5,464)</w:t>
            </w:r>
          </w:p>
        </w:tc>
      </w:tr>
      <w:tr>
        <w:trPr>
          <w:trHeight w:val="25"/>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4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24"/>
        </w:trPr>
        <w:tc>
          <w:tcPr>
            <w:tcW w:w="8580" w:type="dxa"/>
            <w:vAlign w:val="bottom"/>
          </w:tcPr>
          <w:p>
            <w:pPr>
              <w:ind w:left="20"/>
              <w:spacing w:after="0"/>
              <w:rPr>
                <w:sz w:val="20"/>
                <w:szCs w:val="20"/>
                <w:color w:val="auto"/>
              </w:rPr>
            </w:pPr>
            <w:r>
              <w:rPr>
                <w:rFonts w:ascii="Arial" w:cs="Arial" w:eastAsia="Arial" w:hAnsi="Arial"/>
                <w:sz w:val="17"/>
                <w:szCs w:val="17"/>
                <w:color w:val="auto"/>
              </w:rPr>
              <w:t>Capitalized commissions</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(1,825)</w:t>
            </w:r>
          </w:p>
        </w:tc>
      </w:tr>
      <w:tr>
        <w:trPr>
          <w:trHeight w:val="25"/>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State taxes</w:t>
            </w:r>
          </w:p>
        </w:tc>
        <w:tc>
          <w:tcPr>
            <w:tcW w:w="4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(1,935)</w:t>
            </w:r>
          </w:p>
        </w:tc>
      </w:tr>
      <w:tr>
        <w:trPr>
          <w:trHeight w:val="224"/>
        </w:trPr>
        <w:tc>
          <w:tcPr>
            <w:tcW w:w="8580" w:type="dxa"/>
            <w:vAlign w:val="bottom"/>
          </w:tcPr>
          <w:p>
            <w:pPr>
              <w:ind w:left="20"/>
              <w:spacing w:after="0"/>
              <w:rPr>
                <w:sz w:val="20"/>
                <w:szCs w:val="20"/>
                <w:color w:val="auto"/>
              </w:rPr>
            </w:pPr>
            <w:r>
              <w:rPr>
                <w:rFonts w:ascii="Arial" w:cs="Arial" w:eastAsia="Arial" w:hAnsi="Arial"/>
                <w:sz w:val="17"/>
                <w:szCs w:val="17"/>
                <w:color w:val="auto"/>
              </w:rPr>
              <w:t>Lease liability</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(7,152)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9"/>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(739)</w:t>
            </w:r>
          </w:p>
        </w:tc>
      </w:tr>
      <w:tr>
        <w:trPr>
          <w:trHeight w:val="217"/>
        </w:trPr>
        <w:tc>
          <w:tcPr>
            <w:tcW w:w="8580" w:type="dxa"/>
            <w:vAlign w:val="bottom"/>
          </w:tcPr>
          <w:p>
            <w:pPr>
              <w:ind w:left="20"/>
              <w:spacing w:after="0"/>
              <w:rPr>
                <w:sz w:val="20"/>
                <w:szCs w:val="20"/>
                <w:color w:val="auto"/>
              </w:rPr>
            </w:pPr>
            <w:r>
              <w:rPr>
                <w:rFonts w:ascii="Arial" w:cs="Arial" w:eastAsia="Arial" w:hAnsi="Arial"/>
                <w:sz w:val="17"/>
                <w:szCs w:val="17"/>
                <w:color w:val="auto"/>
              </w:rPr>
              <w:t>Total deferred tax liabilities</w:t>
            </w: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(25,529)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(9,963)</w:t>
            </w:r>
          </w:p>
        </w:tc>
      </w:tr>
      <w:tr>
        <w:trPr>
          <w:trHeight w:val="25"/>
        </w:trPr>
        <w:tc>
          <w:tcPr>
            <w:tcW w:w="8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net deferred tax assets (liabilities)</w:t>
            </w: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27,574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w:t>
            </w:r>
          </w:p>
        </w:tc>
      </w:tr>
      <w:tr>
        <w:trPr>
          <w:trHeight w:val="20"/>
        </w:trPr>
        <w:tc>
          <w:tcPr>
            <w:tcW w:w="8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At December 31, 2019, we had federal net operating loss carryforwards of $82.1 million, which will begin to expire in 2031. At December 31, 2019, we had state net operating loss carryforwards of $65.9 million, which will begin to expire in 2028. At December 31, 2019, we also had federal and state research and development credit carryforwards of $11.4 million and $10.8 million, respectively. The federal credit carryforwards will begin to expire in 2027, while the majority of state credits carryforwards apply indefinitely.</w:t>
      </w:r>
    </w:p>
    <w:p>
      <w:pPr>
        <w:spacing w:after="0" w:line="180"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5"/>
          <w:szCs w:val="15"/>
          <w:color w:val="auto"/>
        </w:rPr>
        <w:t>The Internal Revenue Code of 1986, as amended (“IRC”), imposes substantial restrictions on the utilization of NOLs and other tax attributes in the event of an “ownership change” of a corporation. Accordingly, a company’s ability to use pre-change NOLs may be limited as prescribed under IRC Section 382. Events which may cause limitation in the amount of the NOLs and credits that we utilize in any one year include, but are not limited to, a cumulative ownership change of more than 50% over a rolling three-year period. We have undertaken an NOL/382 analysis and have determined that there are no limitations on the NOL carryforwards at December 31, 2019.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140" w:right="239" w:bottom="1440" w:gutter="0" w:footer="0" w:header="0"/>
        </w:sectPr>
      </w:pPr>
    </w:p>
    <w:bookmarkStart w:id="90" w:name="page91"/>
    <w:bookmarkEnd w:id="90"/>
    <w:p>
      <w:pPr>
        <w:ind w:left="600"/>
        <w:spacing w:after="0"/>
        <w:rPr>
          <w:sz w:val="20"/>
          <w:szCs w:val="20"/>
          <w:color w:val="auto"/>
        </w:rPr>
      </w:pPr>
      <w:r>
        <w:rPr>
          <w:rFonts w:ascii="Arial" w:cs="Arial" w:eastAsia="Arial" w:hAnsi="Arial"/>
          <w:sz w:val="17"/>
          <w:szCs w:val="17"/>
          <w:color w:val="auto"/>
        </w:rPr>
        <w:t>The change in the valuation allowance for the years ended December 31, 2019, 2018 and 2017 was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41"/>
        </w:trPr>
        <w:tc>
          <w:tcPr>
            <w:tcW w:w="70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2017</w:t>
            </w:r>
          </w:p>
        </w:tc>
      </w:tr>
      <w:tr>
        <w:trPr>
          <w:trHeight w:val="22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Valuation allowance, at beginning of year</w:t>
            </w: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23,002</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23,827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29,417</w:t>
            </w:r>
          </w:p>
        </w:tc>
      </w:tr>
      <w:tr>
        <w:trPr>
          <w:trHeight w:val="224"/>
        </w:trPr>
        <w:tc>
          <w:tcPr>
            <w:tcW w:w="7080" w:type="dxa"/>
            <w:vAlign w:val="bottom"/>
          </w:tcPr>
          <w:p>
            <w:pPr>
              <w:ind w:left="20"/>
              <w:spacing w:after="0"/>
              <w:rPr>
                <w:sz w:val="20"/>
                <w:szCs w:val="20"/>
                <w:color w:val="auto"/>
              </w:rPr>
            </w:pPr>
            <w:r>
              <w:rPr>
                <w:rFonts w:ascii="Arial" w:cs="Arial" w:eastAsia="Arial" w:hAnsi="Arial"/>
                <w:sz w:val="17"/>
                <w:szCs w:val="17"/>
                <w:color w:val="auto"/>
              </w:rPr>
              <w:t>Decrease in valuation allowance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(23,002)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(5,590)</w:t>
            </w:r>
          </w:p>
        </w:tc>
      </w:tr>
      <w:tr>
        <w:trPr>
          <w:trHeight w:val="25"/>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5"/>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 at end of year</w:t>
            </w: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23,002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23,827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is a reconciliation of the total amounts of unrecognized tax benefits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0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41"/>
        </w:trPr>
        <w:tc>
          <w:tcPr>
            <w:tcW w:w="70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2017</w:t>
            </w:r>
          </w:p>
        </w:tc>
      </w:tr>
      <w:tr>
        <w:trPr>
          <w:trHeight w:val="22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Unrecognized tax benefit beginning of year</w:t>
            </w:r>
          </w:p>
        </w:tc>
        <w:tc>
          <w:tcPr>
            <w:tcW w:w="88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9"/>
              </w:rPr>
              <w:t>2,977</w:t>
            </w:r>
          </w:p>
        </w:tc>
        <w:tc>
          <w:tcPr>
            <w:tcW w:w="46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2,105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4,032</w:t>
            </w:r>
          </w:p>
        </w:tc>
      </w:tr>
      <w:tr>
        <w:trPr>
          <w:trHeight w:val="224"/>
        </w:trPr>
        <w:tc>
          <w:tcPr>
            <w:tcW w:w="7080" w:type="dxa"/>
            <w:vAlign w:val="bottom"/>
          </w:tcPr>
          <w:p>
            <w:pPr>
              <w:ind w:left="20"/>
              <w:spacing w:after="0"/>
              <w:rPr>
                <w:sz w:val="20"/>
                <w:szCs w:val="20"/>
                <w:color w:val="auto"/>
              </w:rPr>
            </w:pPr>
            <w:r>
              <w:rPr>
                <w:rFonts w:ascii="Arial" w:cs="Arial" w:eastAsia="Arial" w:hAnsi="Arial"/>
                <w:sz w:val="17"/>
                <w:szCs w:val="17"/>
                <w:color w:val="auto"/>
              </w:rPr>
              <w:t>Decreases-tax positions in prior year</w:t>
            </w:r>
          </w:p>
        </w:tc>
        <w:tc>
          <w:tcPr>
            <w:tcW w:w="880" w:type="dxa"/>
            <w:vAlign w:val="bottom"/>
          </w:tcPr>
          <w:p>
            <w:pPr>
              <w:spacing w:after="0"/>
              <w:rPr>
                <w:sz w:val="19"/>
                <w:szCs w:val="19"/>
                <w:color w:val="auto"/>
              </w:rPr>
            </w:pPr>
          </w:p>
        </w:tc>
        <w:tc>
          <w:tcPr>
            <w:tcW w:w="5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(2,210)</w:t>
            </w:r>
          </w:p>
        </w:tc>
      </w:tr>
      <w:tr>
        <w:trPr>
          <w:trHeight w:val="25"/>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Increases-tax positions in current year</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9"/>
              </w:rPr>
              <w:t>1,444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283</w:t>
            </w:r>
          </w:p>
        </w:tc>
      </w:tr>
      <w:tr>
        <w:trPr>
          <w:trHeight w:val="235"/>
        </w:trPr>
        <w:tc>
          <w:tcPr>
            <w:tcW w:w="7080" w:type="dxa"/>
            <w:vAlign w:val="bottom"/>
          </w:tcPr>
          <w:p>
            <w:pPr>
              <w:ind w:left="20"/>
              <w:spacing w:after="0"/>
              <w:rPr>
                <w:sz w:val="20"/>
                <w:szCs w:val="20"/>
                <w:color w:val="auto"/>
              </w:rPr>
            </w:pPr>
            <w:r>
              <w:rPr>
                <w:rFonts w:ascii="Arial" w:cs="Arial" w:eastAsia="Arial" w:hAnsi="Arial"/>
                <w:sz w:val="17"/>
                <w:szCs w:val="17"/>
                <w:color w:val="auto"/>
              </w:rPr>
              <w:t>Unrecognized tax benefit end of year</w:t>
            </w:r>
          </w:p>
        </w:tc>
        <w:tc>
          <w:tcPr>
            <w:tcW w:w="88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9"/>
              </w:rPr>
              <w:t>4,421</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2,977</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2,105</w:t>
            </w: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unrecognized tax benefits are recorded as a reduction to the deferred tax assets.</w:t>
      </w:r>
    </w:p>
    <w:p>
      <w:pPr>
        <w:spacing w:after="0" w:line="103"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At December 31, 2019 and 2018, we had no accrued interest and penalties related to uncertain income tax positions. We do not anticipate that the amount of unrecognized tax benefits will significantly increase or decrease within the next twelve months.</w:t>
      </w:r>
    </w:p>
    <w:p>
      <w:pPr>
        <w:spacing w:after="0" w:line="67" w:lineRule="exact"/>
        <w:rPr>
          <w:sz w:val="20"/>
          <w:szCs w:val="20"/>
          <w:color w:val="auto"/>
        </w:rPr>
      </w:pPr>
    </w:p>
    <w:p>
      <w:pPr>
        <w:jc w:val="both"/>
        <w:ind w:firstLine="597"/>
        <w:spacing w:after="0" w:line="295" w:lineRule="auto"/>
        <w:rPr>
          <w:sz w:val="20"/>
          <w:szCs w:val="20"/>
          <w:color w:val="auto"/>
        </w:rPr>
      </w:pPr>
      <w:r>
        <w:rPr>
          <w:rFonts w:ascii="Arial" w:cs="Arial" w:eastAsia="Arial" w:hAnsi="Arial"/>
          <w:sz w:val="16"/>
          <w:szCs w:val="16"/>
          <w:color w:val="auto"/>
        </w:rPr>
        <w:t>We are subject to taxation in the United States and various states. Due to the net operating loss carryforwards, our federal and state returns are open to examination by the Internal Revenue Service and state jurisdictions for all years since inception. We are not currently under audit by any taxing authorities.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774" w:right="2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auto"/>
        </w:rPr>
        <w:t>14. Revenue and Other Information</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our revenue categories for the years ended December 31, 2019, 2018 and 2017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ind w:left="60"/>
              <w:spacing w:after="0"/>
              <w:rPr>
                <w:sz w:val="20"/>
                <w:szCs w:val="20"/>
                <w:color w:val="auto"/>
              </w:rPr>
            </w:pPr>
            <w:r>
              <w:rPr>
                <w:rFonts w:ascii="Arial" w:cs="Arial" w:eastAsia="Arial" w:hAnsi="Arial"/>
                <w:sz w:val="13"/>
                <w:szCs w:val="13"/>
                <w:b w:val="1"/>
                <w:bCs w:val="1"/>
                <w:color w:val="auto"/>
                <w:w w:val="91"/>
              </w:rPr>
              <w:t>Year Ended December 31,</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41"/>
        </w:trPr>
        <w:tc>
          <w:tcPr>
            <w:tcW w:w="74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2017</w:t>
            </w:r>
          </w:p>
        </w:tc>
      </w:tr>
      <w:tr>
        <w:trPr>
          <w:trHeight w:val="226"/>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Core solutions</w:t>
            </w: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88,581</w:t>
            </w:r>
          </w:p>
        </w:tc>
        <w:tc>
          <w:tcPr>
            <w:tcW w:w="46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70,549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57,132</w:t>
            </w:r>
          </w:p>
        </w:tc>
      </w:tr>
      <w:tr>
        <w:trPr>
          <w:trHeight w:val="224"/>
        </w:trPr>
        <w:tc>
          <w:tcPr>
            <w:tcW w:w="7440" w:type="dxa"/>
            <w:vAlign w:val="bottom"/>
          </w:tcPr>
          <w:p>
            <w:pPr>
              <w:ind w:left="20"/>
              <w:spacing w:after="0"/>
              <w:rPr>
                <w:sz w:val="20"/>
                <w:szCs w:val="20"/>
                <w:color w:val="auto"/>
              </w:rPr>
            </w:pPr>
            <w:r>
              <w:rPr>
                <w:rFonts w:ascii="Arial" w:cs="Arial" w:eastAsia="Arial" w:hAnsi="Arial"/>
                <w:sz w:val="17"/>
                <w:szCs w:val="17"/>
                <w:color w:val="auto"/>
              </w:rPr>
              <w:t>Value+ services</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153,994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7"/>
                <w:szCs w:val="17"/>
                <w:color w:val="auto"/>
              </w:rPr>
              <w:t>113,072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7"/>
                <w:szCs w:val="17"/>
                <w:color w:val="auto"/>
              </w:rPr>
              <w:t>80,847</w:t>
            </w:r>
          </w:p>
        </w:tc>
      </w:tr>
      <w:tr>
        <w:trPr>
          <w:trHeight w:val="25"/>
        </w:trPr>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13,437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6,450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5,824</w:t>
            </w:r>
          </w:p>
        </w:tc>
      </w:tr>
      <w:tr>
        <w:trPr>
          <w:trHeight w:val="217"/>
        </w:trPr>
        <w:tc>
          <w:tcPr>
            <w:tcW w:w="744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32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256,012</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190,071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143,803</w:t>
            </w:r>
          </w:p>
        </w:tc>
      </w:tr>
      <w:tr>
        <w:trPr>
          <w:trHeight w:val="25"/>
        </w:trPr>
        <w:tc>
          <w:tcPr>
            <w:tcW w:w="7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revenue is generated primarily from United States customers. All of our property and equipment is located in the United States.</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Retirement Plans</w:t>
      </w:r>
    </w:p>
    <w:p>
      <w:pPr>
        <w:spacing w:after="0" w:line="107"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We have a 401(k) retirement and savings plan made available to all employees. The 401(k) plan allows each participant to contribute up to an amount not to exceed an annual statutory maximum. We may, at our discretion, make matching contributions to the 401(k) plan. Cash contributions to the plan were $2.5 million, $1.6 million and $0.8 million, for the years ended December 31, 2019, 2018 and 2017, respectively.</w:t>
      </w:r>
    </w:p>
    <w:p>
      <w:pPr>
        <w:spacing w:after="0" w:line="171"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02" w:lineRule="exact"/>
        <w:rPr>
          <w:sz w:val="20"/>
          <w:szCs w:val="20"/>
          <w:color w:val="auto"/>
        </w:rPr>
      </w:pPr>
    </w:p>
    <w:p>
      <w:pPr>
        <w:jc w:val="both"/>
        <w:ind w:firstLine="597"/>
        <w:spacing w:after="0" w:line="265" w:lineRule="auto"/>
        <w:rPr>
          <w:sz w:val="20"/>
          <w:szCs w:val="20"/>
          <w:color w:val="auto"/>
        </w:rPr>
      </w:pPr>
      <w:r>
        <w:rPr>
          <w:rFonts w:ascii="Arial" w:cs="Arial" w:eastAsia="Arial" w:hAnsi="Arial"/>
          <w:sz w:val="16"/>
          <w:szCs w:val="16"/>
          <w:color w:val="auto"/>
        </w:rPr>
        <w:t>Our management, with the supervision and participation of our principal executive officer and principal financial officer, evaluated the effectiveness of our disclosure controls and procedures at December 31, 2019, the last day of the period covered by this Annual Report. Disclosure controls and procedures include, without limitation, controls and other procedures designed to provide reasonable assurance that information required to be disclosed by a company in the reports that it files or submits under the Exchange Act is recorded, processed, summarized and reported within the time periods specified by the SEC’s rules and forms and that such information is accumulated and communicated to its management, including its principal executive officer and principal financial officer, as appropriate, to allow timely decisions regarding required disclosure. Based on our management's evaluation, our principal executive officer and principal financial officer have concluded that, at December 31, 2019, our disclosure controls and procedures were effective at the reasonable assurance level.</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240" w:lineRule="exact"/>
        <w:rPr>
          <w:sz w:val="20"/>
          <w:szCs w:val="20"/>
          <w:color w:val="auto"/>
        </w:rPr>
      </w:pPr>
    </w:p>
    <w:p>
      <w:pPr>
        <w:jc w:val="both"/>
        <w:ind w:firstLine="597"/>
        <w:spacing w:after="0" w:line="287"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55"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5"/>
          <w:szCs w:val="15"/>
          <w:color w:val="auto"/>
        </w:rPr>
        <w:t xml:space="preserve">As of December 31, 2019, our management assessed the effectiveness of our internal control over financial reporting using the criteria set forth in the </w:t>
      </w:r>
      <w:r>
        <w:rPr>
          <w:rFonts w:ascii="Arial" w:cs="Arial" w:eastAsia="Arial" w:hAnsi="Arial"/>
          <w:sz w:val="15"/>
          <w:szCs w:val="15"/>
          <w:i w:val="1"/>
          <w:iCs w:val="1"/>
          <w:color w:val="auto"/>
        </w:rPr>
        <w:t>Internal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Control – Integrated Framework </w:t>
      </w:r>
      <w:r>
        <w:rPr>
          <w:rFonts w:ascii="Arial" w:cs="Arial" w:eastAsia="Arial" w:hAnsi="Arial"/>
          <w:sz w:val="15"/>
          <w:szCs w:val="15"/>
          <w:color w:val="auto"/>
        </w:rPr>
        <w:t>(2013) as issued by the Committee of Sponsoring Organizations (COSO) of the Treadway Commission. We have excluded Dynasty from</w:t>
      </w:r>
      <w:r>
        <w:rPr>
          <w:rFonts w:ascii="Arial" w:cs="Arial" w:eastAsia="Arial" w:hAnsi="Arial"/>
          <w:sz w:val="15"/>
          <w:szCs w:val="15"/>
          <w:i w:val="1"/>
          <w:iCs w:val="1"/>
          <w:color w:val="auto"/>
        </w:rPr>
        <w:t xml:space="preserve"> </w:t>
      </w:r>
      <w:r>
        <w:rPr>
          <w:rFonts w:ascii="Arial" w:cs="Arial" w:eastAsia="Arial" w:hAnsi="Arial"/>
          <w:sz w:val="15"/>
          <w:szCs w:val="15"/>
          <w:color w:val="auto"/>
        </w:rPr>
        <w:t>our assessment of internal control over financial reporting because it was acquired in a business combination during the year ended December 31, 2019. Dynasty constituted 1% of total assets and 1% of total revenue as of and for the year ending December 31, 2019. Based on our evaluation under the COSO criteria, our management concluded that our internal control over financial reporting was effective at the reasonable assurance level as of December 31, 2019.</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869" w:right="239" w:bottom="1440" w:gutter="0" w:footer="0" w:header="0"/>
        </w:sectPr>
      </w:pPr>
    </w:p>
    <w:bookmarkStart w:id="92" w:name="page93"/>
    <w:bookmarkEnd w:id="92"/>
    <w:p>
      <w:pPr>
        <w:jc w:val="both"/>
        <w:ind w:firstLine="597"/>
        <w:spacing w:after="0" w:line="331" w:lineRule="auto"/>
        <w:rPr>
          <w:sz w:val="20"/>
          <w:szCs w:val="20"/>
          <w:color w:val="auto"/>
        </w:rPr>
      </w:pPr>
      <w:r>
        <w:rPr>
          <w:rFonts w:ascii="Arial" w:cs="Arial" w:eastAsia="Arial" w:hAnsi="Arial"/>
          <w:sz w:val="15"/>
          <w:szCs w:val="15"/>
          <w:color w:val="auto"/>
        </w:rPr>
        <w:t>The effectiveness of our internal control over financial reporting has been audited by PricewaterhouseCoopers LLP, an independent registered public accounting firm, as stated in their audit report which expresses an unqualified opinion on the effectiveness of our internal control over financial reporting at December 31, 2019.</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02"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Rules 13(a)-15(d) and 15d-15(d) under the Exchange Act that occurred during the quarter ended December 31, 2019 that have materially affected, or are reasonably likely to materially affect, our internal control over financial reporting.</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Limitations on Effectiveness of Disclosure Controls and Procedures and Internal Control over Financial Reporting</w:t>
      </w:r>
    </w:p>
    <w:p>
      <w:pPr>
        <w:spacing w:after="0" w:line="202" w:lineRule="exact"/>
        <w:rPr>
          <w:sz w:val="20"/>
          <w:szCs w:val="20"/>
          <w:color w:val="auto"/>
        </w:rPr>
      </w:pPr>
    </w:p>
    <w:p>
      <w:pPr>
        <w:jc w:val="both"/>
        <w:ind w:firstLine="597"/>
        <w:spacing w:after="0" w:line="284" w:lineRule="auto"/>
        <w:rPr>
          <w:sz w:val="20"/>
          <w:szCs w:val="20"/>
          <w:color w:val="auto"/>
        </w:rPr>
      </w:pPr>
      <w:r>
        <w:rPr>
          <w:rFonts w:ascii="Arial" w:cs="Arial" w:eastAsia="Arial" w:hAnsi="Arial"/>
          <w:sz w:val="15"/>
          <w:szCs w:val="15"/>
          <w:color w:val="auto"/>
        </w:rPr>
        <w:t>In designing and evaluating our disclosure controls and procedures and internal control over financial reporting, our management recognizes that any system of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There are inherent limitations to the effectiveness of any system of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9B.</w:t>
        <w:tab/>
        <w:t>OTHER INFORMATION</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0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81"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The information required by this item will be included in the Proxy Statement or an amendment to this Annual Report, which will be filed with the SEC not later than 120 days after the end of our fiscal year ended December 31, 2019, and is incorporated herein by reference.</w:t>
      </w:r>
    </w:p>
    <w:p>
      <w:pPr>
        <w:spacing w:after="0" w:line="200" w:lineRule="exact"/>
        <w:rPr>
          <w:sz w:val="20"/>
          <w:szCs w:val="20"/>
          <w:color w:val="auto"/>
        </w:rPr>
      </w:pP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information required by this item will be included in the Proxy Statement or an amendment to this Annual Report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12.SECURITY OWNERSHIP OF CERTAIN BENEFICIAL OWNERS AND MANAGEMENT AND RELATED STOCKHOLDER MATTERS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information required by this item will be included in the Proxy Statement or an amendment to this Annual Report and is incorporated herein by reference.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13.CERTAIN RELATIONSHIPS AND RELATED TRANSACTIONS, AND DIRECTOR INDEPENDENCE</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information required by this item will be included in the Proxy Statement or an amendment to this Annual Report and is incorporated herein by reference.</w:t>
      </w:r>
    </w:p>
    <w:p>
      <w:pPr>
        <w:spacing w:after="0" w:line="200" w:lineRule="exact"/>
        <w:rPr>
          <w:sz w:val="20"/>
          <w:szCs w:val="20"/>
          <w:color w:val="auto"/>
        </w:rPr>
      </w:pPr>
    </w:p>
    <w:p>
      <w:pPr>
        <w:spacing w:after="0" w:line="22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06"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The information required by this item will be included in the Proxy Statement or an amendment to this Annual Report and is incorporated herein by reference.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0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color w:val="auto"/>
        </w:rPr>
        <w:t>EXHIBITS, FINANCIAL STATEMENTS SCHEDULES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documents are filed as part of this Annual Report:</w:t>
      </w:r>
    </w:p>
    <w:p>
      <w:pPr>
        <w:spacing w:after="0" w:line="202" w:lineRule="exact"/>
        <w:rPr>
          <w:sz w:val="20"/>
          <w:szCs w:val="20"/>
          <w:color w:val="auto"/>
        </w:rPr>
      </w:pPr>
    </w:p>
    <w:p>
      <w:pPr>
        <w:ind w:left="1560" w:hanging="367"/>
        <w:spacing w:after="0"/>
        <w:tabs>
          <w:tab w:leader="none" w:pos="1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Consolidated Financial Statements</w:t>
      </w:r>
    </w:p>
    <w:p>
      <w:pPr>
        <w:spacing w:after="0" w:line="102" w:lineRule="exact"/>
        <w:rPr>
          <w:rFonts w:ascii="Arial" w:cs="Arial" w:eastAsia="Arial" w:hAnsi="Arial"/>
          <w:sz w:val="17"/>
          <w:szCs w:val="17"/>
          <w:color w:val="auto"/>
        </w:rPr>
      </w:pPr>
    </w:p>
    <w:p>
      <w:pPr>
        <w:ind w:left="1560"/>
        <w:spacing w:after="0"/>
        <w:rPr>
          <w:rFonts w:ascii="Arial" w:cs="Arial" w:eastAsia="Arial" w:hAnsi="Arial"/>
          <w:sz w:val="17"/>
          <w:szCs w:val="17"/>
          <w:color w:val="auto"/>
        </w:rPr>
      </w:pPr>
      <w:r>
        <w:rPr>
          <w:rFonts w:ascii="Arial" w:cs="Arial" w:eastAsia="Arial" w:hAnsi="Arial"/>
          <w:sz w:val="15"/>
          <w:szCs w:val="15"/>
          <w:color w:val="auto"/>
        </w:rPr>
        <w:t>Our consolidated financial statements are listed in the “Index to Consolidated Financial Statements” under Part II, Item 8, of this Annual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575" w:right="239" w:bottom="1440" w:gutter="0" w:footer="0" w:header="0"/>
        </w:sectPr>
      </w:pPr>
    </w:p>
    <w:bookmarkStart w:id="93" w:name="page94"/>
    <w:bookmarkEnd w:id="93"/>
    <w:p>
      <w:pPr>
        <w:ind w:left="1560" w:hanging="367"/>
        <w:spacing w:after="0"/>
        <w:tabs>
          <w:tab w:leader="none" w:pos="15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102" w:lineRule="exact"/>
        <w:rPr>
          <w:rFonts w:ascii="Arial" w:cs="Arial" w:eastAsia="Arial" w:hAnsi="Arial"/>
          <w:sz w:val="17"/>
          <w:szCs w:val="17"/>
          <w:color w:val="auto"/>
        </w:rPr>
      </w:pPr>
    </w:p>
    <w:p>
      <w:pPr>
        <w:ind w:left="1560"/>
        <w:spacing w:after="0" w:line="264" w:lineRule="auto"/>
        <w:rPr>
          <w:rFonts w:ascii="Arial" w:cs="Arial" w:eastAsia="Arial" w:hAnsi="Arial"/>
          <w:sz w:val="17"/>
          <w:szCs w:val="17"/>
          <w:color w:val="auto"/>
        </w:rPr>
      </w:pPr>
      <w:r>
        <w:rPr>
          <w:rFonts w:ascii="Arial" w:cs="Arial" w:eastAsia="Arial" w:hAnsi="Arial"/>
          <w:sz w:val="17"/>
          <w:szCs w:val="17"/>
          <w:color w:val="auto"/>
        </w:rPr>
        <w:t>All financial statement schedules have been omitted because they are not required or are not applicable, or the required information is shown in our Consolidated Financial Statements or the notes thereto.</w:t>
      </w:r>
    </w:p>
    <w:p>
      <w:pPr>
        <w:spacing w:after="0" w:line="328" w:lineRule="exact"/>
        <w:rPr>
          <w:rFonts w:ascii="Arial" w:cs="Arial" w:eastAsia="Arial" w:hAnsi="Arial"/>
          <w:sz w:val="17"/>
          <w:szCs w:val="17"/>
          <w:color w:val="auto"/>
        </w:rPr>
      </w:pPr>
    </w:p>
    <w:p>
      <w:pPr>
        <w:ind w:left="1560" w:hanging="367"/>
        <w:spacing w:after="0"/>
        <w:tabs>
          <w:tab w:leader="none" w:pos="15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Exhibits</w:t>
      </w:r>
    </w:p>
    <w:p>
      <w:pPr>
        <w:spacing w:after="0" w:line="102" w:lineRule="exact"/>
        <w:rPr>
          <w:rFonts w:ascii="Arial" w:cs="Arial" w:eastAsia="Arial" w:hAnsi="Arial"/>
          <w:sz w:val="17"/>
          <w:szCs w:val="17"/>
          <w:color w:val="auto"/>
        </w:rPr>
      </w:pPr>
    </w:p>
    <w:p>
      <w:pPr>
        <w:ind w:left="1560"/>
        <w:spacing w:after="0" w:line="264" w:lineRule="auto"/>
        <w:rPr>
          <w:rFonts w:ascii="Arial" w:cs="Arial" w:eastAsia="Arial" w:hAnsi="Arial"/>
          <w:sz w:val="17"/>
          <w:szCs w:val="17"/>
          <w:color w:val="auto"/>
        </w:rPr>
      </w:pPr>
      <w:r>
        <w:rPr>
          <w:rFonts w:ascii="Arial" w:cs="Arial" w:eastAsia="Arial" w:hAnsi="Arial"/>
          <w:sz w:val="17"/>
          <w:szCs w:val="17"/>
          <w:color w:val="auto"/>
        </w:rPr>
        <w:t>The documents listed in the Exhibit Index of this Annual Report are filed or furnished with, or incorporated by reference into, this Annual Report, in each case as indicated therein.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EXHIBIT INDEX</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4"/>
          </w:tcPr>
          <w:p>
            <w:pPr>
              <w:ind w:left="480"/>
              <w:spacing w:after="0"/>
              <w:rPr>
                <w:sz w:val="20"/>
                <w:szCs w:val="20"/>
                <w:color w:val="auto"/>
              </w:rPr>
            </w:pPr>
            <w:r>
              <w:rPr>
                <w:rFonts w:ascii="Arial" w:cs="Arial" w:eastAsia="Arial" w:hAnsi="Arial"/>
                <w:sz w:val="17"/>
                <w:szCs w:val="17"/>
                <w:b w:val="1"/>
                <w:bCs w:val="1"/>
                <w:color w:val="auto"/>
                <w:w w:val="92"/>
              </w:rPr>
              <w:t>Incorporated by Reference</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7"/>
                <w:szCs w:val="17"/>
                <w:b w:val="1"/>
                <w:bCs w:val="1"/>
                <w:color w:val="auto"/>
                <w:w w:val="91"/>
              </w:rPr>
              <w:t>Exhibit</w:t>
            </w: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Number</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21"/>
          </w:tcPr>
          <w:p>
            <w:pPr>
              <w:ind w:left="80"/>
              <w:spacing w:after="0"/>
              <w:rPr>
                <w:sz w:val="20"/>
                <w:szCs w:val="20"/>
                <w:color w:val="auto"/>
              </w:rPr>
            </w:pPr>
            <w:r>
              <w:rPr>
                <w:rFonts w:ascii="Arial" w:cs="Arial" w:eastAsia="Arial" w:hAnsi="Arial"/>
                <w:sz w:val="17"/>
                <w:szCs w:val="17"/>
                <w:b w:val="1"/>
                <w:bCs w:val="1"/>
                <w:color w:val="auto"/>
              </w:rPr>
              <w:t>Exhibit Description</w:t>
            </w:r>
          </w:p>
        </w:tc>
        <w:tc>
          <w:tcPr>
            <w:tcW w:w="9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Form</w:t>
            </w:r>
          </w:p>
        </w:tc>
        <w:tc>
          <w:tcPr>
            <w:tcW w:w="1380" w:type="dxa"/>
            <w:vAlign w:val="bottom"/>
            <w:gridSpan w:val="2"/>
          </w:tcPr>
          <w:p>
            <w:pPr>
              <w:ind w:left="360"/>
              <w:spacing w:after="0"/>
              <w:rPr>
                <w:sz w:val="20"/>
                <w:szCs w:val="20"/>
                <w:color w:val="auto"/>
              </w:rPr>
            </w:pPr>
            <w:r>
              <w:rPr>
                <w:rFonts w:ascii="Arial" w:cs="Arial" w:eastAsia="Arial" w:hAnsi="Arial"/>
                <w:sz w:val="17"/>
                <w:szCs w:val="17"/>
                <w:b w:val="1"/>
                <w:bCs w:val="1"/>
                <w:color w:val="auto"/>
              </w:rPr>
              <w:t>File No.</w:t>
            </w:r>
          </w:p>
        </w:tc>
        <w:tc>
          <w:tcPr>
            <w:tcW w:w="1120" w:type="dxa"/>
            <w:vAlign w:val="bottom"/>
            <w:gridSpan w:val="2"/>
          </w:tcPr>
          <w:p>
            <w:pPr>
              <w:ind w:left="240"/>
              <w:spacing w:after="0"/>
              <w:rPr>
                <w:sz w:val="20"/>
                <w:szCs w:val="20"/>
                <w:color w:val="auto"/>
              </w:rPr>
            </w:pPr>
            <w:r>
              <w:rPr>
                <w:rFonts w:ascii="Arial" w:cs="Arial" w:eastAsia="Arial" w:hAnsi="Arial"/>
                <w:sz w:val="17"/>
                <w:szCs w:val="17"/>
                <w:b w:val="1"/>
                <w:bCs w:val="1"/>
                <w:color w:val="auto"/>
              </w:rPr>
              <w:t>Exhibit</w:t>
            </w:r>
          </w:p>
        </w:tc>
        <w:tc>
          <w:tcPr>
            <w:tcW w:w="1380" w:type="dxa"/>
            <w:vAlign w:val="bottom"/>
            <w:gridSpan w:val="2"/>
          </w:tcPr>
          <w:p>
            <w:pPr>
              <w:ind w:left="240"/>
              <w:spacing w:after="0"/>
              <w:rPr>
                <w:sz w:val="20"/>
                <w:szCs w:val="20"/>
                <w:color w:val="auto"/>
              </w:rPr>
            </w:pPr>
            <w:r>
              <w:rPr>
                <w:rFonts w:ascii="Arial" w:cs="Arial" w:eastAsia="Arial" w:hAnsi="Arial"/>
                <w:sz w:val="17"/>
                <w:szCs w:val="17"/>
                <w:b w:val="1"/>
                <w:bCs w:val="1"/>
                <w:color w:val="auto"/>
              </w:rPr>
              <w:t>Filing Date</w:t>
            </w: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91"/>
              </w:rPr>
              <w:t>Filed Herewith</w:t>
            </w:r>
          </w:p>
        </w:tc>
        <w:tc>
          <w:tcPr>
            <w:tcW w:w="0" w:type="dxa"/>
            <w:vAlign w:val="bottom"/>
          </w:tcPr>
          <w:p>
            <w:pPr>
              <w:spacing w:after="0"/>
              <w:rPr>
                <w:sz w:val="1"/>
                <w:szCs w:val="1"/>
                <w:color w:val="auto"/>
              </w:rPr>
            </w:pPr>
          </w:p>
        </w:tc>
      </w:tr>
      <w:tr>
        <w:trPr>
          <w:trHeight w:val="25"/>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920" w:type="dxa"/>
            <w:vAlign w:val="bottom"/>
          </w:tcPr>
          <w:p>
            <w:pPr>
              <w:jc w:val="center"/>
              <w:spacing w:after="0" w:line="179" w:lineRule="exact"/>
              <w:rPr>
                <w:sz w:val="20"/>
                <w:szCs w:val="20"/>
                <w:color w:val="auto"/>
              </w:rPr>
            </w:pPr>
            <w:r>
              <w:rPr>
                <w:rFonts w:ascii="Arial" w:cs="Arial" w:eastAsia="Arial" w:hAnsi="Arial"/>
                <w:sz w:val="17"/>
                <w:szCs w:val="17"/>
                <w:color w:val="auto"/>
                <w:w w:val="84"/>
              </w:rPr>
              <w:t>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6"/>
          </w:tcPr>
          <w:p>
            <w:pPr>
              <w:spacing w:after="0" w:line="179" w:lineRule="exact"/>
              <w:rPr>
                <w:rFonts w:ascii="Arial" w:cs="Arial" w:eastAsia="Arial" w:hAnsi="Arial"/>
                <w:sz w:val="17"/>
                <w:szCs w:val="17"/>
                <w:color w:val="0000FF"/>
                <w:w w:val="99"/>
              </w:rPr>
            </w:pPr>
            <w:hyperlink r:id="rId46">
              <w:r>
                <w:rPr>
                  <w:rFonts w:ascii="Arial" w:cs="Arial" w:eastAsia="Arial" w:hAnsi="Arial"/>
                  <w:sz w:val="17"/>
                  <w:szCs w:val="17"/>
                  <w:color w:val="0000FF"/>
                  <w:w w:val="99"/>
                </w:rPr>
                <w:t>Asset Purchase Agreement, dated August 31, 2018, by and</w:t>
              </w:r>
            </w:hyperlink>
          </w:p>
        </w:tc>
        <w:tc>
          <w:tcPr>
            <w:tcW w:w="900" w:type="dxa"/>
            <w:vAlign w:val="bottom"/>
            <w:gridSpan w:val="2"/>
          </w:tcPr>
          <w:p>
            <w:pPr>
              <w:jc w:val="center"/>
              <w:ind w:right="100"/>
              <w:spacing w:after="0" w:line="179" w:lineRule="exact"/>
              <w:rPr>
                <w:sz w:val="20"/>
                <w:szCs w:val="20"/>
                <w:color w:val="auto"/>
              </w:rPr>
            </w:pPr>
            <w:r>
              <w:rPr>
                <w:rFonts w:ascii="Arial" w:cs="Arial" w:eastAsia="Arial" w:hAnsi="Arial"/>
                <w:sz w:val="17"/>
                <w:szCs w:val="17"/>
                <w:color w:val="auto"/>
                <w:w w:val="90"/>
              </w:rPr>
              <w:t>8-K</w:t>
            </w:r>
          </w:p>
        </w:tc>
        <w:tc>
          <w:tcPr>
            <w:tcW w:w="1260" w:type="dxa"/>
            <w:vAlign w:val="bottom"/>
          </w:tcPr>
          <w:p>
            <w:pPr>
              <w:jc w:val="center"/>
              <w:spacing w:after="0" w:line="179" w:lineRule="exact"/>
              <w:rPr>
                <w:sz w:val="20"/>
                <w:szCs w:val="20"/>
                <w:color w:val="auto"/>
              </w:rPr>
            </w:pPr>
            <w:r>
              <w:rPr>
                <w:rFonts w:ascii="Arial" w:cs="Arial" w:eastAsia="Arial" w:hAnsi="Arial"/>
                <w:sz w:val="17"/>
                <w:szCs w:val="17"/>
                <w:color w:val="auto"/>
                <w:w w:val="88"/>
              </w:rPr>
              <w:t>001-37468</w:t>
            </w:r>
          </w:p>
        </w:tc>
        <w:tc>
          <w:tcPr>
            <w:tcW w:w="120" w:type="dxa"/>
            <w:vAlign w:val="bottom"/>
          </w:tcPr>
          <w:p>
            <w:pPr>
              <w:spacing w:after="0"/>
              <w:rPr>
                <w:sz w:val="15"/>
                <w:szCs w:val="15"/>
                <w:color w:val="auto"/>
              </w:rPr>
            </w:pPr>
          </w:p>
        </w:tc>
        <w:tc>
          <w:tcPr>
            <w:tcW w:w="1020" w:type="dxa"/>
            <w:vAlign w:val="bottom"/>
          </w:tcPr>
          <w:p>
            <w:pPr>
              <w:jc w:val="center"/>
              <w:spacing w:after="0" w:line="179" w:lineRule="exact"/>
              <w:rPr>
                <w:sz w:val="20"/>
                <w:szCs w:val="20"/>
                <w:color w:val="auto"/>
              </w:rPr>
            </w:pPr>
            <w:r>
              <w:rPr>
                <w:rFonts w:ascii="Arial" w:cs="Arial" w:eastAsia="Arial" w:hAnsi="Arial"/>
                <w:sz w:val="17"/>
                <w:szCs w:val="17"/>
                <w:color w:val="auto"/>
                <w:w w:val="92"/>
              </w:rPr>
              <w:t>2.1</w:t>
            </w:r>
          </w:p>
        </w:tc>
        <w:tc>
          <w:tcPr>
            <w:tcW w:w="100" w:type="dxa"/>
            <w:vAlign w:val="bottom"/>
          </w:tcPr>
          <w:p>
            <w:pPr>
              <w:spacing w:after="0"/>
              <w:rPr>
                <w:sz w:val="15"/>
                <w:szCs w:val="15"/>
                <w:color w:val="auto"/>
              </w:rPr>
            </w:pPr>
          </w:p>
        </w:tc>
        <w:tc>
          <w:tcPr>
            <w:tcW w:w="1260" w:type="dxa"/>
            <w:vAlign w:val="bottom"/>
          </w:tcPr>
          <w:p>
            <w:pPr>
              <w:jc w:val="center"/>
              <w:spacing w:after="0" w:line="179" w:lineRule="exact"/>
              <w:rPr>
                <w:sz w:val="20"/>
                <w:szCs w:val="20"/>
                <w:color w:val="auto"/>
              </w:rPr>
            </w:pPr>
            <w:r>
              <w:rPr>
                <w:rFonts w:ascii="Arial" w:cs="Arial" w:eastAsia="Arial" w:hAnsi="Arial"/>
                <w:sz w:val="17"/>
                <w:szCs w:val="17"/>
                <w:color w:val="auto"/>
                <w:w w:val="90"/>
              </w:rPr>
              <w:t>9/4/2018</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40" w:type="dxa"/>
            <w:vAlign w:val="bottom"/>
            <w:tcBorders>
              <w:bottom w:val="single" w:sz="8" w:color="0000FF"/>
            </w:tcBorders>
            <w:gridSpan w:val="17"/>
          </w:tcPr>
          <w:p>
            <w:pPr>
              <w:spacing w:after="0" w:line="179" w:lineRule="exact"/>
              <w:rPr>
                <w:rFonts w:ascii="Arial" w:cs="Arial" w:eastAsia="Arial" w:hAnsi="Arial"/>
                <w:sz w:val="17"/>
                <w:szCs w:val="17"/>
                <w:color w:val="0000FF"/>
                <w:w w:val="89"/>
              </w:rPr>
            </w:pPr>
            <w:hyperlink r:id="rId46">
              <w:r>
                <w:rPr>
                  <w:rFonts w:ascii="Arial" w:cs="Arial" w:eastAsia="Arial" w:hAnsi="Arial"/>
                  <w:sz w:val="17"/>
                  <w:szCs w:val="17"/>
                  <w:color w:val="0000FF"/>
                  <w:w w:val="89"/>
                </w:rPr>
                <w:t>between AppFolio Utility Management, Inc. and WegoWise,</w:t>
              </w:r>
            </w:hyperlink>
          </w:p>
        </w:tc>
        <w:tc>
          <w:tcPr>
            <w:tcW w:w="420" w:type="dxa"/>
            <w:vAlign w:val="bottom"/>
            <w:gridSpan w:val="9"/>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6"/>
          </w:tcPr>
          <w:p>
            <w:pPr>
              <w:spacing w:after="0" w:line="179" w:lineRule="exact"/>
              <w:rPr>
                <w:rFonts w:ascii="Arial" w:cs="Arial" w:eastAsia="Arial" w:hAnsi="Arial"/>
                <w:sz w:val="17"/>
                <w:szCs w:val="17"/>
                <w:color w:val="0000FF"/>
              </w:rPr>
            </w:pPr>
            <w:hyperlink r:id="rId46">
              <w:r>
                <w:rPr>
                  <w:rFonts w:ascii="Arial" w:cs="Arial" w:eastAsia="Arial" w:hAnsi="Arial"/>
                  <w:sz w:val="17"/>
                  <w:szCs w:val="17"/>
                  <w:color w:val="0000FF"/>
                </w:rPr>
                <w:t>Inc.</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26"/>
          </w:tcPr>
          <w:p>
            <w:pPr>
              <w:spacing w:after="0"/>
              <w:rPr>
                <w:rFonts w:ascii="Arial" w:cs="Arial" w:eastAsia="Arial" w:hAnsi="Arial"/>
                <w:sz w:val="17"/>
                <w:szCs w:val="17"/>
                <w:color w:val="0000FF"/>
                <w:w w:val="94"/>
              </w:rPr>
            </w:pPr>
            <w:hyperlink r:id="rId47">
              <w:r>
                <w:rPr>
                  <w:rFonts w:ascii="Arial" w:cs="Arial" w:eastAsia="Arial" w:hAnsi="Arial"/>
                  <w:sz w:val="17"/>
                  <w:szCs w:val="17"/>
                  <w:color w:val="0000FF"/>
                  <w:w w:val="94"/>
                </w:rPr>
                <w:t>Agreement and Plan of Merger, dated January 7, 2019, by and</w:t>
              </w:r>
            </w:hyperlink>
          </w:p>
        </w:tc>
        <w:tc>
          <w:tcPr>
            <w:tcW w:w="90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8-K</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001-37468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2.1</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1/8/2019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0000FF"/>
            </w:tcBorders>
            <w:gridSpan w:val="20"/>
          </w:tcPr>
          <w:p>
            <w:pPr>
              <w:spacing w:after="0" w:line="179" w:lineRule="exact"/>
              <w:rPr>
                <w:rFonts w:ascii="Arial" w:cs="Arial" w:eastAsia="Arial" w:hAnsi="Arial"/>
                <w:sz w:val="17"/>
                <w:szCs w:val="17"/>
                <w:color w:val="0000FF"/>
                <w:w w:val="89"/>
              </w:rPr>
            </w:pPr>
            <w:hyperlink r:id="rId47">
              <w:r>
                <w:rPr>
                  <w:rFonts w:ascii="Arial" w:cs="Arial" w:eastAsia="Arial" w:hAnsi="Arial"/>
                  <w:sz w:val="17"/>
                  <w:szCs w:val="17"/>
                  <w:color w:val="0000FF"/>
                  <w:w w:val="89"/>
                </w:rPr>
                <w:t>among the registrant., Riviera Mar, Inc., Dynasty Marketplace,</w:t>
              </w:r>
            </w:hyperlink>
          </w:p>
        </w:tc>
        <w:tc>
          <w:tcPr>
            <w:tcW w:w="280" w:type="dxa"/>
            <w:vAlign w:val="bottom"/>
            <w:gridSpan w:val="6"/>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6"/>
          </w:tcPr>
          <w:p>
            <w:pPr>
              <w:spacing w:after="0" w:line="179" w:lineRule="exact"/>
              <w:rPr>
                <w:rFonts w:ascii="Arial" w:cs="Arial" w:eastAsia="Arial" w:hAnsi="Arial"/>
                <w:sz w:val="17"/>
                <w:szCs w:val="17"/>
                <w:color w:val="0000FF"/>
              </w:rPr>
            </w:pPr>
            <w:hyperlink r:id="rId47">
              <w:r>
                <w:rPr>
                  <w:rFonts w:ascii="Arial" w:cs="Arial" w:eastAsia="Arial" w:hAnsi="Arial"/>
                  <w:sz w:val="17"/>
                  <w:szCs w:val="17"/>
                  <w:color w:val="0000FF"/>
                </w:rPr>
                <w:t>Inc. and Fortis Advisors LLC.</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00" w:type="dxa"/>
            <w:vAlign w:val="bottom"/>
            <w:tcBorders>
              <w:bottom w:val="single" w:sz="8" w:color="0000FF"/>
            </w:tcBorders>
            <w:gridSpan w:val="13"/>
          </w:tcPr>
          <w:p>
            <w:pPr>
              <w:spacing w:after="0"/>
              <w:rPr>
                <w:rFonts w:ascii="Arial" w:cs="Arial" w:eastAsia="Arial" w:hAnsi="Arial"/>
                <w:sz w:val="17"/>
                <w:szCs w:val="17"/>
                <w:color w:val="0000FF"/>
                <w:w w:val="89"/>
              </w:rPr>
            </w:pPr>
            <w:hyperlink r:id="rId48">
              <w:r>
                <w:rPr>
                  <w:rFonts w:ascii="Arial" w:cs="Arial" w:eastAsia="Arial" w:hAnsi="Arial"/>
                  <w:sz w:val="17"/>
                  <w:szCs w:val="17"/>
                  <w:color w:val="0000FF"/>
                  <w:w w:val="89"/>
                </w:rPr>
                <w:t>Amended and Restated Certificate of Incorporation of the</w:t>
              </w:r>
            </w:hyperlink>
          </w:p>
        </w:tc>
        <w:tc>
          <w:tcPr>
            <w:tcW w:w="560" w:type="dxa"/>
            <w:vAlign w:val="bottom"/>
            <w:gridSpan w:val="13"/>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10-Q</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001-37468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8/6/2015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6"/>
          </w:tcPr>
          <w:p>
            <w:pPr>
              <w:spacing w:after="0" w:line="179" w:lineRule="exact"/>
              <w:rPr>
                <w:rFonts w:ascii="Arial" w:cs="Arial" w:eastAsia="Arial" w:hAnsi="Arial"/>
                <w:sz w:val="17"/>
                <w:szCs w:val="17"/>
                <w:color w:val="0000FF"/>
              </w:rPr>
            </w:pPr>
            <w:hyperlink r:id="rId48">
              <w:r>
                <w:rPr>
                  <w:rFonts w:ascii="Arial" w:cs="Arial" w:eastAsia="Arial" w:hAnsi="Arial"/>
                  <w:sz w:val="17"/>
                  <w:szCs w:val="17"/>
                  <w:color w:val="0000FF"/>
                </w:rPr>
                <w:t>registrant as currently in effect.</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tcBorders>
              <w:bottom w:val="single" w:sz="8" w:color="0000FF"/>
            </w:tcBorders>
            <w:gridSpan w:val="20"/>
          </w:tcPr>
          <w:p>
            <w:pPr>
              <w:spacing w:after="0"/>
              <w:rPr>
                <w:rFonts w:ascii="Arial" w:cs="Arial" w:eastAsia="Arial" w:hAnsi="Arial"/>
                <w:sz w:val="17"/>
                <w:szCs w:val="17"/>
                <w:color w:val="0000FF"/>
                <w:w w:val="88"/>
              </w:rPr>
            </w:pPr>
            <w:hyperlink r:id="rId49">
              <w:r>
                <w:rPr>
                  <w:rFonts w:ascii="Arial" w:cs="Arial" w:eastAsia="Arial" w:hAnsi="Arial"/>
                  <w:sz w:val="17"/>
                  <w:szCs w:val="17"/>
                  <w:color w:val="0000FF"/>
                  <w:w w:val="88"/>
                </w:rPr>
                <w:t>Amended and Restated Bylaws of the registrant as currently in</w:t>
              </w:r>
            </w:hyperlink>
          </w:p>
        </w:tc>
        <w:tc>
          <w:tcPr>
            <w:tcW w:w="280" w:type="dxa"/>
            <w:vAlign w:val="bottom"/>
            <w:gridSpan w:val="6"/>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10-Q</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001-37468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8/6/2015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6"/>
          </w:tcPr>
          <w:p>
            <w:pPr>
              <w:spacing w:after="0" w:line="179" w:lineRule="exact"/>
              <w:rPr>
                <w:rFonts w:ascii="Arial" w:cs="Arial" w:eastAsia="Arial" w:hAnsi="Arial"/>
                <w:sz w:val="17"/>
                <w:szCs w:val="17"/>
                <w:color w:val="0000FF"/>
              </w:rPr>
            </w:pPr>
            <w:hyperlink r:id="rId49">
              <w:r>
                <w:rPr>
                  <w:rFonts w:ascii="Arial" w:cs="Arial" w:eastAsia="Arial" w:hAnsi="Arial"/>
                  <w:sz w:val="17"/>
                  <w:szCs w:val="17"/>
                  <w:color w:val="0000FF"/>
                </w:rPr>
                <w:t>effect.</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20" w:type="dxa"/>
            <w:vAlign w:val="bottom"/>
            <w:tcBorders>
              <w:bottom w:val="single" w:sz="8" w:color="0000FF"/>
            </w:tcBorders>
            <w:gridSpan w:val="10"/>
          </w:tcPr>
          <w:p>
            <w:pPr>
              <w:spacing w:after="0"/>
              <w:rPr>
                <w:rFonts w:ascii="Arial" w:cs="Arial" w:eastAsia="Arial" w:hAnsi="Arial"/>
                <w:sz w:val="17"/>
                <w:szCs w:val="17"/>
                <w:color w:val="0000FF"/>
                <w:w w:val="89"/>
              </w:rPr>
            </w:pPr>
            <w:hyperlink r:id="rId50">
              <w:r>
                <w:rPr>
                  <w:rFonts w:ascii="Arial" w:cs="Arial" w:eastAsia="Arial" w:hAnsi="Arial"/>
                  <w:sz w:val="17"/>
                  <w:szCs w:val="17"/>
                  <w:color w:val="0000FF"/>
                  <w:w w:val="89"/>
                </w:rPr>
                <w:t>Specimen Certificate for Class A Common Stock.</w:t>
              </w:r>
            </w:hyperlink>
          </w:p>
        </w:tc>
        <w:tc>
          <w:tcPr>
            <w:tcW w:w="1140" w:type="dxa"/>
            <w:vAlign w:val="bottom"/>
            <w:gridSpan w:val="16"/>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S-1/A</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333-204262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6/4/2015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40" w:type="dxa"/>
            <w:vAlign w:val="bottom"/>
            <w:tcBorders>
              <w:bottom w:val="single" w:sz="8" w:color="0000FF"/>
            </w:tcBorders>
            <w:gridSpan w:val="15"/>
          </w:tcPr>
          <w:p>
            <w:pPr>
              <w:spacing w:after="0"/>
              <w:rPr>
                <w:rFonts w:ascii="Arial" w:cs="Arial" w:eastAsia="Arial" w:hAnsi="Arial"/>
                <w:sz w:val="17"/>
                <w:szCs w:val="17"/>
                <w:color w:val="0000FF"/>
                <w:w w:val="88"/>
              </w:rPr>
            </w:pPr>
            <w:hyperlink r:id="rId51">
              <w:r>
                <w:rPr>
                  <w:rFonts w:ascii="Arial" w:cs="Arial" w:eastAsia="Arial" w:hAnsi="Arial"/>
                  <w:sz w:val="17"/>
                  <w:szCs w:val="17"/>
                  <w:color w:val="0000FF"/>
                  <w:w w:val="88"/>
                </w:rPr>
                <w:t>Amended and Restated Investor Rights Agreement, by and</w:t>
              </w:r>
            </w:hyperlink>
          </w:p>
        </w:tc>
        <w:tc>
          <w:tcPr>
            <w:tcW w:w="520" w:type="dxa"/>
            <w:vAlign w:val="bottom"/>
            <w:gridSpan w:val="11"/>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S-1/A</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333-204262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6/4/2015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6"/>
          </w:tcPr>
          <w:p>
            <w:pPr>
              <w:spacing w:after="0" w:line="179" w:lineRule="exact"/>
              <w:rPr>
                <w:rFonts w:ascii="Arial" w:cs="Arial" w:eastAsia="Arial" w:hAnsi="Arial"/>
                <w:sz w:val="17"/>
                <w:szCs w:val="17"/>
                <w:color w:val="0000FF"/>
                <w:w w:val="97"/>
              </w:rPr>
            </w:pPr>
            <w:hyperlink r:id="rId51">
              <w:r>
                <w:rPr>
                  <w:rFonts w:ascii="Arial" w:cs="Arial" w:eastAsia="Arial" w:hAnsi="Arial"/>
                  <w:sz w:val="17"/>
                  <w:szCs w:val="17"/>
                  <w:color w:val="0000FF"/>
                  <w:w w:val="97"/>
                </w:rPr>
                <w:t>among the registrant and the investors named therein, dated</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FF"/>
              <w:bottom w:val="single" w:sz="8" w:color="0000FF"/>
            </w:tcBorders>
            <w:gridSpan w:val="5"/>
          </w:tcPr>
          <w:p>
            <w:pPr>
              <w:spacing w:after="0" w:line="179" w:lineRule="exact"/>
              <w:rPr>
                <w:rFonts w:ascii="Arial" w:cs="Arial" w:eastAsia="Arial" w:hAnsi="Arial"/>
                <w:sz w:val="17"/>
                <w:szCs w:val="17"/>
                <w:color w:val="0000FF"/>
                <w:w w:val="88"/>
              </w:rPr>
            </w:pPr>
            <w:hyperlink r:id="rId51">
              <w:r>
                <w:rPr>
                  <w:rFonts w:ascii="Arial" w:cs="Arial" w:eastAsia="Arial" w:hAnsi="Arial"/>
                  <w:sz w:val="17"/>
                  <w:szCs w:val="17"/>
                  <w:color w:val="0000FF"/>
                  <w:w w:val="88"/>
                </w:rPr>
                <w:t>November 26, 2013.</w:t>
              </w:r>
            </w:hyperlink>
          </w:p>
        </w:tc>
        <w:tc>
          <w:tcPr>
            <w:tcW w:w="2580" w:type="dxa"/>
            <w:vAlign w:val="bottom"/>
            <w:tcBorders>
              <w:top w:val="single" w:sz="8" w:color="0000FF"/>
            </w:tcBorders>
            <w:gridSpan w:val="11"/>
          </w:tcPr>
          <w:p>
            <w:pPr>
              <w:spacing w:after="0"/>
              <w:rPr>
                <w:sz w:val="15"/>
                <w:szCs w:val="15"/>
                <w:color w:val="auto"/>
              </w:rPr>
            </w:pPr>
          </w:p>
        </w:tc>
        <w:tc>
          <w:tcPr>
            <w:tcW w:w="500" w:type="dxa"/>
            <w:vAlign w:val="bottom"/>
            <w:gridSpan w:val="10"/>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40" w:type="dxa"/>
            <w:vAlign w:val="bottom"/>
            <w:tcBorders>
              <w:bottom w:val="single" w:sz="8" w:color="0000FF"/>
            </w:tcBorders>
            <w:gridSpan w:val="8"/>
          </w:tcPr>
          <w:p>
            <w:pPr>
              <w:spacing w:after="0"/>
              <w:rPr>
                <w:rFonts w:ascii="Arial" w:cs="Arial" w:eastAsia="Arial" w:hAnsi="Arial"/>
                <w:sz w:val="17"/>
                <w:szCs w:val="17"/>
                <w:color w:val="0000FF"/>
                <w:w w:val="89"/>
              </w:rPr>
            </w:pPr>
            <w:hyperlink w:anchor="page98">
              <w:r>
                <w:rPr>
                  <w:rFonts w:ascii="Arial" w:cs="Arial" w:eastAsia="Arial" w:hAnsi="Arial"/>
                  <w:sz w:val="17"/>
                  <w:szCs w:val="17"/>
                  <w:color w:val="0000FF"/>
                  <w:w w:val="89"/>
                </w:rPr>
                <w:t>Description of Capital Stock of the registrant.</w:t>
              </w:r>
            </w:hyperlink>
          </w:p>
        </w:tc>
        <w:tc>
          <w:tcPr>
            <w:tcW w:w="1420" w:type="dxa"/>
            <w:vAlign w:val="bottom"/>
            <w:gridSpan w:val="18"/>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26"/>
          </w:tcPr>
          <w:p>
            <w:pPr>
              <w:spacing w:after="0"/>
              <w:rPr>
                <w:rFonts w:ascii="Arial" w:cs="Arial" w:eastAsia="Arial" w:hAnsi="Arial"/>
                <w:sz w:val="17"/>
                <w:szCs w:val="17"/>
                <w:color w:val="0000FF"/>
                <w:w w:val="91"/>
              </w:rPr>
            </w:pPr>
            <w:hyperlink r:id="rId52">
              <w:r>
                <w:rPr>
                  <w:rFonts w:ascii="Arial" w:cs="Arial" w:eastAsia="Arial" w:hAnsi="Arial"/>
                  <w:sz w:val="17"/>
                  <w:szCs w:val="17"/>
                  <w:color w:val="0000FF"/>
                  <w:w w:val="91"/>
                </w:rPr>
                <w:t>Multi-Tenant Industrial Lease, by and between the registrant and</w:t>
              </w:r>
            </w:hyperlink>
          </w:p>
        </w:tc>
        <w:tc>
          <w:tcPr>
            <w:tcW w:w="90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S-1/A</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333-204262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6/4/2015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tcBorders>
              <w:top w:val="single" w:sz="8" w:color="0000FF"/>
            </w:tcBorders>
            <w:gridSpan w:val="23"/>
          </w:tcPr>
          <w:p>
            <w:pPr>
              <w:spacing w:after="0" w:line="179" w:lineRule="exact"/>
              <w:rPr>
                <w:rFonts w:ascii="Arial" w:cs="Arial" w:eastAsia="Arial" w:hAnsi="Arial"/>
                <w:sz w:val="17"/>
                <w:szCs w:val="17"/>
                <w:color w:val="0000FF"/>
              </w:rPr>
            </w:pPr>
            <w:hyperlink r:id="rId52">
              <w:r>
                <w:rPr>
                  <w:rFonts w:ascii="Arial" w:cs="Arial" w:eastAsia="Arial" w:hAnsi="Arial"/>
                  <w:sz w:val="17"/>
                  <w:szCs w:val="17"/>
                  <w:color w:val="0000FF"/>
                </w:rPr>
                <w:t>Nassau Land Company, L.P., dated April 1, 2011 ("2011</w:t>
              </w:r>
            </w:hyperlink>
          </w:p>
        </w:tc>
        <w:tc>
          <w:tcPr>
            <w:tcW w:w="16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bottom w:val="single" w:sz="8" w:color="0000FF"/>
            </w:tcBorders>
            <w:gridSpan w:val="21"/>
          </w:tcPr>
          <w:p>
            <w:pPr>
              <w:spacing w:after="0" w:line="179" w:lineRule="exact"/>
              <w:rPr>
                <w:rFonts w:ascii="Arial" w:cs="Arial" w:eastAsia="Arial" w:hAnsi="Arial"/>
                <w:sz w:val="17"/>
                <w:szCs w:val="17"/>
                <w:color w:val="0000FF"/>
                <w:w w:val="86"/>
              </w:rPr>
            </w:pPr>
            <w:hyperlink r:id="rId52">
              <w:r>
                <w:rPr>
                  <w:rFonts w:ascii="Arial" w:cs="Arial" w:eastAsia="Arial" w:hAnsi="Arial"/>
                  <w:sz w:val="17"/>
                  <w:szCs w:val="17"/>
                  <w:color w:val="0000FF"/>
                  <w:w w:val="86"/>
                </w:rPr>
                <w:t>Lease"), as amended by First Amendment to 2011 Lease, dated</w:t>
              </w:r>
            </w:hyperlink>
          </w:p>
        </w:tc>
        <w:tc>
          <w:tcPr>
            <w:tcW w:w="260" w:type="dxa"/>
            <w:vAlign w:val="bottom"/>
            <w:gridSpan w:val="5"/>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0000FF"/>
            </w:tcBorders>
            <w:gridSpan w:val="20"/>
          </w:tcPr>
          <w:p>
            <w:pPr>
              <w:spacing w:after="0" w:line="179" w:lineRule="exact"/>
              <w:rPr>
                <w:rFonts w:ascii="Arial" w:cs="Arial" w:eastAsia="Arial" w:hAnsi="Arial"/>
                <w:sz w:val="17"/>
                <w:szCs w:val="17"/>
                <w:color w:val="0000FF"/>
                <w:w w:val="87"/>
              </w:rPr>
            </w:pPr>
            <w:hyperlink r:id="rId52">
              <w:r>
                <w:rPr>
                  <w:rFonts w:ascii="Arial" w:cs="Arial" w:eastAsia="Arial" w:hAnsi="Arial"/>
                  <w:sz w:val="17"/>
                  <w:szCs w:val="17"/>
                  <w:color w:val="0000FF"/>
                  <w:w w:val="87"/>
                </w:rPr>
                <w:t>November 11, 2011, Second Amendment to 2011 Lease, dated</w:t>
              </w:r>
            </w:hyperlink>
          </w:p>
        </w:tc>
        <w:tc>
          <w:tcPr>
            <w:tcW w:w="280" w:type="dxa"/>
            <w:vAlign w:val="bottom"/>
            <w:gridSpan w:val="6"/>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6"/>
          </w:tcPr>
          <w:p>
            <w:pPr>
              <w:spacing w:after="0" w:line="179" w:lineRule="exact"/>
              <w:rPr>
                <w:rFonts w:ascii="Arial" w:cs="Arial" w:eastAsia="Arial" w:hAnsi="Arial"/>
                <w:sz w:val="17"/>
                <w:szCs w:val="17"/>
                <w:color w:val="0000FF"/>
                <w:w w:val="92"/>
              </w:rPr>
            </w:pPr>
            <w:hyperlink r:id="rId52">
              <w:r>
                <w:rPr>
                  <w:rFonts w:ascii="Arial" w:cs="Arial" w:eastAsia="Arial" w:hAnsi="Arial"/>
                  <w:sz w:val="17"/>
                  <w:szCs w:val="17"/>
                  <w:color w:val="0000FF"/>
                  <w:w w:val="92"/>
                </w:rPr>
                <w:t>February 23, 2012, and Third Amendment to 2011 Lease, dated</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top w:val="single" w:sz="8" w:color="0000FF"/>
            </w:tcBorders>
            <w:gridSpan w:val="22"/>
          </w:tcPr>
          <w:p>
            <w:pPr>
              <w:spacing w:after="0" w:line="179" w:lineRule="exact"/>
              <w:rPr>
                <w:rFonts w:ascii="Arial" w:cs="Arial" w:eastAsia="Arial" w:hAnsi="Arial"/>
                <w:sz w:val="17"/>
                <w:szCs w:val="17"/>
                <w:color w:val="0000FF"/>
              </w:rPr>
            </w:pPr>
            <w:hyperlink r:id="rId52">
              <w:r>
                <w:rPr>
                  <w:rFonts w:ascii="Arial" w:cs="Arial" w:eastAsia="Arial" w:hAnsi="Arial"/>
                  <w:sz w:val="17"/>
                  <w:szCs w:val="17"/>
                  <w:color w:val="0000FF"/>
                </w:rPr>
                <w:t>November 5, 2013.</w:t>
              </w:r>
            </w:hyperlink>
          </w:p>
        </w:tc>
        <w:tc>
          <w:tcPr>
            <w:tcW w:w="240" w:type="dxa"/>
            <w:vAlign w:val="bottom"/>
            <w:gridSpan w:val="4"/>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tcBorders>
              <w:bottom w:val="single" w:sz="8" w:color="0000FF"/>
            </w:tcBorders>
            <w:gridSpan w:val="24"/>
          </w:tcPr>
          <w:p>
            <w:pPr>
              <w:spacing w:after="0"/>
              <w:rPr>
                <w:rFonts w:ascii="Arial" w:cs="Arial" w:eastAsia="Arial" w:hAnsi="Arial"/>
                <w:sz w:val="17"/>
                <w:szCs w:val="17"/>
                <w:color w:val="0000FF"/>
                <w:w w:val="87"/>
              </w:rPr>
            </w:pPr>
            <w:hyperlink r:id="rId53">
              <w:r>
                <w:rPr>
                  <w:rFonts w:ascii="Arial" w:cs="Arial" w:eastAsia="Arial" w:hAnsi="Arial"/>
                  <w:sz w:val="17"/>
                  <w:szCs w:val="17"/>
                  <w:color w:val="0000FF"/>
                  <w:w w:val="87"/>
                </w:rPr>
                <w:t>Fourth Amendment to 2011 Lease, by and between the registrant</w:t>
              </w:r>
            </w:hyperlink>
          </w:p>
        </w:tc>
        <w:tc>
          <w:tcPr>
            <w:tcW w:w="140" w:type="dxa"/>
            <w:vAlign w:val="bottom"/>
            <w:gridSpan w:val="2"/>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001-37468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9"/>
              </w:rPr>
              <w:t>2/27/2017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bottom w:val="single" w:sz="8" w:color="0000FF"/>
            </w:tcBorders>
            <w:gridSpan w:val="14"/>
          </w:tcPr>
          <w:p>
            <w:pPr>
              <w:spacing w:after="0" w:line="179" w:lineRule="exact"/>
              <w:rPr>
                <w:rFonts w:ascii="Arial" w:cs="Arial" w:eastAsia="Arial" w:hAnsi="Arial"/>
                <w:sz w:val="17"/>
                <w:szCs w:val="17"/>
                <w:color w:val="0000FF"/>
                <w:w w:val="86"/>
              </w:rPr>
            </w:pPr>
            <w:hyperlink r:id="rId53">
              <w:r>
                <w:rPr>
                  <w:rFonts w:ascii="Arial" w:cs="Arial" w:eastAsia="Arial" w:hAnsi="Arial"/>
                  <w:sz w:val="17"/>
                  <w:szCs w:val="17"/>
                  <w:color w:val="0000FF"/>
                  <w:w w:val="86"/>
                </w:rPr>
                <w:t>and Nassau Land Company, L.P., dated February 22, 2017.</w:t>
              </w:r>
            </w:hyperlink>
          </w:p>
        </w:tc>
        <w:tc>
          <w:tcPr>
            <w:tcW w:w="540" w:type="dxa"/>
            <w:vAlign w:val="bottom"/>
            <w:gridSpan w:val="12"/>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26"/>
          </w:tcPr>
          <w:p>
            <w:pPr>
              <w:spacing w:after="0"/>
              <w:rPr>
                <w:rFonts w:ascii="Arial" w:cs="Arial" w:eastAsia="Arial" w:hAnsi="Arial"/>
                <w:sz w:val="17"/>
                <w:szCs w:val="17"/>
                <w:color w:val="0000FF"/>
                <w:w w:val="91"/>
              </w:rPr>
            </w:pPr>
            <w:hyperlink r:id="rId54">
              <w:r>
                <w:rPr>
                  <w:rFonts w:ascii="Arial" w:cs="Arial" w:eastAsia="Arial" w:hAnsi="Arial"/>
                  <w:sz w:val="17"/>
                  <w:szCs w:val="17"/>
                  <w:color w:val="0000FF"/>
                  <w:w w:val="91"/>
                </w:rPr>
                <w:t>Multi-Tenant Industrial Lease, by and between the registrant and</w:t>
              </w:r>
            </w:hyperlink>
          </w:p>
        </w:tc>
        <w:tc>
          <w:tcPr>
            <w:tcW w:w="90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S-1/A</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333-204262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6/4/2015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tcBorders>
              <w:top w:val="single" w:sz="8" w:color="0000FF"/>
            </w:tcBorders>
            <w:gridSpan w:val="23"/>
          </w:tcPr>
          <w:p>
            <w:pPr>
              <w:spacing w:after="0" w:line="179" w:lineRule="exact"/>
              <w:rPr>
                <w:rFonts w:ascii="Arial" w:cs="Arial" w:eastAsia="Arial" w:hAnsi="Arial"/>
                <w:sz w:val="17"/>
                <w:szCs w:val="17"/>
                <w:color w:val="0000FF"/>
                <w:w w:val="91"/>
              </w:rPr>
            </w:pPr>
            <w:hyperlink r:id="rId54">
              <w:r>
                <w:rPr>
                  <w:rFonts w:ascii="Arial" w:cs="Arial" w:eastAsia="Arial" w:hAnsi="Arial"/>
                  <w:sz w:val="17"/>
                  <w:szCs w:val="17"/>
                  <w:color w:val="0000FF"/>
                  <w:w w:val="91"/>
                </w:rPr>
                <w:t>Nassau Land Company, L.P., dated February 17, 2015 ("2015</w:t>
              </w:r>
            </w:hyperlink>
          </w:p>
        </w:tc>
        <w:tc>
          <w:tcPr>
            <w:tcW w:w="16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top w:val="single" w:sz="8" w:color="0000FF"/>
              <w:bottom w:val="single" w:sz="8" w:color="0000FF"/>
            </w:tcBorders>
            <w:gridSpan w:val="3"/>
          </w:tcPr>
          <w:p>
            <w:pPr>
              <w:spacing w:after="0" w:line="179" w:lineRule="exact"/>
              <w:rPr>
                <w:rFonts w:ascii="Arial" w:cs="Arial" w:eastAsia="Arial" w:hAnsi="Arial"/>
                <w:sz w:val="17"/>
                <w:szCs w:val="17"/>
                <w:color w:val="0000FF"/>
                <w:w w:val="86"/>
              </w:rPr>
            </w:pPr>
            <w:hyperlink r:id="rId54">
              <w:r>
                <w:rPr>
                  <w:rFonts w:ascii="Arial" w:cs="Arial" w:eastAsia="Arial" w:hAnsi="Arial"/>
                  <w:sz w:val="17"/>
                  <w:szCs w:val="17"/>
                  <w:color w:val="0000FF"/>
                  <w:w w:val="86"/>
                </w:rPr>
                <w:t>Lease").</w:t>
              </w:r>
            </w:hyperlink>
          </w:p>
        </w:tc>
        <w:tc>
          <w:tcPr>
            <w:tcW w:w="3560" w:type="dxa"/>
            <w:vAlign w:val="bottom"/>
            <w:tcBorders>
              <w:top w:val="single" w:sz="8" w:color="0000FF"/>
            </w:tcBorders>
            <w:gridSpan w:val="15"/>
          </w:tcPr>
          <w:p>
            <w:pPr>
              <w:spacing w:after="0"/>
              <w:rPr>
                <w:sz w:val="15"/>
                <w:szCs w:val="15"/>
                <w:color w:val="auto"/>
              </w:rPr>
            </w:pPr>
          </w:p>
        </w:tc>
        <w:tc>
          <w:tcPr>
            <w:tcW w:w="340" w:type="dxa"/>
            <w:vAlign w:val="bottom"/>
            <w:gridSpan w:val="8"/>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tcBorders>
              <w:bottom w:val="single" w:sz="8" w:color="0000FF"/>
            </w:tcBorders>
            <w:gridSpan w:val="20"/>
          </w:tcPr>
          <w:p>
            <w:pPr>
              <w:spacing w:after="0"/>
              <w:rPr>
                <w:rFonts w:ascii="Arial" w:cs="Arial" w:eastAsia="Arial" w:hAnsi="Arial"/>
                <w:sz w:val="17"/>
                <w:szCs w:val="17"/>
                <w:color w:val="0000FF"/>
                <w:w w:val="87"/>
              </w:rPr>
            </w:pPr>
            <w:hyperlink r:id="rId55">
              <w:r>
                <w:rPr>
                  <w:rFonts w:ascii="Arial" w:cs="Arial" w:eastAsia="Arial" w:hAnsi="Arial"/>
                  <w:sz w:val="17"/>
                  <w:szCs w:val="17"/>
                  <w:color w:val="0000FF"/>
                  <w:w w:val="87"/>
                </w:rPr>
                <w:t>First Amendment to 2015 Lease, by and between the registrant</w:t>
              </w:r>
            </w:hyperlink>
          </w:p>
        </w:tc>
        <w:tc>
          <w:tcPr>
            <w:tcW w:w="280" w:type="dxa"/>
            <w:vAlign w:val="bottom"/>
            <w:gridSpan w:val="6"/>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10-Q</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001-37468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7"/>
              </w:rPr>
              <w:t>11/9/2015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6"/>
          </w:tcPr>
          <w:p>
            <w:pPr>
              <w:spacing w:after="0" w:line="179" w:lineRule="exact"/>
              <w:rPr>
                <w:rFonts w:ascii="Arial" w:cs="Arial" w:eastAsia="Arial" w:hAnsi="Arial"/>
                <w:sz w:val="17"/>
                <w:szCs w:val="17"/>
                <w:color w:val="0000FF"/>
              </w:rPr>
            </w:pPr>
            <w:hyperlink r:id="rId55">
              <w:r>
                <w:rPr>
                  <w:rFonts w:ascii="Arial" w:cs="Arial" w:eastAsia="Arial" w:hAnsi="Arial"/>
                  <w:sz w:val="17"/>
                  <w:szCs w:val="17"/>
                  <w:color w:val="0000FF"/>
                </w:rPr>
                <w:t>and Nassau Land Company, L.P., dated October 5, 2015.</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40" w:type="dxa"/>
            <w:vAlign w:val="bottom"/>
            <w:tcBorders>
              <w:top w:val="single" w:sz="8" w:color="0000FF"/>
              <w:bottom w:val="single" w:sz="8" w:color="0000FF"/>
            </w:tcBorders>
            <w:gridSpan w:val="11"/>
          </w:tcPr>
          <w:p>
            <w:pPr>
              <w:spacing w:after="0"/>
              <w:rPr>
                <w:rFonts w:ascii="Arial" w:cs="Arial" w:eastAsia="Arial" w:hAnsi="Arial"/>
                <w:sz w:val="17"/>
                <w:szCs w:val="17"/>
                <w:color w:val="0000FF"/>
                <w:w w:val="87"/>
              </w:rPr>
            </w:pPr>
            <w:hyperlink r:id="rId56">
              <w:r>
                <w:rPr>
                  <w:rFonts w:ascii="Arial" w:cs="Arial" w:eastAsia="Arial" w:hAnsi="Arial"/>
                  <w:sz w:val="17"/>
                  <w:szCs w:val="17"/>
                  <w:color w:val="0000FF"/>
                  <w:w w:val="87"/>
                </w:rPr>
                <w:t>Second Amendment to 2015 Lease, by and between the</w:t>
              </w:r>
            </w:hyperlink>
          </w:p>
        </w:tc>
        <w:tc>
          <w:tcPr>
            <w:tcW w:w="20" w:type="dxa"/>
            <w:vAlign w:val="bottom"/>
            <w:tcBorders>
              <w:top w:val="single" w:sz="8" w:color="0000FF"/>
            </w:tcBorders>
          </w:tcPr>
          <w:p>
            <w:pPr>
              <w:spacing w:after="0"/>
              <w:rPr>
                <w:sz w:val="19"/>
                <w:szCs w:val="19"/>
                <w:color w:val="auto"/>
              </w:rPr>
            </w:pPr>
          </w:p>
        </w:tc>
        <w:tc>
          <w:tcPr>
            <w:tcW w:w="700" w:type="dxa"/>
            <w:vAlign w:val="bottom"/>
            <w:gridSpan w:val="14"/>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001-37468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9"/>
              </w:rPr>
              <w:t>2/29/2016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0000FF"/>
            </w:tcBorders>
            <w:gridSpan w:val="20"/>
          </w:tcPr>
          <w:p>
            <w:pPr>
              <w:spacing w:after="0" w:line="179" w:lineRule="exact"/>
              <w:rPr>
                <w:rFonts w:ascii="Arial" w:cs="Arial" w:eastAsia="Arial" w:hAnsi="Arial"/>
                <w:sz w:val="17"/>
                <w:szCs w:val="17"/>
                <w:color w:val="0000FF"/>
                <w:w w:val="86"/>
              </w:rPr>
            </w:pPr>
            <w:hyperlink r:id="rId56">
              <w:r>
                <w:rPr>
                  <w:rFonts w:ascii="Arial" w:cs="Arial" w:eastAsia="Arial" w:hAnsi="Arial"/>
                  <w:sz w:val="17"/>
                  <w:szCs w:val="17"/>
                  <w:color w:val="0000FF"/>
                  <w:w w:val="86"/>
                </w:rPr>
                <w:t>registrant and Nassau Land Company, L.P., dated February 22,</w:t>
              </w:r>
            </w:hyperlink>
          </w:p>
        </w:tc>
        <w:tc>
          <w:tcPr>
            <w:tcW w:w="280" w:type="dxa"/>
            <w:vAlign w:val="bottom"/>
            <w:gridSpan w:val="6"/>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2"/>
          </w:tcPr>
          <w:p>
            <w:pPr>
              <w:spacing w:after="0" w:line="179" w:lineRule="exact"/>
              <w:rPr>
                <w:rFonts w:ascii="Arial" w:cs="Arial" w:eastAsia="Arial" w:hAnsi="Arial"/>
                <w:sz w:val="17"/>
                <w:szCs w:val="17"/>
                <w:color w:val="0000FF"/>
                <w:w w:val="79"/>
              </w:rPr>
            </w:pPr>
            <w:hyperlink r:id="rId56">
              <w:r>
                <w:rPr>
                  <w:rFonts w:ascii="Arial" w:cs="Arial" w:eastAsia="Arial" w:hAnsi="Arial"/>
                  <w:sz w:val="17"/>
                  <w:szCs w:val="17"/>
                  <w:color w:val="0000FF"/>
                  <w:w w:val="79"/>
                </w:rPr>
                <w:t>2016.</w:t>
              </w:r>
            </w:hyperlink>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tcBorders>
              <w:bottom w:val="single" w:sz="8" w:color="0000FF"/>
            </w:tcBorders>
            <w:gridSpan w:val="19"/>
          </w:tcPr>
          <w:p>
            <w:pPr>
              <w:spacing w:after="0"/>
              <w:rPr>
                <w:rFonts w:ascii="Arial" w:cs="Arial" w:eastAsia="Arial" w:hAnsi="Arial"/>
                <w:sz w:val="17"/>
                <w:szCs w:val="17"/>
                <w:color w:val="0000FF"/>
                <w:w w:val="87"/>
              </w:rPr>
            </w:pPr>
            <w:hyperlink r:id="rId57">
              <w:r>
                <w:rPr>
                  <w:rFonts w:ascii="Arial" w:cs="Arial" w:eastAsia="Arial" w:hAnsi="Arial"/>
                  <w:sz w:val="17"/>
                  <w:szCs w:val="17"/>
                  <w:color w:val="0000FF"/>
                  <w:w w:val="87"/>
                </w:rPr>
                <w:t>Third Amendment to Lease, by and between the registrant and</w:t>
              </w:r>
            </w:hyperlink>
          </w:p>
        </w:tc>
        <w:tc>
          <w:tcPr>
            <w:tcW w:w="300" w:type="dxa"/>
            <w:vAlign w:val="bottom"/>
            <w:gridSpan w:val="7"/>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10-Q</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001-37468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9"/>
              </w:rPr>
              <w:t>7/30/2018</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6"/>
          </w:tcPr>
          <w:p>
            <w:pPr>
              <w:spacing w:after="0" w:line="179" w:lineRule="exact"/>
              <w:rPr>
                <w:rFonts w:ascii="Arial" w:cs="Arial" w:eastAsia="Arial" w:hAnsi="Arial"/>
                <w:sz w:val="17"/>
                <w:szCs w:val="17"/>
                <w:color w:val="0000FF"/>
              </w:rPr>
            </w:pPr>
            <w:hyperlink r:id="rId57">
              <w:r>
                <w:rPr>
                  <w:rFonts w:ascii="Arial" w:cs="Arial" w:eastAsia="Arial" w:hAnsi="Arial"/>
                  <w:sz w:val="17"/>
                  <w:szCs w:val="17"/>
                  <w:color w:val="0000FF"/>
                </w:rPr>
                <w:t>Nassau Land Company, L.P., dated July 1, 2018.</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0"/>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437"/>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4"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4"/>
          </w:tcPr>
          <w:p>
            <w:pPr>
              <w:ind w:left="480"/>
              <w:spacing w:after="0"/>
              <w:rPr>
                <w:sz w:val="20"/>
                <w:szCs w:val="20"/>
                <w:color w:val="auto"/>
              </w:rPr>
            </w:pPr>
            <w:r>
              <w:rPr>
                <w:rFonts w:ascii="Arial" w:cs="Arial" w:eastAsia="Arial" w:hAnsi="Arial"/>
                <w:sz w:val="17"/>
                <w:szCs w:val="17"/>
                <w:b w:val="1"/>
                <w:bCs w:val="1"/>
                <w:color w:val="auto"/>
                <w:w w:val="92"/>
              </w:rPr>
              <w:t>Incorporated by Reference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7"/>
                <w:szCs w:val="17"/>
                <w:b w:val="1"/>
                <w:bCs w:val="1"/>
                <w:color w:val="auto"/>
                <w:w w:val="91"/>
              </w:rPr>
              <w:t>Exhibit</w:t>
            </w: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Number</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60" w:type="dxa"/>
            <w:vAlign w:val="bottom"/>
            <w:gridSpan w:val="25"/>
          </w:tcPr>
          <w:p>
            <w:pPr>
              <w:ind w:left="660"/>
              <w:spacing w:after="0"/>
              <w:rPr>
                <w:sz w:val="20"/>
                <w:szCs w:val="20"/>
                <w:color w:val="auto"/>
              </w:rPr>
            </w:pPr>
            <w:r>
              <w:rPr>
                <w:rFonts w:ascii="Arial" w:cs="Arial" w:eastAsia="Arial" w:hAnsi="Arial"/>
                <w:sz w:val="17"/>
                <w:szCs w:val="17"/>
                <w:b w:val="1"/>
                <w:bCs w:val="1"/>
                <w:color w:val="auto"/>
              </w:rPr>
              <w:t>Exhibit Description</w:t>
            </w:r>
          </w:p>
        </w:tc>
        <w:tc>
          <w:tcPr>
            <w:tcW w:w="9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Form</w:t>
            </w:r>
          </w:p>
        </w:tc>
        <w:tc>
          <w:tcPr>
            <w:tcW w:w="1380" w:type="dxa"/>
            <w:vAlign w:val="bottom"/>
            <w:gridSpan w:val="2"/>
          </w:tcPr>
          <w:p>
            <w:pPr>
              <w:ind w:left="360"/>
              <w:spacing w:after="0"/>
              <w:rPr>
                <w:sz w:val="20"/>
                <w:szCs w:val="20"/>
                <w:color w:val="auto"/>
              </w:rPr>
            </w:pPr>
            <w:r>
              <w:rPr>
                <w:rFonts w:ascii="Arial" w:cs="Arial" w:eastAsia="Arial" w:hAnsi="Arial"/>
                <w:sz w:val="17"/>
                <w:szCs w:val="17"/>
                <w:b w:val="1"/>
                <w:bCs w:val="1"/>
                <w:color w:val="auto"/>
              </w:rPr>
              <w:t>File No.</w:t>
            </w:r>
          </w:p>
        </w:tc>
        <w:tc>
          <w:tcPr>
            <w:tcW w:w="1120" w:type="dxa"/>
            <w:vAlign w:val="bottom"/>
            <w:gridSpan w:val="2"/>
          </w:tcPr>
          <w:p>
            <w:pPr>
              <w:ind w:left="240"/>
              <w:spacing w:after="0"/>
              <w:rPr>
                <w:sz w:val="20"/>
                <w:szCs w:val="20"/>
                <w:color w:val="auto"/>
              </w:rPr>
            </w:pPr>
            <w:r>
              <w:rPr>
                <w:rFonts w:ascii="Arial" w:cs="Arial" w:eastAsia="Arial" w:hAnsi="Arial"/>
                <w:sz w:val="17"/>
                <w:szCs w:val="17"/>
                <w:b w:val="1"/>
                <w:bCs w:val="1"/>
                <w:color w:val="auto"/>
              </w:rPr>
              <w:t>Exhibit</w:t>
            </w:r>
          </w:p>
        </w:tc>
        <w:tc>
          <w:tcPr>
            <w:tcW w:w="1380" w:type="dxa"/>
            <w:vAlign w:val="bottom"/>
            <w:gridSpan w:val="2"/>
          </w:tcPr>
          <w:p>
            <w:pPr>
              <w:ind w:left="240"/>
              <w:spacing w:after="0"/>
              <w:rPr>
                <w:sz w:val="20"/>
                <w:szCs w:val="20"/>
                <w:color w:val="auto"/>
              </w:rPr>
            </w:pPr>
            <w:r>
              <w:rPr>
                <w:rFonts w:ascii="Arial" w:cs="Arial" w:eastAsia="Arial" w:hAnsi="Arial"/>
                <w:sz w:val="17"/>
                <w:szCs w:val="17"/>
                <w:b w:val="1"/>
                <w:bCs w:val="1"/>
                <w:color w:val="auto"/>
              </w:rPr>
              <w:t>Filing Date</w:t>
            </w: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91"/>
              </w:rPr>
              <w:t>Filed Herewith</w:t>
            </w:r>
          </w:p>
        </w:tc>
        <w:tc>
          <w:tcPr>
            <w:tcW w:w="0" w:type="dxa"/>
            <w:vAlign w:val="bottom"/>
          </w:tcPr>
          <w:p>
            <w:pPr>
              <w:spacing w:after="0"/>
              <w:rPr>
                <w:sz w:val="1"/>
                <w:szCs w:val="1"/>
                <w:color w:val="auto"/>
              </w:rPr>
            </w:pPr>
          </w:p>
        </w:tc>
      </w:tr>
      <w:tr>
        <w:trPr>
          <w:trHeight w:val="25"/>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920" w:type="dxa"/>
            <w:vAlign w:val="bottom"/>
          </w:tcPr>
          <w:p>
            <w:pPr>
              <w:jc w:val="center"/>
              <w:spacing w:after="0" w:line="179" w:lineRule="exact"/>
              <w:rPr>
                <w:sz w:val="20"/>
                <w:szCs w:val="20"/>
                <w:color w:val="auto"/>
              </w:rPr>
            </w:pPr>
            <w:r>
              <w:rPr>
                <w:rFonts w:ascii="Arial" w:cs="Arial" w:eastAsia="Arial" w:hAnsi="Arial"/>
                <w:sz w:val="17"/>
                <w:szCs w:val="17"/>
                <w:color w:val="auto"/>
                <w:w w:val="84"/>
              </w:rPr>
              <w:t>10.7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8"/>
          </w:tcPr>
          <w:p>
            <w:pPr>
              <w:spacing w:after="0" w:line="179" w:lineRule="exact"/>
              <w:rPr>
                <w:rFonts w:ascii="Arial" w:cs="Arial" w:eastAsia="Arial" w:hAnsi="Arial"/>
                <w:sz w:val="17"/>
                <w:szCs w:val="17"/>
                <w:color w:val="0000FF"/>
                <w:w w:val="91"/>
              </w:rPr>
            </w:pPr>
            <w:hyperlink r:id="rId58">
              <w:r>
                <w:rPr>
                  <w:rFonts w:ascii="Arial" w:cs="Arial" w:eastAsia="Arial" w:hAnsi="Arial"/>
                  <w:sz w:val="17"/>
                  <w:szCs w:val="17"/>
                  <w:color w:val="0000FF"/>
                  <w:w w:val="91"/>
                </w:rPr>
                <w:t>Multi-Tenant Industrial Lease, by and between the registrant and</w:t>
              </w:r>
            </w:hyperlink>
          </w:p>
        </w:tc>
        <w:tc>
          <w:tcPr>
            <w:tcW w:w="900" w:type="dxa"/>
            <w:vAlign w:val="bottom"/>
            <w:gridSpan w:val="2"/>
          </w:tcPr>
          <w:p>
            <w:pPr>
              <w:jc w:val="center"/>
              <w:ind w:right="120"/>
              <w:spacing w:after="0" w:line="179" w:lineRule="exact"/>
              <w:rPr>
                <w:sz w:val="20"/>
                <w:szCs w:val="20"/>
                <w:color w:val="auto"/>
              </w:rPr>
            </w:pPr>
            <w:r>
              <w:rPr>
                <w:rFonts w:ascii="Arial" w:cs="Arial" w:eastAsia="Arial" w:hAnsi="Arial"/>
                <w:sz w:val="17"/>
                <w:szCs w:val="17"/>
                <w:color w:val="auto"/>
                <w:w w:val="89"/>
              </w:rPr>
              <w:t>10-Q</w:t>
            </w:r>
          </w:p>
        </w:tc>
        <w:tc>
          <w:tcPr>
            <w:tcW w:w="1260" w:type="dxa"/>
            <w:vAlign w:val="bottom"/>
          </w:tcPr>
          <w:p>
            <w:pPr>
              <w:jc w:val="center"/>
              <w:spacing w:after="0" w:line="179" w:lineRule="exact"/>
              <w:rPr>
                <w:sz w:val="20"/>
                <w:szCs w:val="20"/>
                <w:color w:val="auto"/>
              </w:rPr>
            </w:pPr>
            <w:r>
              <w:rPr>
                <w:rFonts w:ascii="Arial" w:cs="Arial" w:eastAsia="Arial" w:hAnsi="Arial"/>
                <w:sz w:val="17"/>
                <w:szCs w:val="17"/>
                <w:color w:val="auto"/>
                <w:w w:val="88"/>
              </w:rPr>
              <w:t>001-37468</w:t>
            </w:r>
          </w:p>
        </w:tc>
        <w:tc>
          <w:tcPr>
            <w:tcW w:w="120" w:type="dxa"/>
            <w:vAlign w:val="bottom"/>
          </w:tcPr>
          <w:p>
            <w:pPr>
              <w:spacing w:after="0"/>
              <w:rPr>
                <w:sz w:val="15"/>
                <w:szCs w:val="15"/>
                <w:color w:val="auto"/>
              </w:rPr>
            </w:pPr>
          </w:p>
        </w:tc>
        <w:tc>
          <w:tcPr>
            <w:tcW w:w="1020" w:type="dxa"/>
            <w:vAlign w:val="bottom"/>
          </w:tcPr>
          <w:p>
            <w:pPr>
              <w:jc w:val="center"/>
              <w:spacing w:after="0" w:line="179" w:lineRule="exact"/>
              <w:rPr>
                <w:sz w:val="20"/>
                <w:szCs w:val="20"/>
                <w:color w:val="auto"/>
              </w:rPr>
            </w:pPr>
            <w:r>
              <w:rPr>
                <w:rFonts w:ascii="Arial" w:cs="Arial" w:eastAsia="Arial" w:hAnsi="Arial"/>
                <w:sz w:val="17"/>
                <w:szCs w:val="17"/>
                <w:color w:val="auto"/>
                <w:w w:val="90"/>
              </w:rPr>
              <w:t>10.2</w:t>
            </w:r>
          </w:p>
        </w:tc>
        <w:tc>
          <w:tcPr>
            <w:tcW w:w="100" w:type="dxa"/>
            <w:vAlign w:val="bottom"/>
          </w:tcPr>
          <w:p>
            <w:pPr>
              <w:spacing w:after="0"/>
              <w:rPr>
                <w:sz w:val="15"/>
                <w:szCs w:val="15"/>
                <w:color w:val="auto"/>
              </w:rPr>
            </w:pPr>
          </w:p>
        </w:tc>
        <w:tc>
          <w:tcPr>
            <w:tcW w:w="1260" w:type="dxa"/>
            <w:vAlign w:val="bottom"/>
          </w:tcPr>
          <w:p>
            <w:pPr>
              <w:jc w:val="center"/>
              <w:spacing w:after="0" w:line="179" w:lineRule="exact"/>
              <w:rPr>
                <w:sz w:val="20"/>
                <w:szCs w:val="20"/>
                <w:color w:val="auto"/>
              </w:rPr>
            </w:pPr>
            <w:r>
              <w:rPr>
                <w:rFonts w:ascii="Arial" w:cs="Arial" w:eastAsia="Arial" w:hAnsi="Arial"/>
                <w:sz w:val="17"/>
                <w:szCs w:val="17"/>
                <w:color w:val="auto"/>
                <w:w w:val="89"/>
              </w:rPr>
              <w:t>7/30/2018</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tcBorders>
              <w:top w:val="single" w:sz="8" w:color="0000FF"/>
            </w:tcBorders>
            <w:gridSpan w:val="26"/>
          </w:tcPr>
          <w:p>
            <w:pPr>
              <w:spacing w:after="0" w:line="179" w:lineRule="exact"/>
              <w:rPr>
                <w:rFonts w:ascii="Arial" w:cs="Arial" w:eastAsia="Arial" w:hAnsi="Arial"/>
                <w:sz w:val="17"/>
                <w:szCs w:val="17"/>
                <w:color w:val="0000FF"/>
              </w:rPr>
            </w:pPr>
            <w:hyperlink r:id="rId58">
              <w:r>
                <w:rPr>
                  <w:rFonts w:ascii="Arial" w:cs="Arial" w:eastAsia="Arial" w:hAnsi="Arial"/>
                  <w:sz w:val="17"/>
                  <w:szCs w:val="17"/>
                  <w:color w:val="0000FF"/>
                </w:rPr>
                <w:t>Nassau Land Company, L.P., dated July 1, 2018.</w:t>
              </w:r>
            </w:hyperlink>
          </w:p>
        </w:tc>
        <w:tc>
          <w:tcPr>
            <w:tcW w:w="16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28"/>
          </w:tcPr>
          <w:p>
            <w:pPr>
              <w:spacing w:after="0"/>
              <w:rPr>
                <w:rFonts w:ascii="Arial" w:cs="Arial" w:eastAsia="Arial" w:hAnsi="Arial"/>
                <w:sz w:val="17"/>
                <w:szCs w:val="17"/>
                <w:color w:val="0000FF"/>
                <w:w w:val="91"/>
              </w:rPr>
            </w:pPr>
            <w:hyperlink r:id="rId59">
              <w:r>
                <w:rPr>
                  <w:rFonts w:ascii="Arial" w:cs="Arial" w:eastAsia="Arial" w:hAnsi="Arial"/>
                  <w:sz w:val="17"/>
                  <w:szCs w:val="17"/>
                  <w:color w:val="0000FF"/>
                  <w:w w:val="91"/>
                </w:rPr>
                <w:t>WeWork membership Agreement, by and between the registrant</w:t>
              </w:r>
            </w:hyperlink>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001-37468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10.8</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9"/>
              </w:rPr>
              <w:t>2/28/2019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tcBorders>
              <w:top w:val="single" w:sz="8" w:color="0000FF"/>
            </w:tcBorders>
            <w:gridSpan w:val="25"/>
          </w:tcPr>
          <w:p>
            <w:pPr>
              <w:spacing w:after="0" w:line="179" w:lineRule="exact"/>
              <w:rPr>
                <w:rFonts w:ascii="Arial" w:cs="Arial" w:eastAsia="Arial" w:hAnsi="Arial"/>
                <w:sz w:val="17"/>
                <w:szCs w:val="17"/>
                <w:color w:val="0000FF"/>
              </w:rPr>
            </w:pPr>
            <w:hyperlink r:id="rId59">
              <w:r>
                <w:rPr>
                  <w:rFonts w:ascii="Arial" w:cs="Arial" w:eastAsia="Arial" w:hAnsi="Arial"/>
                  <w:sz w:val="17"/>
                  <w:szCs w:val="17"/>
                  <w:color w:val="0000FF"/>
                </w:rPr>
                <w:t>and WeWork, dated September 28, 2018.</w:t>
              </w:r>
            </w:hyperlink>
          </w:p>
        </w:tc>
        <w:tc>
          <w:tcPr>
            <w:tcW w:w="20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0" w:type="dxa"/>
            <w:vAlign w:val="bottom"/>
            <w:tcBorders>
              <w:bottom w:val="single" w:sz="8" w:color="0000FF"/>
            </w:tcBorders>
            <w:gridSpan w:val="14"/>
          </w:tcPr>
          <w:p>
            <w:pPr>
              <w:spacing w:after="0"/>
              <w:rPr>
                <w:rFonts w:ascii="Arial" w:cs="Arial" w:eastAsia="Arial" w:hAnsi="Arial"/>
                <w:sz w:val="17"/>
                <w:szCs w:val="17"/>
                <w:color w:val="0000FF"/>
                <w:w w:val="87"/>
              </w:rPr>
            </w:pPr>
            <w:hyperlink r:id="rId60">
              <w:r>
                <w:rPr>
                  <w:rFonts w:ascii="Arial" w:cs="Arial" w:eastAsia="Arial" w:hAnsi="Arial"/>
                  <w:sz w:val="17"/>
                  <w:szCs w:val="17"/>
                  <w:color w:val="0000FF"/>
                  <w:w w:val="87"/>
                </w:rPr>
                <w:t>2007 Stock Incentive Plan, as amended, and related form</w:t>
              </w:r>
            </w:hyperlink>
          </w:p>
        </w:tc>
        <w:tc>
          <w:tcPr>
            <w:tcW w:w="660" w:type="dxa"/>
            <w:vAlign w:val="bottom"/>
            <w:gridSpan w:val="14"/>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S-1/A</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333-204262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10.3</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6/4/2015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8"/>
          </w:tcPr>
          <w:p>
            <w:pPr>
              <w:spacing w:after="0" w:line="179" w:lineRule="exact"/>
              <w:rPr>
                <w:rFonts w:ascii="Arial" w:cs="Arial" w:eastAsia="Arial" w:hAnsi="Arial"/>
                <w:sz w:val="17"/>
                <w:szCs w:val="17"/>
                <w:color w:val="0000FF"/>
              </w:rPr>
            </w:pPr>
            <w:hyperlink r:id="rId60">
              <w:r>
                <w:rPr>
                  <w:rFonts w:ascii="Arial" w:cs="Arial" w:eastAsia="Arial" w:hAnsi="Arial"/>
                  <w:sz w:val="17"/>
                  <w:szCs w:val="17"/>
                  <w:color w:val="0000FF"/>
                </w:rPr>
                <w:t>agreements.</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28"/>
          </w:tcPr>
          <w:p>
            <w:pPr>
              <w:spacing w:after="0"/>
              <w:rPr>
                <w:rFonts w:ascii="Arial" w:cs="Arial" w:eastAsia="Arial" w:hAnsi="Arial"/>
                <w:sz w:val="17"/>
                <w:szCs w:val="17"/>
                <w:color w:val="0000FF"/>
              </w:rPr>
            </w:pPr>
            <w:hyperlink r:id="rId61">
              <w:r>
                <w:rPr>
                  <w:rFonts w:ascii="Arial" w:cs="Arial" w:eastAsia="Arial" w:hAnsi="Arial"/>
                  <w:sz w:val="17"/>
                  <w:szCs w:val="17"/>
                  <w:color w:val="0000FF"/>
                </w:rPr>
                <w:t>2015 Stock Incentive Plan and related form agreements.</w:t>
              </w:r>
            </w:hyperlink>
          </w:p>
        </w:tc>
        <w:tc>
          <w:tcPr>
            <w:tcW w:w="90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S-1/A</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333-204262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10.4</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6/4/2015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top w:val="single" w:sz="8" w:color="0000FF"/>
              <w:bottom w:val="single" w:sz="8" w:color="0000FF"/>
            </w:tcBorders>
            <w:gridSpan w:val="7"/>
          </w:tcPr>
          <w:p>
            <w:pPr>
              <w:spacing w:after="0"/>
              <w:rPr>
                <w:rFonts w:ascii="Arial" w:cs="Arial" w:eastAsia="Arial" w:hAnsi="Arial"/>
                <w:sz w:val="17"/>
                <w:szCs w:val="17"/>
                <w:color w:val="0000FF"/>
                <w:w w:val="86"/>
              </w:rPr>
            </w:pPr>
            <w:hyperlink r:id="rId62">
              <w:r>
                <w:rPr>
                  <w:rFonts w:ascii="Arial" w:cs="Arial" w:eastAsia="Arial" w:hAnsi="Arial"/>
                  <w:sz w:val="17"/>
                  <w:szCs w:val="17"/>
                  <w:color w:val="0000FF"/>
                  <w:w w:val="86"/>
                </w:rPr>
                <w:t>2015 Employee Stock Purchase Plan.</w:t>
              </w:r>
            </w:hyperlink>
          </w:p>
        </w:tc>
        <w:tc>
          <w:tcPr>
            <w:tcW w:w="1220" w:type="dxa"/>
            <w:vAlign w:val="bottom"/>
            <w:tcBorders>
              <w:top w:val="single" w:sz="8" w:color="0000FF"/>
            </w:tcBorders>
            <w:gridSpan w:val="5"/>
          </w:tcPr>
          <w:p>
            <w:pPr>
              <w:spacing w:after="0"/>
              <w:rPr>
                <w:sz w:val="19"/>
                <w:szCs w:val="19"/>
                <w:color w:val="auto"/>
              </w:rPr>
            </w:pPr>
          </w:p>
        </w:tc>
        <w:tc>
          <w:tcPr>
            <w:tcW w:w="740" w:type="dxa"/>
            <w:vAlign w:val="bottom"/>
            <w:gridSpan w:val="16"/>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S-1/A</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333-204262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10.5</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6/4/2015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80" w:type="dxa"/>
            <w:vAlign w:val="bottom"/>
            <w:tcBorders>
              <w:bottom w:val="single" w:sz="8" w:color="0000FF"/>
            </w:tcBorders>
            <w:gridSpan w:val="5"/>
          </w:tcPr>
          <w:p>
            <w:pPr>
              <w:spacing w:after="0"/>
              <w:rPr>
                <w:rFonts w:ascii="Arial" w:cs="Arial" w:eastAsia="Arial" w:hAnsi="Arial"/>
                <w:sz w:val="17"/>
                <w:szCs w:val="17"/>
                <w:color w:val="0000FF"/>
                <w:w w:val="88"/>
              </w:rPr>
            </w:pPr>
            <w:hyperlink r:id="rId63">
              <w:r>
                <w:rPr>
                  <w:rFonts w:ascii="Arial" w:cs="Arial" w:eastAsia="Arial" w:hAnsi="Arial"/>
                  <w:sz w:val="17"/>
                  <w:szCs w:val="17"/>
                  <w:color w:val="0000FF"/>
                  <w:w w:val="88"/>
                </w:rPr>
                <w:t>Long-Term Cash Incentive Plan.</w:t>
              </w:r>
            </w:hyperlink>
          </w:p>
        </w:tc>
        <w:tc>
          <w:tcPr>
            <w:tcW w:w="2280" w:type="dxa"/>
            <w:vAlign w:val="bottom"/>
            <w:gridSpan w:val="23"/>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001-37468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10.9</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9"/>
              </w:rPr>
              <w:t>2/26/2018</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tcBorders>
              <w:bottom w:val="single" w:sz="8" w:color="0000FF"/>
            </w:tcBorders>
            <w:gridSpan w:val="11"/>
          </w:tcPr>
          <w:p>
            <w:pPr>
              <w:spacing w:after="0"/>
              <w:rPr>
                <w:rFonts w:ascii="Arial" w:cs="Arial" w:eastAsia="Arial" w:hAnsi="Arial"/>
                <w:sz w:val="17"/>
                <w:szCs w:val="17"/>
                <w:color w:val="0000FF"/>
                <w:w w:val="89"/>
              </w:rPr>
            </w:pPr>
            <w:hyperlink r:id="rId64">
              <w:r>
                <w:rPr>
                  <w:rFonts w:ascii="Arial" w:cs="Arial" w:eastAsia="Arial" w:hAnsi="Arial"/>
                  <w:sz w:val="17"/>
                  <w:szCs w:val="17"/>
                  <w:color w:val="0000FF"/>
                  <w:w w:val="89"/>
                </w:rPr>
                <w:t>Form of Long-Term Cash Incentive Award Offer.</w:t>
              </w:r>
            </w:hyperlink>
          </w:p>
        </w:tc>
        <w:tc>
          <w:tcPr>
            <w:tcW w:w="1180" w:type="dxa"/>
            <w:vAlign w:val="bottom"/>
            <w:gridSpan w:val="17"/>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001-37468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89"/>
              </w:rPr>
              <w:t>10.10</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9"/>
              </w:rPr>
              <w:t>2/26/2018</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60" w:type="dxa"/>
            <w:vAlign w:val="bottom"/>
            <w:tcBorders>
              <w:bottom w:val="single" w:sz="8" w:color="0000FF"/>
            </w:tcBorders>
            <w:gridSpan w:val="13"/>
          </w:tcPr>
          <w:p>
            <w:pPr>
              <w:spacing w:after="0"/>
              <w:rPr>
                <w:rFonts w:ascii="Arial" w:cs="Arial" w:eastAsia="Arial" w:hAnsi="Arial"/>
                <w:sz w:val="17"/>
                <w:szCs w:val="17"/>
                <w:color w:val="0000FF"/>
                <w:w w:val="89"/>
              </w:rPr>
            </w:pPr>
            <w:hyperlink w:anchor="page102">
              <w:r>
                <w:rPr>
                  <w:rFonts w:ascii="Arial" w:cs="Arial" w:eastAsia="Arial" w:hAnsi="Arial"/>
                  <w:sz w:val="17"/>
                  <w:szCs w:val="17"/>
                  <w:color w:val="0000FF"/>
                  <w:w w:val="89"/>
                </w:rPr>
                <w:t>Form of Indemnification Agreement by and between the</w:t>
              </w:r>
            </w:hyperlink>
          </w:p>
        </w:tc>
        <w:tc>
          <w:tcPr>
            <w:tcW w:w="700" w:type="dxa"/>
            <w:vAlign w:val="bottom"/>
            <w:gridSpan w:val="15"/>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8"/>
          </w:tcPr>
          <w:p>
            <w:pPr>
              <w:spacing w:after="0" w:line="179" w:lineRule="exact"/>
              <w:rPr>
                <w:rFonts w:ascii="Arial" w:cs="Arial" w:eastAsia="Arial" w:hAnsi="Arial"/>
                <w:sz w:val="17"/>
                <w:szCs w:val="17"/>
                <w:color w:val="0000FF"/>
              </w:rPr>
            </w:pPr>
            <w:hyperlink w:anchor="page102">
              <w:r>
                <w:rPr>
                  <w:rFonts w:ascii="Arial" w:cs="Arial" w:eastAsia="Arial" w:hAnsi="Arial"/>
                  <w:sz w:val="17"/>
                  <w:szCs w:val="17"/>
                  <w:color w:val="0000FF"/>
                </w:rPr>
                <w:t>registrant and each of its executive officers and directors.</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20" w:type="dxa"/>
            <w:vAlign w:val="bottom"/>
            <w:tcBorders>
              <w:bottom w:val="single" w:sz="8" w:color="0000FF"/>
            </w:tcBorders>
            <w:gridSpan w:val="20"/>
          </w:tcPr>
          <w:p>
            <w:pPr>
              <w:spacing w:after="0"/>
              <w:rPr>
                <w:rFonts w:ascii="Arial" w:cs="Arial" w:eastAsia="Arial" w:hAnsi="Arial"/>
                <w:sz w:val="17"/>
                <w:szCs w:val="17"/>
                <w:color w:val="0000FF"/>
                <w:w w:val="88"/>
              </w:rPr>
            </w:pPr>
            <w:hyperlink r:id="rId65">
              <w:r>
                <w:rPr>
                  <w:rFonts w:ascii="Arial" w:cs="Arial" w:eastAsia="Arial" w:hAnsi="Arial"/>
                  <w:sz w:val="17"/>
                  <w:szCs w:val="17"/>
                  <w:color w:val="0000FF"/>
                  <w:w w:val="88"/>
                </w:rPr>
                <w:t>Credit Agreement, by and among the registrant, Wells Fargo</w:t>
              </w:r>
            </w:hyperlink>
          </w:p>
        </w:tc>
        <w:tc>
          <w:tcPr>
            <w:tcW w:w="440" w:type="dxa"/>
            <w:vAlign w:val="bottom"/>
            <w:gridSpan w:val="8"/>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S-1</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333-204262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10.7</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9"/>
              </w:rPr>
              <w:t>5/18/2015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bottom w:val="single" w:sz="8" w:color="0000FF"/>
            </w:tcBorders>
            <w:gridSpan w:val="19"/>
          </w:tcPr>
          <w:p>
            <w:pPr>
              <w:spacing w:after="0" w:line="179" w:lineRule="exact"/>
              <w:rPr>
                <w:rFonts w:ascii="Arial" w:cs="Arial" w:eastAsia="Arial" w:hAnsi="Arial"/>
                <w:sz w:val="17"/>
                <w:szCs w:val="17"/>
                <w:color w:val="0000FF"/>
                <w:w w:val="87"/>
              </w:rPr>
            </w:pPr>
            <w:hyperlink r:id="rId65">
              <w:r>
                <w:rPr>
                  <w:rFonts w:ascii="Arial" w:cs="Arial" w:eastAsia="Arial" w:hAnsi="Arial"/>
                  <w:sz w:val="17"/>
                  <w:szCs w:val="17"/>
                  <w:color w:val="0000FF"/>
                  <w:w w:val="87"/>
                </w:rPr>
                <w:t>Bank, N.A., as administrative agent, and the lenders that are</w:t>
              </w:r>
            </w:hyperlink>
          </w:p>
        </w:tc>
        <w:tc>
          <w:tcPr>
            <w:tcW w:w="460" w:type="dxa"/>
            <w:vAlign w:val="bottom"/>
            <w:gridSpan w:val="9"/>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tcBorders>
              <w:bottom w:val="single" w:sz="8" w:color="0000FF"/>
            </w:tcBorders>
            <w:gridSpan w:val="8"/>
          </w:tcPr>
          <w:p>
            <w:pPr>
              <w:spacing w:after="0" w:line="179" w:lineRule="exact"/>
              <w:rPr>
                <w:rFonts w:ascii="Arial" w:cs="Arial" w:eastAsia="Arial" w:hAnsi="Arial"/>
                <w:sz w:val="17"/>
                <w:szCs w:val="17"/>
                <w:color w:val="0000FF"/>
                <w:w w:val="87"/>
              </w:rPr>
            </w:pPr>
            <w:hyperlink r:id="rId65">
              <w:r>
                <w:rPr>
                  <w:rFonts w:ascii="Arial" w:cs="Arial" w:eastAsia="Arial" w:hAnsi="Arial"/>
                  <w:sz w:val="17"/>
                  <w:szCs w:val="17"/>
                  <w:color w:val="0000FF"/>
                  <w:w w:val="87"/>
                </w:rPr>
                <w:t>parties thereto, dated March 16, 2015.</w:t>
              </w:r>
            </w:hyperlink>
          </w:p>
        </w:tc>
        <w:tc>
          <w:tcPr>
            <w:tcW w:w="1920" w:type="dxa"/>
            <w:vAlign w:val="bottom"/>
            <w:gridSpan w:val="20"/>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tcBorders>
              <w:bottom w:val="single" w:sz="8" w:color="0000FF"/>
            </w:tcBorders>
            <w:gridSpan w:val="22"/>
          </w:tcPr>
          <w:p>
            <w:pPr>
              <w:spacing w:after="0"/>
              <w:rPr>
                <w:rFonts w:ascii="Arial" w:cs="Arial" w:eastAsia="Arial" w:hAnsi="Arial"/>
                <w:sz w:val="17"/>
                <w:szCs w:val="17"/>
                <w:color w:val="0000FF"/>
                <w:w w:val="88"/>
              </w:rPr>
            </w:pPr>
            <w:hyperlink r:id="rId66">
              <w:r>
                <w:rPr>
                  <w:rFonts w:ascii="Arial" w:cs="Arial" w:eastAsia="Arial" w:hAnsi="Arial"/>
                  <w:sz w:val="17"/>
                  <w:szCs w:val="17"/>
                  <w:color w:val="0000FF"/>
                  <w:w w:val="88"/>
                </w:rPr>
                <w:t>Amendment Number One to Credit Agreement, by and among</w:t>
              </w:r>
            </w:hyperlink>
          </w:p>
        </w:tc>
        <w:tc>
          <w:tcPr>
            <w:tcW w:w="300" w:type="dxa"/>
            <w:vAlign w:val="bottom"/>
            <w:gridSpan w:val="6"/>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10-Q</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001-37468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7"/>
              </w:rPr>
              <w:t>11/9/2015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8"/>
          </w:tcPr>
          <w:p>
            <w:pPr>
              <w:spacing w:after="0" w:line="179" w:lineRule="exact"/>
              <w:rPr>
                <w:rFonts w:ascii="Arial" w:cs="Arial" w:eastAsia="Arial" w:hAnsi="Arial"/>
                <w:sz w:val="17"/>
                <w:szCs w:val="17"/>
                <w:color w:val="0000FF"/>
                <w:w w:val="93"/>
              </w:rPr>
            </w:pPr>
            <w:hyperlink r:id="rId66">
              <w:r>
                <w:rPr>
                  <w:rFonts w:ascii="Arial" w:cs="Arial" w:eastAsia="Arial" w:hAnsi="Arial"/>
                  <w:sz w:val="17"/>
                  <w:szCs w:val="17"/>
                  <w:color w:val="0000FF"/>
                  <w:w w:val="93"/>
                </w:rPr>
                <w:t>the registrant, Wells Fargo Bank, N.A., as administrative agent,</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top w:val="single" w:sz="8" w:color="0000FF"/>
            </w:tcBorders>
            <w:gridSpan w:val="24"/>
          </w:tcPr>
          <w:p>
            <w:pPr>
              <w:spacing w:after="0" w:line="179" w:lineRule="exact"/>
              <w:rPr>
                <w:rFonts w:ascii="Arial" w:cs="Arial" w:eastAsia="Arial" w:hAnsi="Arial"/>
                <w:sz w:val="17"/>
                <w:szCs w:val="17"/>
                <w:color w:val="0000FF"/>
                <w:w w:val="87"/>
              </w:rPr>
            </w:pPr>
            <w:hyperlink r:id="rId66">
              <w:r>
                <w:rPr>
                  <w:rFonts w:ascii="Arial" w:cs="Arial" w:eastAsia="Arial" w:hAnsi="Arial"/>
                  <w:sz w:val="17"/>
                  <w:szCs w:val="17"/>
                  <w:color w:val="0000FF"/>
                  <w:w w:val="87"/>
                </w:rPr>
                <w:t>and the lenders that are parties thereto, dated October 9, 2015.</w:t>
              </w:r>
            </w:hyperlink>
          </w:p>
        </w:tc>
        <w:tc>
          <w:tcPr>
            <w:tcW w:w="260" w:type="dxa"/>
            <w:vAlign w:val="bottom"/>
            <w:gridSpan w:val="4"/>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2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tcBorders>
              <w:bottom w:val="single" w:sz="8" w:color="0000FF"/>
            </w:tcBorders>
            <w:gridSpan w:val="23"/>
          </w:tcPr>
          <w:p>
            <w:pPr>
              <w:spacing w:after="0"/>
              <w:rPr>
                <w:rFonts w:ascii="Arial" w:cs="Arial" w:eastAsia="Arial" w:hAnsi="Arial"/>
                <w:sz w:val="17"/>
                <w:szCs w:val="17"/>
                <w:color w:val="0000FF"/>
                <w:w w:val="88"/>
              </w:rPr>
            </w:pPr>
            <w:hyperlink r:id="rId67">
              <w:r>
                <w:rPr>
                  <w:rFonts w:ascii="Arial" w:cs="Arial" w:eastAsia="Arial" w:hAnsi="Arial"/>
                  <w:sz w:val="17"/>
                  <w:szCs w:val="17"/>
                  <w:color w:val="0000FF"/>
                  <w:w w:val="88"/>
                </w:rPr>
                <w:t>Amendment Number Two to Credit Agreement, by and among</w:t>
              </w:r>
            </w:hyperlink>
          </w:p>
        </w:tc>
        <w:tc>
          <w:tcPr>
            <w:tcW w:w="280" w:type="dxa"/>
            <w:vAlign w:val="bottom"/>
            <w:gridSpan w:val="5"/>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10-K</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001-37468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89"/>
              </w:rPr>
              <w:t>10.17</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9"/>
              </w:rPr>
              <w:t>2/28/2019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8"/>
          </w:tcPr>
          <w:p>
            <w:pPr>
              <w:spacing w:after="0" w:line="179" w:lineRule="exact"/>
              <w:rPr>
                <w:rFonts w:ascii="Arial" w:cs="Arial" w:eastAsia="Arial" w:hAnsi="Arial"/>
                <w:sz w:val="17"/>
                <w:szCs w:val="17"/>
                <w:color w:val="0000FF"/>
                <w:w w:val="93"/>
              </w:rPr>
            </w:pPr>
            <w:hyperlink r:id="rId67">
              <w:r>
                <w:rPr>
                  <w:rFonts w:ascii="Arial" w:cs="Arial" w:eastAsia="Arial" w:hAnsi="Arial"/>
                  <w:sz w:val="17"/>
                  <w:szCs w:val="17"/>
                  <w:color w:val="0000FF"/>
                  <w:w w:val="93"/>
                </w:rPr>
                <w:t>the registrant, Wells Fargo Bank, N.A., as administrative agent,</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top w:val="single" w:sz="8" w:color="0000FF"/>
            </w:tcBorders>
            <w:gridSpan w:val="24"/>
          </w:tcPr>
          <w:p>
            <w:pPr>
              <w:spacing w:after="0" w:line="179" w:lineRule="exact"/>
              <w:rPr>
                <w:rFonts w:ascii="Arial" w:cs="Arial" w:eastAsia="Arial" w:hAnsi="Arial"/>
                <w:sz w:val="17"/>
                <w:szCs w:val="17"/>
                <w:color w:val="0000FF"/>
                <w:w w:val="91"/>
              </w:rPr>
            </w:pPr>
            <w:hyperlink r:id="rId67">
              <w:r>
                <w:rPr>
                  <w:rFonts w:ascii="Arial" w:cs="Arial" w:eastAsia="Arial" w:hAnsi="Arial"/>
                  <w:sz w:val="17"/>
                  <w:szCs w:val="17"/>
                  <w:color w:val="0000FF"/>
                  <w:w w:val="91"/>
                </w:rPr>
                <w:t>and the lenders that are parties thereto, dated December 24,</w:t>
              </w:r>
            </w:hyperlink>
          </w:p>
        </w:tc>
        <w:tc>
          <w:tcPr>
            <w:tcW w:w="260" w:type="dxa"/>
            <w:vAlign w:val="bottom"/>
            <w:gridSpan w:val="4"/>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79" w:lineRule="exact"/>
              <w:rPr>
                <w:rFonts w:ascii="Arial" w:cs="Arial" w:eastAsia="Arial" w:hAnsi="Arial"/>
                <w:sz w:val="17"/>
                <w:szCs w:val="17"/>
                <w:color w:val="0000FF"/>
                <w:w w:val="84"/>
              </w:rPr>
            </w:pPr>
            <w:hyperlink r:id="rId67">
              <w:r>
                <w:rPr>
                  <w:rFonts w:ascii="Arial" w:cs="Arial" w:eastAsia="Arial" w:hAnsi="Arial"/>
                  <w:sz w:val="17"/>
                  <w:szCs w:val="17"/>
                  <w:color w:val="0000FF"/>
                  <w:w w:val="84"/>
                </w:rPr>
                <w:t>2018.</w:t>
              </w:r>
            </w:hyperlink>
          </w:p>
        </w:tc>
        <w:tc>
          <w:tcPr>
            <w:tcW w:w="1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10.18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28"/>
          </w:tcPr>
          <w:p>
            <w:pPr>
              <w:spacing w:after="0"/>
              <w:rPr>
                <w:rFonts w:ascii="Arial" w:cs="Arial" w:eastAsia="Arial" w:hAnsi="Arial"/>
                <w:sz w:val="17"/>
                <w:szCs w:val="17"/>
                <w:color w:val="0000FF"/>
                <w:w w:val="93"/>
              </w:rPr>
            </w:pPr>
            <w:hyperlink r:id="rId68">
              <w:r>
                <w:rPr>
                  <w:rFonts w:ascii="Arial" w:cs="Arial" w:eastAsia="Arial" w:hAnsi="Arial"/>
                  <w:sz w:val="17"/>
                  <w:szCs w:val="17"/>
                  <w:color w:val="0000FF"/>
                  <w:w w:val="93"/>
                </w:rPr>
                <w:t>Resignation Agreement and General Release of Claims by and</w:t>
              </w:r>
            </w:hyperlink>
          </w:p>
        </w:tc>
        <w:tc>
          <w:tcPr>
            <w:tcW w:w="90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8-K</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001-37468</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8/7/2017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tcBorders>
              <w:top w:val="single" w:sz="8" w:color="0000FF"/>
              <w:bottom w:val="single" w:sz="8" w:color="0000FF"/>
            </w:tcBorders>
            <w:gridSpan w:val="18"/>
          </w:tcPr>
          <w:p>
            <w:pPr>
              <w:spacing w:after="0" w:line="179" w:lineRule="exact"/>
              <w:rPr>
                <w:rFonts w:ascii="Arial" w:cs="Arial" w:eastAsia="Arial" w:hAnsi="Arial"/>
                <w:sz w:val="17"/>
                <w:szCs w:val="17"/>
                <w:color w:val="0000FF"/>
                <w:w w:val="87"/>
              </w:rPr>
            </w:pPr>
            <w:hyperlink r:id="rId68">
              <w:r>
                <w:rPr>
                  <w:rFonts w:ascii="Arial" w:cs="Arial" w:eastAsia="Arial" w:hAnsi="Arial"/>
                  <w:sz w:val="17"/>
                  <w:szCs w:val="17"/>
                  <w:color w:val="0000FF"/>
                  <w:w w:val="87"/>
                </w:rPr>
                <w:t>between the registrant and Brian Donahoo, dated August 3,</w:t>
              </w:r>
            </w:hyperlink>
          </w:p>
        </w:tc>
        <w:tc>
          <w:tcPr>
            <w:tcW w:w="220" w:type="dxa"/>
            <w:vAlign w:val="bottom"/>
            <w:tcBorders>
              <w:top w:val="single" w:sz="8" w:color="0000FF"/>
            </w:tcBorders>
            <w:gridSpan w:val="4"/>
          </w:tcPr>
          <w:p>
            <w:pPr>
              <w:spacing w:after="0"/>
              <w:rPr>
                <w:sz w:val="15"/>
                <w:szCs w:val="15"/>
                <w:color w:val="auto"/>
              </w:rPr>
            </w:pPr>
          </w:p>
        </w:tc>
        <w:tc>
          <w:tcPr>
            <w:tcW w:w="300" w:type="dxa"/>
            <w:vAlign w:val="bottom"/>
            <w:gridSpan w:val="6"/>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0000FF"/>
            </w:tcBorders>
          </w:tcPr>
          <w:p>
            <w:pPr>
              <w:spacing w:after="0" w:line="179" w:lineRule="exact"/>
              <w:rPr>
                <w:rFonts w:ascii="Arial" w:cs="Arial" w:eastAsia="Arial" w:hAnsi="Arial"/>
                <w:sz w:val="17"/>
                <w:szCs w:val="17"/>
                <w:color w:val="0000FF"/>
                <w:w w:val="84"/>
              </w:rPr>
            </w:pPr>
            <w:hyperlink r:id="rId68">
              <w:r>
                <w:rPr>
                  <w:rFonts w:ascii="Arial" w:cs="Arial" w:eastAsia="Arial" w:hAnsi="Arial"/>
                  <w:sz w:val="17"/>
                  <w:szCs w:val="17"/>
                  <w:color w:val="0000FF"/>
                  <w:w w:val="84"/>
                </w:rPr>
                <w:t>2017.</w:t>
              </w:r>
            </w:hyperlink>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21.1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60" w:type="dxa"/>
            <w:vAlign w:val="bottom"/>
            <w:tcBorders>
              <w:bottom w:val="single" w:sz="8" w:color="0000FF"/>
            </w:tcBorders>
            <w:gridSpan w:val="4"/>
          </w:tcPr>
          <w:p>
            <w:pPr>
              <w:spacing w:after="0"/>
              <w:rPr>
                <w:rFonts w:ascii="Arial" w:cs="Arial" w:eastAsia="Arial" w:hAnsi="Arial"/>
                <w:sz w:val="17"/>
                <w:szCs w:val="17"/>
                <w:color w:val="0000FF"/>
                <w:w w:val="88"/>
              </w:rPr>
            </w:pPr>
            <w:hyperlink w:anchor="page117">
              <w:r>
                <w:rPr>
                  <w:rFonts w:ascii="Arial" w:cs="Arial" w:eastAsia="Arial" w:hAnsi="Arial"/>
                  <w:sz w:val="17"/>
                  <w:szCs w:val="17"/>
                  <w:color w:val="0000FF"/>
                  <w:w w:val="88"/>
                </w:rPr>
                <w:t>Subsidiaries of the registrant.</w:t>
              </w:r>
            </w:hyperlink>
          </w:p>
        </w:tc>
        <w:tc>
          <w:tcPr>
            <w:tcW w:w="2500" w:type="dxa"/>
            <w:vAlign w:val="bottom"/>
            <w:gridSpan w:val="24"/>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23.1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tcBorders>
              <w:bottom w:val="single" w:sz="8" w:color="0000FF"/>
            </w:tcBorders>
            <w:gridSpan w:val="17"/>
          </w:tcPr>
          <w:p>
            <w:pPr>
              <w:spacing w:after="0"/>
              <w:rPr>
                <w:rFonts w:ascii="Arial" w:cs="Arial" w:eastAsia="Arial" w:hAnsi="Arial"/>
                <w:sz w:val="17"/>
                <w:szCs w:val="17"/>
                <w:color w:val="0000FF"/>
                <w:w w:val="88"/>
              </w:rPr>
            </w:pPr>
            <w:hyperlink w:anchor="page118">
              <w:r>
                <w:rPr>
                  <w:rFonts w:ascii="Arial" w:cs="Arial" w:eastAsia="Arial" w:hAnsi="Arial"/>
                  <w:sz w:val="17"/>
                  <w:szCs w:val="17"/>
                  <w:color w:val="0000FF"/>
                  <w:w w:val="88"/>
                </w:rPr>
                <w:t>Consent of independent registered public accounting firm.</w:t>
              </w:r>
            </w:hyperlink>
          </w:p>
        </w:tc>
        <w:tc>
          <w:tcPr>
            <w:tcW w:w="580" w:type="dxa"/>
            <w:vAlign w:val="bottom"/>
            <w:gridSpan w:val="11"/>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24.1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40" w:type="dxa"/>
            <w:vAlign w:val="bottom"/>
            <w:tcBorders>
              <w:bottom w:val="single" w:sz="8" w:color="0000EE"/>
            </w:tcBorders>
            <w:gridSpan w:val="16"/>
          </w:tcPr>
          <w:p>
            <w:pPr>
              <w:spacing w:after="0"/>
              <w:rPr>
                <w:rFonts w:ascii="Arial" w:cs="Arial" w:eastAsia="Arial" w:hAnsi="Arial"/>
                <w:sz w:val="17"/>
                <w:szCs w:val="17"/>
                <w:color w:val="0000EE"/>
                <w:w w:val="89"/>
              </w:rPr>
            </w:pPr>
            <w:hyperlink w:anchor="page94">
              <w:r>
                <w:rPr>
                  <w:rFonts w:ascii="Arial" w:cs="Arial" w:eastAsia="Arial" w:hAnsi="Arial"/>
                  <w:sz w:val="17"/>
                  <w:szCs w:val="17"/>
                  <w:color w:val="0000EE"/>
                  <w:w w:val="89"/>
                </w:rPr>
                <w:t>Power of Attorney (included on the signature page of this</w:t>
              </w:r>
            </w:hyperlink>
          </w:p>
        </w:tc>
        <w:tc>
          <w:tcPr>
            <w:tcW w:w="620" w:type="dxa"/>
            <w:vAlign w:val="bottom"/>
            <w:gridSpan w:val="12"/>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8"/>
          </w:tcPr>
          <w:p>
            <w:pPr>
              <w:spacing w:after="0" w:line="179" w:lineRule="exact"/>
              <w:rPr>
                <w:rFonts w:ascii="Arial" w:cs="Arial" w:eastAsia="Arial" w:hAnsi="Arial"/>
                <w:sz w:val="17"/>
                <w:szCs w:val="17"/>
                <w:color w:val="0000EE"/>
              </w:rPr>
            </w:pPr>
            <w:hyperlink w:anchor="page94">
              <w:r>
                <w:rPr>
                  <w:rFonts w:ascii="Arial" w:cs="Arial" w:eastAsia="Arial" w:hAnsi="Arial"/>
                  <w:sz w:val="17"/>
                  <w:szCs w:val="17"/>
                  <w:color w:val="0000EE"/>
                </w:rPr>
                <w:t>report).</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28"/>
          </w:tcPr>
          <w:p>
            <w:pPr>
              <w:spacing w:after="0"/>
              <w:rPr>
                <w:rFonts w:ascii="Arial" w:cs="Arial" w:eastAsia="Arial" w:hAnsi="Arial"/>
                <w:sz w:val="17"/>
                <w:szCs w:val="17"/>
                <w:color w:val="0000FF"/>
                <w:w w:val="97"/>
              </w:rPr>
            </w:pPr>
            <w:hyperlink w:anchor="page119">
              <w:r>
                <w:rPr>
                  <w:rFonts w:ascii="Arial" w:cs="Arial" w:eastAsia="Arial" w:hAnsi="Arial"/>
                  <w:sz w:val="17"/>
                  <w:szCs w:val="17"/>
                  <w:color w:val="0000FF"/>
                  <w:w w:val="97"/>
                </w:rPr>
                <w:t>Certification of Chief Executive Officer pursuant to Rule 13a-</w:t>
              </w:r>
            </w:hyperlink>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Borders>
              <w:top w:val="single" w:sz="8" w:color="0000FF"/>
            </w:tcBorders>
            <w:gridSpan w:val="21"/>
          </w:tcPr>
          <w:p>
            <w:pPr>
              <w:spacing w:after="0" w:line="179" w:lineRule="exact"/>
              <w:rPr>
                <w:rFonts w:ascii="Arial" w:cs="Arial" w:eastAsia="Arial" w:hAnsi="Arial"/>
                <w:sz w:val="17"/>
                <w:szCs w:val="17"/>
                <w:color w:val="0000FF"/>
                <w:w w:val="94"/>
              </w:rPr>
            </w:pPr>
            <w:hyperlink w:anchor="page119">
              <w:r>
                <w:rPr>
                  <w:rFonts w:ascii="Arial" w:cs="Arial" w:eastAsia="Arial" w:hAnsi="Arial"/>
                  <w:sz w:val="17"/>
                  <w:szCs w:val="17"/>
                  <w:color w:val="0000FF"/>
                  <w:w w:val="94"/>
                </w:rPr>
                <w:t>14(a) or Rule 15d-14(a) promulgated under the Securities</w:t>
              </w:r>
            </w:hyperlink>
          </w:p>
        </w:tc>
        <w:tc>
          <w:tcPr>
            <w:tcW w:w="340" w:type="dxa"/>
            <w:vAlign w:val="bottom"/>
            <w:gridSpan w:val="7"/>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tcBorders>
              <w:top w:val="single" w:sz="8" w:color="0000FF"/>
              <w:bottom w:val="single" w:sz="8" w:color="0000FF"/>
            </w:tcBorders>
            <w:gridSpan w:val="6"/>
          </w:tcPr>
          <w:p>
            <w:pPr>
              <w:spacing w:after="0" w:line="179" w:lineRule="exact"/>
              <w:rPr>
                <w:rFonts w:ascii="Arial" w:cs="Arial" w:eastAsia="Arial" w:hAnsi="Arial"/>
                <w:sz w:val="17"/>
                <w:szCs w:val="17"/>
                <w:color w:val="0000FF"/>
                <w:w w:val="86"/>
              </w:rPr>
            </w:pPr>
            <w:hyperlink w:anchor="page119">
              <w:r>
                <w:rPr>
                  <w:rFonts w:ascii="Arial" w:cs="Arial" w:eastAsia="Arial" w:hAnsi="Arial"/>
                  <w:sz w:val="17"/>
                  <w:szCs w:val="17"/>
                  <w:color w:val="0000FF"/>
                  <w:w w:val="86"/>
                </w:rPr>
                <w:t>Exchange Act of 1934, as amended.</w:t>
              </w:r>
            </w:hyperlink>
          </w:p>
        </w:tc>
        <w:tc>
          <w:tcPr>
            <w:tcW w:w="1420" w:type="dxa"/>
            <w:vAlign w:val="bottom"/>
            <w:tcBorders>
              <w:top w:val="single" w:sz="8" w:color="0000FF"/>
            </w:tcBorders>
            <w:gridSpan w:val="9"/>
          </w:tcPr>
          <w:p>
            <w:pPr>
              <w:spacing w:after="0"/>
              <w:rPr>
                <w:sz w:val="15"/>
                <w:szCs w:val="15"/>
                <w:color w:val="auto"/>
              </w:rPr>
            </w:pPr>
          </w:p>
        </w:tc>
        <w:tc>
          <w:tcPr>
            <w:tcW w:w="640" w:type="dxa"/>
            <w:vAlign w:val="bottom"/>
            <w:gridSpan w:val="13"/>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7"/>
                <w:szCs w:val="17"/>
                <w:color w:val="auto"/>
                <w:w w:val="84"/>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28"/>
          </w:tcPr>
          <w:p>
            <w:pPr>
              <w:spacing w:after="0"/>
              <w:rPr>
                <w:rFonts w:ascii="Arial" w:cs="Arial" w:eastAsia="Arial" w:hAnsi="Arial"/>
                <w:sz w:val="17"/>
                <w:szCs w:val="17"/>
                <w:color w:val="0000FF"/>
                <w:w w:val="98"/>
              </w:rPr>
            </w:pPr>
            <w:hyperlink w:anchor="page120">
              <w:r>
                <w:rPr>
                  <w:rFonts w:ascii="Arial" w:cs="Arial" w:eastAsia="Arial" w:hAnsi="Arial"/>
                  <w:sz w:val="17"/>
                  <w:szCs w:val="17"/>
                  <w:color w:val="0000FF"/>
                  <w:w w:val="98"/>
                </w:rPr>
                <w:t>Certification of Chief Financial Officer pursuant to Rule 13a-</w:t>
              </w:r>
            </w:hyperlink>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Borders>
              <w:top w:val="single" w:sz="8" w:color="0000FF"/>
            </w:tcBorders>
            <w:gridSpan w:val="21"/>
          </w:tcPr>
          <w:p>
            <w:pPr>
              <w:spacing w:after="0" w:line="179" w:lineRule="exact"/>
              <w:rPr>
                <w:rFonts w:ascii="Arial" w:cs="Arial" w:eastAsia="Arial" w:hAnsi="Arial"/>
                <w:sz w:val="17"/>
                <w:szCs w:val="17"/>
                <w:color w:val="0000FF"/>
                <w:w w:val="94"/>
              </w:rPr>
            </w:pPr>
            <w:hyperlink w:anchor="page120">
              <w:r>
                <w:rPr>
                  <w:rFonts w:ascii="Arial" w:cs="Arial" w:eastAsia="Arial" w:hAnsi="Arial"/>
                  <w:sz w:val="17"/>
                  <w:szCs w:val="17"/>
                  <w:color w:val="0000FF"/>
                  <w:w w:val="94"/>
                </w:rPr>
                <w:t>14(a) or Rule 15d-14(a) promulgated under the Securities</w:t>
              </w:r>
            </w:hyperlink>
          </w:p>
        </w:tc>
        <w:tc>
          <w:tcPr>
            <w:tcW w:w="340" w:type="dxa"/>
            <w:vAlign w:val="bottom"/>
            <w:gridSpan w:val="7"/>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tcBorders>
              <w:top w:val="single" w:sz="8" w:color="0000FF"/>
              <w:bottom w:val="single" w:sz="8" w:color="0000FF"/>
            </w:tcBorders>
            <w:gridSpan w:val="6"/>
          </w:tcPr>
          <w:p>
            <w:pPr>
              <w:spacing w:after="0" w:line="179" w:lineRule="exact"/>
              <w:rPr>
                <w:rFonts w:ascii="Arial" w:cs="Arial" w:eastAsia="Arial" w:hAnsi="Arial"/>
                <w:sz w:val="17"/>
                <w:szCs w:val="17"/>
                <w:color w:val="0000FF"/>
                <w:w w:val="86"/>
              </w:rPr>
            </w:pPr>
            <w:hyperlink w:anchor="page120">
              <w:r>
                <w:rPr>
                  <w:rFonts w:ascii="Arial" w:cs="Arial" w:eastAsia="Arial" w:hAnsi="Arial"/>
                  <w:sz w:val="17"/>
                  <w:szCs w:val="17"/>
                  <w:color w:val="0000FF"/>
                  <w:w w:val="86"/>
                </w:rPr>
                <w:t>Exchange Act of 1934, as amended.</w:t>
              </w:r>
            </w:hyperlink>
          </w:p>
        </w:tc>
        <w:tc>
          <w:tcPr>
            <w:tcW w:w="1420" w:type="dxa"/>
            <w:vAlign w:val="bottom"/>
            <w:tcBorders>
              <w:top w:val="single" w:sz="8" w:color="0000FF"/>
            </w:tcBorders>
            <w:gridSpan w:val="9"/>
          </w:tcPr>
          <w:p>
            <w:pPr>
              <w:spacing w:after="0"/>
              <w:rPr>
                <w:sz w:val="15"/>
                <w:szCs w:val="15"/>
                <w:color w:val="auto"/>
              </w:rPr>
            </w:pPr>
          </w:p>
        </w:tc>
        <w:tc>
          <w:tcPr>
            <w:tcW w:w="640" w:type="dxa"/>
            <w:vAlign w:val="bottom"/>
            <w:gridSpan w:val="13"/>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20"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4"/>
          </w:tcPr>
          <w:p>
            <w:pPr>
              <w:ind w:left="480"/>
              <w:spacing w:after="0"/>
              <w:rPr>
                <w:sz w:val="20"/>
                <w:szCs w:val="20"/>
                <w:color w:val="auto"/>
              </w:rPr>
            </w:pPr>
            <w:r>
              <w:rPr>
                <w:rFonts w:ascii="Arial" w:cs="Arial" w:eastAsia="Arial" w:hAnsi="Arial"/>
                <w:sz w:val="17"/>
                <w:szCs w:val="17"/>
                <w:b w:val="1"/>
                <w:bCs w:val="1"/>
                <w:color w:val="auto"/>
                <w:w w:val="92"/>
              </w:rPr>
              <w:t>Incorporated by Reference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7"/>
                <w:szCs w:val="17"/>
                <w:b w:val="1"/>
                <w:bCs w:val="1"/>
                <w:color w:val="auto"/>
                <w:w w:val="91"/>
              </w:rPr>
              <w:t>Exhibit</w:t>
            </w:r>
          </w:p>
        </w:tc>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Number</w:t>
            </w:r>
          </w:p>
        </w:tc>
        <w:tc>
          <w:tcPr>
            <w:tcW w:w="20" w:type="dxa"/>
            <w:vAlign w:val="bottom"/>
          </w:tcPr>
          <w:p>
            <w:pPr>
              <w:spacing w:after="0"/>
              <w:rPr>
                <w:sz w:val="18"/>
                <w:szCs w:val="18"/>
                <w:color w:val="auto"/>
              </w:rPr>
            </w:pPr>
          </w:p>
        </w:tc>
        <w:tc>
          <w:tcPr>
            <w:tcW w:w="4460" w:type="dxa"/>
            <w:vAlign w:val="bottom"/>
            <w:gridSpan w:val="5"/>
          </w:tcPr>
          <w:p>
            <w:pPr>
              <w:ind w:left="1460"/>
              <w:spacing w:after="0"/>
              <w:rPr>
                <w:sz w:val="20"/>
                <w:szCs w:val="20"/>
                <w:color w:val="auto"/>
              </w:rPr>
            </w:pPr>
            <w:r>
              <w:rPr>
                <w:rFonts w:ascii="Arial" w:cs="Arial" w:eastAsia="Arial" w:hAnsi="Arial"/>
                <w:sz w:val="17"/>
                <w:szCs w:val="17"/>
                <w:b w:val="1"/>
                <w:bCs w:val="1"/>
                <w:color w:val="auto"/>
              </w:rPr>
              <w:t>Exhibit Description</w:t>
            </w:r>
          </w:p>
        </w:tc>
        <w:tc>
          <w:tcPr>
            <w:tcW w:w="900" w:type="dxa"/>
            <w:vAlign w:val="bottom"/>
            <w:gridSpan w:val="2"/>
          </w:tcPr>
          <w:p>
            <w:pPr>
              <w:ind w:left="200"/>
              <w:spacing w:after="0"/>
              <w:rPr>
                <w:sz w:val="20"/>
                <w:szCs w:val="20"/>
                <w:color w:val="auto"/>
              </w:rPr>
            </w:pPr>
            <w:r>
              <w:rPr>
                <w:rFonts w:ascii="Arial" w:cs="Arial" w:eastAsia="Arial" w:hAnsi="Arial"/>
                <w:sz w:val="17"/>
                <w:szCs w:val="17"/>
                <w:b w:val="1"/>
                <w:bCs w:val="1"/>
                <w:color w:val="auto"/>
              </w:rPr>
              <w:t>Form</w:t>
            </w:r>
          </w:p>
        </w:tc>
        <w:tc>
          <w:tcPr>
            <w:tcW w:w="1380" w:type="dxa"/>
            <w:vAlign w:val="bottom"/>
            <w:gridSpan w:val="2"/>
          </w:tcPr>
          <w:p>
            <w:pPr>
              <w:ind w:left="360"/>
              <w:spacing w:after="0"/>
              <w:rPr>
                <w:sz w:val="20"/>
                <w:szCs w:val="20"/>
                <w:color w:val="auto"/>
              </w:rPr>
            </w:pPr>
            <w:r>
              <w:rPr>
                <w:rFonts w:ascii="Arial" w:cs="Arial" w:eastAsia="Arial" w:hAnsi="Arial"/>
                <w:sz w:val="17"/>
                <w:szCs w:val="17"/>
                <w:b w:val="1"/>
                <w:bCs w:val="1"/>
                <w:color w:val="auto"/>
              </w:rPr>
              <w:t>File No.</w:t>
            </w:r>
          </w:p>
        </w:tc>
        <w:tc>
          <w:tcPr>
            <w:tcW w:w="1120" w:type="dxa"/>
            <w:vAlign w:val="bottom"/>
            <w:gridSpan w:val="2"/>
          </w:tcPr>
          <w:p>
            <w:pPr>
              <w:ind w:left="240"/>
              <w:spacing w:after="0"/>
              <w:rPr>
                <w:sz w:val="20"/>
                <w:szCs w:val="20"/>
                <w:color w:val="auto"/>
              </w:rPr>
            </w:pPr>
            <w:r>
              <w:rPr>
                <w:rFonts w:ascii="Arial" w:cs="Arial" w:eastAsia="Arial" w:hAnsi="Arial"/>
                <w:sz w:val="17"/>
                <w:szCs w:val="17"/>
                <w:b w:val="1"/>
                <w:bCs w:val="1"/>
                <w:color w:val="auto"/>
              </w:rPr>
              <w:t>Exhibit</w:t>
            </w:r>
          </w:p>
        </w:tc>
        <w:tc>
          <w:tcPr>
            <w:tcW w:w="1380" w:type="dxa"/>
            <w:vAlign w:val="bottom"/>
            <w:gridSpan w:val="2"/>
          </w:tcPr>
          <w:p>
            <w:pPr>
              <w:ind w:left="240"/>
              <w:spacing w:after="0"/>
              <w:rPr>
                <w:sz w:val="20"/>
                <w:szCs w:val="20"/>
                <w:color w:val="auto"/>
              </w:rPr>
            </w:pPr>
            <w:r>
              <w:rPr>
                <w:rFonts w:ascii="Arial" w:cs="Arial" w:eastAsia="Arial" w:hAnsi="Arial"/>
                <w:sz w:val="17"/>
                <w:szCs w:val="17"/>
                <w:b w:val="1"/>
                <w:bCs w:val="1"/>
                <w:color w:val="auto"/>
              </w:rPr>
              <w:t>Filing Date</w:t>
            </w: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91"/>
              </w:rPr>
              <w:t>Filed Herewith</w:t>
            </w:r>
          </w:p>
        </w:tc>
        <w:tc>
          <w:tcPr>
            <w:tcW w:w="0" w:type="dxa"/>
            <w:vAlign w:val="bottom"/>
          </w:tcPr>
          <w:p>
            <w:pPr>
              <w:spacing w:after="0"/>
              <w:rPr>
                <w:sz w:val="1"/>
                <w:szCs w:val="1"/>
                <w:color w:val="auto"/>
              </w:rPr>
            </w:pPr>
          </w:p>
        </w:tc>
      </w:tr>
      <w:tr>
        <w:trPr>
          <w:trHeight w:val="25"/>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920" w:type="dxa"/>
            <w:vAlign w:val="bottom"/>
          </w:tcPr>
          <w:p>
            <w:pPr>
              <w:jc w:val="right"/>
              <w:ind w:right="197"/>
              <w:spacing w:after="0" w:line="179" w:lineRule="exact"/>
              <w:rPr>
                <w:sz w:val="20"/>
                <w:szCs w:val="20"/>
                <w:color w:val="auto"/>
              </w:rPr>
            </w:pPr>
            <w:r>
              <w:rPr>
                <w:rFonts w:ascii="Arial" w:cs="Arial" w:eastAsia="Arial" w:hAnsi="Arial"/>
                <w:sz w:val="17"/>
                <w:szCs w:val="17"/>
                <w:color w:val="auto"/>
              </w:rPr>
              <w:t>32.1*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0000FF"/>
            </w:tcBorders>
            <w:gridSpan w:val="2"/>
          </w:tcPr>
          <w:p>
            <w:pPr>
              <w:spacing w:after="0" w:line="179" w:lineRule="exact"/>
              <w:rPr>
                <w:rFonts w:ascii="Arial" w:cs="Arial" w:eastAsia="Arial" w:hAnsi="Arial"/>
                <w:sz w:val="17"/>
                <w:szCs w:val="17"/>
                <w:color w:val="0000FF"/>
                <w:w w:val="91"/>
              </w:rPr>
            </w:pPr>
            <w:hyperlink w:anchor="page121">
              <w:r>
                <w:rPr>
                  <w:rFonts w:ascii="Arial" w:cs="Arial" w:eastAsia="Arial" w:hAnsi="Arial"/>
                  <w:sz w:val="17"/>
                  <w:szCs w:val="17"/>
                  <w:color w:val="0000FF"/>
                  <w:w w:val="91"/>
                </w:rPr>
                <w:t>Certifications of Chief Executive Officer and Chief Financial</w:t>
              </w:r>
            </w:hyperlink>
          </w:p>
        </w:tc>
        <w:tc>
          <w:tcPr>
            <w:tcW w:w="3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spacing w:after="0" w:line="179"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5"/>
          </w:tcPr>
          <w:p>
            <w:pPr>
              <w:spacing w:after="0" w:line="179" w:lineRule="exact"/>
              <w:rPr>
                <w:rFonts w:ascii="Arial" w:cs="Arial" w:eastAsia="Arial" w:hAnsi="Arial"/>
                <w:sz w:val="17"/>
                <w:szCs w:val="17"/>
                <w:color w:val="0000FF"/>
                <w:w w:val="90"/>
              </w:rPr>
            </w:pPr>
            <w:hyperlink w:anchor="page121">
              <w:r>
                <w:rPr>
                  <w:rFonts w:ascii="Arial" w:cs="Arial" w:eastAsia="Arial" w:hAnsi="Arial"/>
                  <w:sz w:val="17"/>
                  <w:szCs w:val="17"/>
                  <w:color w:val="0000FF"/>
                  <w:w w:val="90"/>
                </w:rPr>
                <w:t>Officer, pursuant to 18 U.S.C. Section 1350, as adopted pursuant</w:t>
              </w:r>
            </w:hyperlink>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tcBorders>
              <w:top w:val="single" w:sz="8" w:color="0000FF"/>
            </w:tcBorders>
            <w:gridSpan w:val="3"/>
          </w:tcPr>
          <w:p>
            <w:pPr>
              <w:spacing w:after="0" w:line="179" w:lineRule="exact"/>
              <w:rPr>
                <w:rFonts w:ascii="Arial" w:cs="Arial" w:eastAsia="Arial" w:hAnsi="Arial"/>
                <w:sz w:val="17"/>
                <w:szCs w:val="17"/>
                <w:color w:val="0000FF"/>
              </w:rPr>
            </w:pPr>
            <w:hyperlink w:anchor="page121">
              <w:r>
                <w:rPr>
                  <w:rFonts w:ascii="Arial" w:cs="Arial" w:eastAsia="Arial" w:hAnsi="Arial"/>
                  <w:sz w:val="17"/>
                  <w:szCs w:val="17"/>
                  <w:color w:val="0000FF"/>
                </w:rPr>
                <w:t>to Section 906 of the Sarbanes-Oxley Act of 2002.</w:t>
              </w:r>
            </w:hyperlink>
          </w:p>
        </w:tc>
        <w:tc>
          <w:tcPr>
            <w:tcW w:w="16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040" w:type="dxa"/>
            <w:vAlign w:val="bottom"/>
            <w:gridSpan w:val="2"/>
          </w:tcPr>
          <w:p>
            <w:pPr>
              <w:jc w:val="center"/>
              <w:ind w:right="120"/>
              <w:spacing w:after="0"/>
              <w:rPr>
                <w:sz w:val="20"/>
                <w:szCs w:val="20"/>
                <w:color w:val="auto"/>
              </w:rPr>
            </w:pPr>
            <w:r>
              <w:rPr>
                <w:rFonts w:ascii="Arial" w:cs="Arial" w:eastAsia="Arial" w:hAnsi="Arial"/>
                <w:sz w:val="17"/>
                <w:szCs w:val="17"/>
                <w:color w:val="auto"/>
                <w:w w:val="86"/>
              </w:rPr>
              <w:t>101.SCH</w:t>
            </w:r>
          </w:p>
        </w:tc>
        <w:tc>
          <w:tcPr>
            <w:tcW w:w="20" w:type="dxa"/>
            <w:vAlign w:val="bottom"/>
          </w:tcPr>
          <w:p>
            <w:pPr>
              <w:spacing w:after="0"/>
              <w:rPr>
                <w:sz w:val="23"/>
                <w:szCs w:val="23"/>
                <w:color w:val="auto"/>
              </w:rPr>
            </w:pPr>
          </w:p>
        </w:tc>
        <w:tc>
          <w:tcPr>
            <w:tcW w:w="3360" w:type="dxa"/>
            <w:vAlign w:val="bottom"/>
            <w:tcBorders>
              <w:top w:val="single" w:sz="8" w:color="0000FF"/>
            </w:tcBorders>
          </w:tcPr>
          <w:p>
            <w:pPr>
              <w:spacing w:after="0"/>
              <w:rPr>
                <w:sz w:val="20"/>
                <w:szCs w:val="20"/>
                <w:color w:val="auto"/>
              </w:rPr>
            </w:pPr>
            <w:r>
              <w:rPr>
                <w:rFonts w:ascii="Arial" w:cs="Arial" w:eastAsia="Arial" w:hAnsi="Arial"/>
                <w:sz w:val="17"/>
                <w:szCs w:val="17"/>
                <w:color w:val="auto"/>
                <w:w w:val="92"/>
              </w:rPr>
              <w:t>XBRL Taxonomy Extension Schema Document.</w:t>
            </w:r>
          </w:p>
        </w:tc>
        <w:tc>
          <w:tcPr>
            <w:tcW w:w="1100" w:type="dxa"/>
            <w:vAlign w:val="bottom"/>
            <w:gridSpan w:val="4"/>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9"/>
        </w:trPr>
        <w:tc>
          <w:tcPr>
            <w:tcW w:w="1040" w:type="dxa"/>
            <w:vAlign w:val="bottom"/>
            <w:gridSpan w:val="2"/>
          </w:tcPr>
          <w:p>
            <w:pPr>
              <w:jc w:val="center"/>
              <w:ind w:right="120"/>
              <w:spacing w:after="0"/>
              <w:rPr>
                <w:sz w:val="20"/>
                <w:szCs w:val="20"/>
                <w:color w:val="auto"/>
              </w:rPr>
            </w:pPr>
            <w:r>
              <w:rPr>
                <w:rFonts w:ascii="Arial" w:cs="Arial" w:eastAsia="Arial" w:hAnsi="Arial"/>
                <w:sz w:val="17"/>
                <w:szCs w:val="17"/>
                <w:color w:val="auto"/>
                <w:w w:val="96"/>
              </w:rPr>
              <w:t>101.CAL</w:t>
            </w:r>
          </w:p>
        </w:tc>
        <w:tc>
          <w:tcPr>
            <w:tcW w:w="20" w:type="dxa"/>
            <w:vAlign w:val="bottom"/>
          </w:tcPr>
          <w:p>
            <w:pPr>
              <w:spacing w:after="0"/>
              <w:rPr>
                <w:sz w:val="21"/>
                <w:szCs w:val="21"/>
                <w:color w:val="auto"/>
              </w:rPr>
            </w:pPr>
          </w:p>
        </w:tc>
        <w:tc>
          <w:tcPr>
            <w:tcW w:w="4460" w:type="dxa"/>
            <w:vAlign w:val="bottom"/>
            <w:gridSpan w:val="5"/>
          </w:tcPr>
          <w:p>
            <w:pPr>
              <w:spacing w:after="0"/>
              <w:rPr>
                <w:sz w:val="20"/>
                <w:szCs w:val="20"/>
                <w:color w:val="auto"/>
              </w:rPr>
            </w:pPr>
            <w:r>
              <w:rPr>
                <w:rFonts w:ascii="Arial" w:cs="Arial" w:eastAsia="Arial" w:hAnsi="Arial"/>
                <w:sz w:val="17"/>
                <w:szCs w:val="17"/>
                <w:color w:val="auto"/>
                <w:w w:val="97"/>
              </w:rPr>
              <w:t>XBRL Taxonomy Extension Calculation Linkbase Document.</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9"/>
        </w:trPr>
        <w:tc>
          <w:tcPr>
            <w:tcW w:w="104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101.DEF</w:t>
            </w:r>
          </w:p>
        </w:tc>
        <w:tc>
          <w:tcPr>
            <w:tcW w:w="20" w:type="dxa"/>
            <w:vAlign w:val="bottom"/>
          </w:tcPr>
          <w:p>
            <w:pPr>
              <w:spacing w:after="0"/>
              <w:rPr>
                <w:sz w:val="21"/>
                <w:szCs w:val="21"/>
                <w:color w:val="auto"/>
              </w:rPr>
            </w:pPr>
          </w:p>
        </w:tc>
        <w:tc>
          <w:tcPr>
            <w:tcW w:w="4460" w:type="dxa"/>
            <w:vAlign w:val="bottom"/>
            <w:gridSpan w:val="5"/>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9"/>
        </w:trPr>
        <w:tc>
          <w:tcPr>
            <w:tcW w:w="104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101.LAB</w:t>
            </w:r>
          </w:p>
        </w:tc>
        <w:tc>
          <w:tcPr>
            <w:tcW w:w="20" w:type="dxa"/>
            <w:vAlign w:val="bottom"/>
          </w:tcPr>
          <w:p>
            <w:pPr>
              <w:spacing w:after="0"/>
              <w:rPr>
                <w:sz w:val="21"/>
                <w:szCs w:val="21"/>
                <w:color w:val="auto"/>
              </w:rPr>
            </w:pPr>
          </w:p>
        </w:tc>
        <w:tc>
          <w:tcPr>
            <w:tcW w:w="4460" w:type="dxa"/>
            <w:vAlign w:val="bottom"/>
            <w:gridSpan w:val="5"/>
          </w:tcPr>
          <w:p>
            <w:pPr>
              <w:spacing w:after="0"/>
              <w:rPr>
                <w:sz w:val="20"/>
                <w:szCs w:val="20"/>
                <w:color w:val="auto"/>
              </w:rPr>
            </w:pPr>
            <w:r>
              <w:rPr>
                <w:rFonts w:ascii="Arial" w:cs="Arial" w:eastAsia="Arial" w:hAnsi="Arial"/>
                <w:sz w:val="17"/>
                <w:szCs w:val="17"/>
                <w:color w:val="auto"/>
              </w:rPr>
              <w:t>XBRL Taxonomy Extension Label Linkbase Document.</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9"/>
        </w:trPr>
        <w:tc>
          <w:tcPr>
            <w:tcW w:w="104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101.PRE</w:t>
            </w:r>
          </w:p>
        </w:tc>
        <w:tc>
          <w:tcPr>
            <w:tcW w:w="20" w:type="dxa"/>
            <w:vAlign w:val="bottom"/>
          </w:tcPr>
          <w:p>
            <w:pPr>
              <w:spacing w:after="0"/>
              <w:rPr>
                <w:sz w:val="21"/>
                <w:szCs w:val="21"/>
                <w:color w:val="auto"/>
              </w:rPr>
            </w:pPr>
          </w:p>
        </w:tc>
        <w:tc>
          <w:tcPr>
            <w:tcW w:w="4460" w:type="dxa"/>
            <w:vAlign w:val="bottom"/>
            <w:gridSpan w:val="5"/>
          </w:tcPr>
          <w:p>
            <w:pPr>
              <w:spacing w:after="0"/>
              <w:rPr>
                <w:sz w:val="20"/>
                <w:szCs w:val="20"/>
                <w:color w:val="auto"/>
              </w:rPr>
            </w:pPr>
            <w:r>
              <w:rPr>
                <w:rFonts w:ascii="Arial" w:cs="Arial" w:eastAsia="Arial" w:hAnsi="Arial"/>
                <w:sz w:val="17"/>
                <w:szCs w:val="17"/>
                <w:color w:val="auto"/>
                <w:w w:val="94"/>
              </w:rPr>
              <w:t>XBRL Taxonomy Extension Presentation Linkbase Document.</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36"/>
        </w:trPr>
        <w:tc>
          <w:tcPr>
            <w:tcW w:w="920" w:type="dxa"/>
            <w:vAlign w:val="bottom"/>
          </w:tcPr>
          <w:p>
            <w:pPr>
              <w:jc w:val="right"/>
              <w:ind w:right="257"/>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5"/>
          </w:tcPr>
          <w:p>
            <w:pPr>
              <w:spacing w:after="0"/>
              <w:rPr>
                <w:sz w:val="20"/>
                <w:szCs w:val="20"/>
                <w:color w:val="auto"/>
              </w:rPr>
            </w:pPr>
            <w:r>
              <w:rPr>
                <w:rFonts w:ascii="Arial" w:cs="Arial" w:eastAsia="Arial" w:hAnsi="Arial"/>
                <w:sz w:val="17"/>
                <w:szCs w:val="17"/>
                <w:color w:val="auto"/>
                <w:w w:val="92"/>
              </w:rPr>
              <w:t>Cover Page Interactive Data File (formatted as Inline XBRL and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2"/>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gridSpan w:val="5"/>
          </w:tcPr>
          <w:p>
            <w:pPr>
              <w:spacing w:after="0"/>
              <w:rPr>
                <w:sz w:val="20"/>
                <w:szCs w:val="20"/>
                <w:color w:val="auto"/>
              </w:rPr>
            </w:pPr>
            <w:r>
              <w:rPr>
                <w:rFonts w:ascii="Arial" w:cs="Arial" w:eastAsia="Arial" w:hAnsi="Arial"/>
                <w:sz w:val="17"/>
                <w:szCs w:val="17"/>
                <w:color w:val="auto"/>
              </w:rPr>
              <w:t>contained in Exhibit 101)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160" w:hanging="1136"/>
        <w:spacing w:after="0"/>
        <w:tabs>
          <w:tab w:leader="none" w:pos="11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w:t>
      </w:r>
    </w:p>
    <w:p>
      <w:pPr>
        <w:spacing w:after="0" w:line="53" w:lineRule="exact"/>
        <w:rPr>
          <w:sz w:val="20"/>
          <w:szCs w:val="20"/>
          <w:color w:val="auto"/>
        </w:rPr>
      </w:pPr>
    </w:p>
    <w:p>
      <w:pPr>
        <w:ind w:left="1160" w:right="140" w:hanging="1136"/>
        <w:spacing w:after="0" w:line="250" w:lineRule="auto"/>
        <w:tabs>
          <w:tab w:leader="none" w:pos="11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certifications attached as Exhibit 32.1 accompany this Annual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30" w:lineRule="exact"/>
        <w:rPr>
          <w:sz w:val="20"/>
          <w:szCs w:val="20"/>
          <w:color w:val="auto"/>
        </w:rPr>
      </w:pPr>
    </w:p>
    <w:p>
      <w:pPr>
        <w:ind w:right="200" w:firstLine="597"/>
        <w:spacing w:after="0" w:line="264"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Annual Report to be signed on its behalf by the undersigned thereunto duly authorized.</w:t>
      </w:r>
    </w:p>
    <w:p>
      <w:pPr>
        <w:spacing w:after="0" w:line="200" w:lineRule="exact"/>
        <w:rPr>
          <w:sz w:val="20"/>
          <w:szCs w:val="20"/>
          <w:color w:val="auto"/>
        </w:rPr>
      </w:pPr>
    </w:p>
    <w:p>
      <w:pPr>
        <w:spacing w:after="0" w:line="336"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AppFolio, Inc.</w:t>
      </w: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700" w:val="left"/>
          <w:tab w:leader="none" w:pos="44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March 2, 2020</w:t>
      </w:r>
      <w:r>
        <w:rPr>
          <w:sz w:val="20"/>
          <w:szCs w:val="20"/>
          <w:color w:val="auto"/>
        </w:rPr>
        <w:tab/>
      </w:r>
      <w:r>
        <w:rPr>
          <w:rFonts w:ascii="Arial" w:cs="Arial" w:eastAsia="Arial" w:hAnsi="Arial"/>
          <w:sz w:val="15"/>
          <w:szCs w:val="15"/>
          <w:color w:val="auto"/>
        </w:rPr>
        <w:t>By: /s/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2976880</wp:posOffset>
            </wp:positionH>
            <wp:positionV relativeFrom="paragraph">
              <wp:posOffset>26035</wp:posOffset>
            </wp:positionV>
            <wp:extent cx="268478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extLst>
                    </a:blip>
                    <a:srcRect/>
                    <a:stretch>
                      <a:fillRect/>
                    </a:stretch>
                  </pic:blipFill>
                  <pic:spPr bwMode="auto">
                    <a:xfrm>
                      <a:off x="0" y="0"/>
                      <a:ext cx="2684780" cy="7620"/>
                    </a:xfrm>
                    <a:prstGeom prst="rect">
                      <a:avLst/>
                    </a:prstGeom>
                    <a:noFill/>
                  </pic:spPr>
                </pic:pic>
              </a:graphicData>
            </a:graphic>
          </wp:anchor>
        </w:drawing>
      </w:r>
    </w:p>
    <w:p>
      <w:pPr>
        <w:spacing w:after="0" w:line="46"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Ida Kane</w:t>
      </w:r>
    </w:p>
    <w:p>
      <w:pPr>
        <w:spacing w:after="0" w:line="53"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Chief Financial Officer</w:t>
      </w:r>
    </w:p>
    <w:p>
      <w:pPr>
        <w:spacing w:after="0" w:line="53"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(Principal Financial and Accounting Officer)</w:t>
      </w:r>
    </w:p>
    <w:p>
      <w:pPr>
        <w:sectPr>
          <w:pgSz w:w="11900" w:h="16838" w:orient="portrait"/>
          <w:cols w:equalWidth="0" w:num="1">
            <w:col w:w="11420"/>
          </w:cols>
          <w:pgMar w:left="240" w:top="720"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6" w:lineRule="exact"/>
        <w:rPr>
          <w:sz w:val="20"/>
          <w:szCs w:val="20"/>
          <w:color w:val="auto"/>
        </w:rPr>
      </w:pPr>
    </w:p>
    <w:p>
      <w:pPr>
        <w:jc w:val="both"/>
        <w:ind w:firstLine="410"/>
        <w:spacing w:after="0" w:line="287" w:lineRule="auto"/>
        <w:rPr>
          <w:sz w:val="20"/>
          <w:szCs w:val="20"/>
          <w:color w:val="auto"/>
        </w:rPr>
      </w:pPr>
      <w:r>
        <w:rPr>
          <w:rFonts w:ascii="Arial" w:cs="Arial" w:eastAsia="Arial" w:hAnsi="Arial"/>
          <w:sz w:val="15"/>
          <w:szCs w:val="15"/>
          <w:color w:val="auto"/>
        </w:rPr>
        <w:t>KNOW ALL PERSONS BY THESE PRESENTS, that each individual whose signature appears below hereby constitutes and appoints Jason Randall and Ida Kane, and each or either of them, acting individually, as his or her true and lawful attorney-in-fact and agent,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 granting unto said attorney-in-fact and agent,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any of them, or their or his or her substitutes, may lawfully do or cause to be done or by virtue hereof.</w:t>
      </w:r>
    </w:p>
    <w:p>
      <w:pPr>
        <w:spacing w:after="0" w:line="155" w:lineRule="exact"/>
        <w:rPr>
          <w:sz w:val="20"/>
          <w:szCs w:val="20"/>
          <w:color w:val="auto"/>
        </w:rPr>
      </w:pPr>
    </w:p>
    <w:p>
      <w:pPr>
        <w:jc w:val="both"/>
        <w:ind w:firstLine="410"/>
        <w:spacing w:after="0" w:line="264" w:lineRule="auto"/>
        <w:rPr>
          <w:sz w:val="20"/>
          <w:szCs w:val="20"/>
          <w:color w:val="auto"/>
        </w:rPr>
      </w:pPr>
      <w:r>
        <w:rPr>
          <w:rFonts w:ascii="Arial" w:cs="Arial" w:eastAsia="Arial" w:hAnsi="Arial"/>
          <w:sz w:val="17"/>
          <w:szCs w:val="17"/>
          <w:color w:val="auto"/>
        </w:rPr>
        <w:t>Pursuant to the requirements of the Exchange Act, as amended, this Annual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ind w:left="1200"/>
              <w:spacing w:after="0"/>
              <w:rPr>
                <w:sz w:val="20"/>
                <w:szCs w:val="20"/>
                <w:color w:val="auto"/>
              </w:rPr>
            </w:pPr>
            <w:r>
              <w:rPr>
                <w:rFonts w:ascii="Arial" w:cs="Arial" w:eastAsia="Arial" w:hAnsi="Arial"/>
                <w:sz w:val="17"/>
                <w:szCs w:val="17"/>
                <w:b w:val="1"/>
                <w:bCs w:val="1"/>
                <w:color w:val="auto"/>
              </w:rPr>
              <w:t>SIGNATURE</w:t>
            </w:r>
          </w:p>
        </w:tc>
        <w:tc>
          <w:tcPr>
            <w:tcW w:w="220" w:type="dxa"/>
            <w:vAlign w:val="bottom"/>
          </w:tcPr>
          <w:p>
            <w:pPr>
              <w:spacing w:after="0"/>
              <w:rPr>
                <w:sz w:val="18"/>
                <w:szCs w:val="18"/>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TITLE</w:t>
            </w: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w w:val="99"/>
              </w:rPr>
              <w:t>DATE</w:t>
            </w:r>
          </w:p>
        </w:tc>
      </w:tr>
      <w:tr>
        <w:trPr>
          <w:trHeight w:val="25"/>
        </w:trPr>
        <w:tc>
          <w:tcPr>
            <w:tcW w:w="3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453"/>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President, Chief Executive Officer and Director</w:t>
            </w:r>
          </w:p>
        </w:tc>
        <w:tc>
          <w:tcPr>
            <w:tcW w:w="2260" w:type="dxa"/>
            <w:vAlign w:val="bottom"/>
          </w:tcPr>
          <w:p>
            <w:pPr>
              <w:spacing w:after="0"/>
              <w:rPr>
                <w:sz w:val="24"/>
                <w:szCs w:val="24"/>
                <w:color w:val="auto"/>
              </w:rPr>
            </w:pPr>
          </w:p>
        </w:tc>
      </w:tr>
      <w:tr>
        <w:trPr>
          <w:trHeight w:val="212"/>
        </w:trPr>
        <w:tc>
          <w:tcPr>
            <w:tcW w:w="3440" w:type="dxa"/>
            <w:vAlign w:val="bottom"/>
          </w:tcPr>
          <w:p>
            <w:pPr>
              <w:jc w:val="center"/>
              <w:spacing w:after="0"/>
              <w:rPr>
                <w:sz w:val="20"/>
                <w:szCs w:val="20"/>
                <w:color w:val="auto"/>
              </w:rPr>
            </w:pPr>
            <w:r>
              <w:rPr>
                <w:rFonts w:ascii="Arial" w:cs="Arial" w:eastAsia="Arial" w:hAnsi="Arial"/>
                <w:sz w:val="17"/>
                <w:szCs w:val="17"/>
                <w:color w:val="auto"/>
                <w:w w:val="85"/>
              </w:rPr>
              <w:t>/s/ Jason Randall</w:t>
            </w:r>
          </w:p>
        </w:tc>
        <w:tc>
          <w:tcPr>
            <w:tcW w:w="220" w:type="dxa"/>
            <w:vAlign w:val="bottom"/>
          </w:tcPr>
          <w:p>
            <w:pPr>
              <w:spacing w:after="0"/>
              <w:rPr>
                <w:sz w:val="18"/>
                <w:szCs w:val="18"/>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(Principal Executive Officer)</w:t>
            </w:r>
          </w:p>
        </w:tc>
        <w:tc>
          <w:tcPr>
            <w:tcW w:w="2260" w:type="dxa"/>
            <w:vAlign w:val="bottom"/>
          </w:tcPr>
          <w:p>
            <w:pPr>
              <w:jc w:val="center"/>
              <w:spacing w:after="0"/>
              <w:rPr>
                <w:sz w:val="20"/>
                <w:szCs w:val="20"/>
                <w:color w:val="auto"/>
              </w:rPr>
            </w:pPr>
            <w:r>
              <w:rPr>
                <w:rFonts w:ascii="Arial" w:cs="Arial" w:eastAsia="Arial" w:hAnsi="Arial"/>
                <w:sz w:val="17"/>
                <w:szCs w:val="17"/>
                <w:color w:val="auto"/>
                <w:w w:val="90"/>
              </w:rPr>
              <w:t>March 2, 2020</w:t>
            </w:r>
          </w:p>
        </w:tc>
      </w:tr>
      <w:tr>
        <w:trPr>
          <w:trHeight w:val="25"/>
        </w:trPr>
        <w:tc>
          <w:tcPr>
            <w:tcW w:w="3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7"/>
        </w:trPr>
        <w:tc>
          <w:tcPr>
            <w:tcW w:w="3440" w:type="dxa"/>
            <w:vAlign w:val="bottom"/>
          </w:tcPr>
          <w:p>
            <w:pPr>
              <w:jc w:val="center"/>
              <w:spacing w:after="0"/>
              <w:rPr>
                <w:sz w:val="20"/>
                <w:szCs w:val="20"/>
                <w:color w:val="auto"/>
              </w:rPr>
            </w:pPr>
            <w:r>
              <w:rPr>
                <w:rFonts w:ascii="Arial" w:cs="Arial" w:eastAsia="Arial" w:hAnsi="Arial"/>
                <w:sz w:val="17"/>
                <w:szCs w:val="17"/>
                <w:color w:val="auto"/>
                <w:w w:val="85"/>
              </w:rPr>
              <w:t>Jason Randall</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497"/>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Chief Financial Officer</w:t>
            </w:r>
          </w:p>
        </w:tc>
        <w:tc>
          <w:tcPr>
            <w:tcW w:w="2260" w:type="dxa"/>
            <w:vAlign w:val="bottom"/>
          </w:tcPr>
          <w:p>
            <w:pPr>
              <w:spacing w:after="0"/>
              <w:rPr>
                <w:sz w:val="24"/>
                <w:szCs w:val="24"/>
                <w:color w:val="auto"/>
              </w:rPr>
            </w:pPr>
          </w:p>
        </w:tc>
      </w:tr>
      <w:tr>
        <w:trPr>
          <w:trHeight w:val="224"/>
        </w:trPr>
        <w:tc>
          <w:tcPr>
            <w:tcW w:w="3440" w:type="dxa"/>
            <w:vAlign w:val="bottom"/>
          </w:tcPr>
          <w:p>
            <w:pPr>
              <w:jc w:val="center"/>
              <w:spacing w:after="0"/>
              <w:rPr>
                <w:sz w:val="20"/>
                <w:szCs w:val="20"/>
                <w:color w:val="auto"/>
              </w:rPr>
            </w:pPr>
            <w:r>
              <w:rPr>
                <w:rFonts w:ascii="Arial" w:cs="Arial" w:eastAsia="Arial" w:hAnsi="Arial"/>
                <w:sz w:val="17"/>
                <w:szCs w:val="17"/>
                <w:color w:val="auto"/>
                <w:w w:val="88"/>
              </w:rPr>
              <w:t>/s/ Ida Kane</w:t>
            </w:r>
          </w:p>
        </w:tc>
        <w:tc>
          <w:tcPr>
            <w:tcW w:w="220" w:type="dxa"/>
            <w:vAlign w:val="bottom"/>
          </w:tcPr>
          <w:p>
            <w:pPr>
              <w:spacing w:after="0"/>
              <w:rPr>
                <w:sz w:val="19"/>
                <w:szCs w:val="19"/>
                <w:color w:val="auto"/>
              </w:rPr>
            </w:pPr>
          </w:p>
        </w:tc>
        <w:tc>
          <w:tcPr>
            <w:tcW w:w="550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(Principal Financial and Accounting Officer)</w:t>
            </w:r>
          </w:p>
        </w:tc>
        <w:tc>
          <w:tcPr>
            <w:tcW w:w="2260" w:type="dxa"/>
            <w:vAlign w:val="bottom"/>
          </w:tcPr>
          <w:p>
            <w:pPr>
              <w:jc w:val="center"/>
              <w:spacing w:after="0"/>
              <w:rPr>
                <w:sz w:val="20"/>
                <w:szCs w:val="20"/>
                <w:color w:val="auto"/>
              </w:rPr>
            </w:pPr>
            <w:r>
              <w:rPr>
                <w:rFonts w:ascii="Arial" w:cs="Arial" w:eastAsia="Arial" w:hAnsi="Arial"/>
                <w:sz w:val="17"/>
                <w:szCs w:val="17"/>
                <w:color w:val="auto"/>
                <w:w w:val="90"/>
              </w:rPr>
              <w:t>March 2, 2020</w:t>
            </w:r>
          </w:p>
        </w:tc>
      </w:tr>
      <w:tr>
        <w:trPr>
          <w:trHeight w:val="25"/>
        </w:trPr>
        <w:tc>
          <w:tcPr>
            <w:tcW w:w="3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9"/>
        </w:trPr>
        <w:tc>
          <w:tcPr>
            <w:tcW w:w="3440" w:type="dxa"/>
            <w:vAlign w:val="bottom"/>
          </w:tcPr>
          <w:p>
            <w:pPr>
              <w:jc w:val="center"/>
              <w:spacing w:after="0"/>
              <w:rPr>
                <w:sz w:val="20"/>
                <w:szCs w:val="20"/>
                <w:color w:val="auto"/>
              </w:rPr>
            </w:pPr>
            <w:r>
              <w:rPr>
                <w:rFonts w:ascii="Arial" w:cs="Arial" w:eastAsia="Arial" w:hAnsi="Arial"/>
                <w:sz w:val="17"/>
                <w:szCs w:val="17"/>
                <w:color w:val="auto"/>
                <w:w w:val="88"/>
              </w:rPr>
              <w:t>Ida Kane</w:t>
            </w:r>
          </w:p>
        </w:tc>
        <w:tc>
          <w:tcPr>
            <w:tcW w:w="2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510"/>
        </w:trPr>
        <w:tc>
          <w:tcPr>
            <w:tcW w:w="3440" w:type="dxa"/>
            <w:vAlign w:val="bottom"/>
          </w:tcPr>
          <w:p>
            <w:pPr>
              <w:jc w:val="center"/>
              <w:spacing w:after="0"/>
              <w:rPr>
                <w:sz w:val="20"/>
                <w:szCs w:val="20"/>
                <w:color w:val="auto"/>
              </w:rPr>
            </w:pPr>
            <w:r>
              <w:rPr>
                <w:rFonts w:ascii="Arial" w:cs="Arial" w:eastAsia="Arial" w:hAnsi="Arial"/>
                <w:sz w:val="17"/>
                <w:szCs w:val="17"/>
                <w:color w:val="auto"/>
                <w:w w:val="90"/>
              </w:rPr>
              <w:t>/s/ Andreas von Blottnitz</w:t>
            </w: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Chairman of the Board</w:t>
            </w:r>
          </w:p>
        </w:tc>
        <w:tc>
          <w:tcPr>
            <w:tcW w:w="2260" w:type="dxa"/>
            <w:vAlign w:val="bottom"/>
          </w:tcPr>
          <w:p>
            <w:pPr>
              <w:jc w:val="center"/>
              <w:spacing w:after="0"/>
              <w:rPr>
                <w:sz w:val="20"/>
                <w:szCs w:val="20"/>
                <w:color w:val="auto"/>
              </w:rPr>
            </w:pPr>
            <w:r>
              <w:rPr>
                <w:rFonts w:ascii="Arial" w:cs="Arial" w:eastAsia="Arial" w:hAnsi="Arial"/>
                <w:sz w:val="17"/>
                <w:szCs w:val="17"/>
                <w:color w:val="auto"/>
                <w:w w:val="90"/>
              </w:rPr>
              <w:t>March 2, 2020</w:t>
            </w:r>
          </w:p>
        </w:tc>
      </w:tr>
      <w:tr>
        <w:trPr>
          <w:trHeight w:val="25"/>
        </w:trPr>
        <w:tc>
          <w:tcPr>
            <w:tcW w:w="3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7"/>
        </w:trPr>
        <w:tc>
          <w:tcPr>
            <w:tcW w:w="3440" w:type="dxa"/>
            <w:vAlign w:val="bottom"/>
          </w:tcPr>
          <w:p>
            <w:pPr>
              <w:jc w:val="center"/>
              <w:spacing w:after="0"/>
              <w:rPr>
                <w:sz w:val="20"/>
                <w:szCs w:val="20"/>
                <w:color w:val="auto"/>
              </w:rPr>
            </w:pPr>
            <w:r>
              <w:rPr>
                <w:rFonts w:ascii="Arial" w:cs="Arial" w:eastAsia="Arial" w:hAnsi="Arial"/>
                <w:sz w:val="17"/>
                <w:szCs w:val="17"/>
                <w:color w:val="auto"/>
                <w:w w:val="90"/>
              </w:rPr>
              <w:t>Andreas von Blottnitz</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522"/>
        </w:trPr>
        <w:tc>
          <w:tcPr>
            <w:tcW w:w="3440" w:type="dxa"/>
            <w:vAlign w:val="bottom"/>
          </w:tcPr>
          <w:p>
            <w:pPr>
              <w:jc w:val="center"/>
              <w:spacing w:after="0"/>
              <w:rPr>
                <w:sz w:val="20"/>
                <w:szCs w:val="20"/>
                <w:color w:val="auto"/>
              </w:rPr>
            </w:pPr>
            <w:r>
              <w:rPr>
                <w:rFonts w:ascii="Arial" w:cs="Arial" w:eastAsia="Arial" w:hAnsi="Arial"/>
                <w:sz w:val="17"/>
                <w:szCs w:val="17"/>
                <w:color w:val="auto"/>
                <w:w w:val="92"/>
              </w:rPr>
              <w:t>/s/ Timothy Bliss</w:t>
            </w: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Director</w:t>
            </w:r>
          </w:p>
        </w:tc>
        <w:tc>
          <w:tcPr>
            <w:tcW w:w="2260" w:type="dxa"/>
            <w:vAlign w:val="bottom"/>
          </w:tcPr>
          <w:p>
            <w:pPr>
              <w:jc w:val="center"/>
              <w:spacing w:after="0"/>
              <w:rPr>
                <w:sz w:val="20"/>
                <w:szCs w:val="20"/>
                <w:color w:val="auto"/>
              </w:rPr>
            </w:pPr>
            <w:r>
              <w:rPr>
                <w:rFonts w:ascii="Arial" w:cs="Arial" w:eastAsia="Arial" w:hAnsi="Arial"/>
                <w:sz w:val="17"/>
                <w:szCs w:val="17"/>
                <w:color w:val="auto"/>
                <w:w w:val="90"/>
              </w:rPr>
              <w:t>March 2, 2020</w:t>
            </w:r>
          </w:p>
        </w:tc>
      </w:tr>
      <w:tr>
        <w:trPr>
          <w:trHeight w:val="25"/>
        </w:trPr>
        <w:tc>
          <w:tcPr>
            <w:tcW w:w="3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7"/>
        </w:trPr>
        <w:tc>
          <w:tcPr>
            <w:tcW w:w="3440" w:type="dxa"/>
            <w:vAlign w:val="bottom"/>
          </w:tcPr>
          <w:p>
            <w:pPr>
              <w:jc w:val="center"/>
              <w:spacing w:after="0"/>
              <w:rPr>
                <w:sz w:val="20"/>
                <w:szCs w:val="20"/>
                <w:color w:val="auto"/>
              </w:rPr>
            </w:pPr>
            <w:r>
              <w:rPr>
                <w:rFonts w:ascii="Arial" w:cs="Arial" w:eastAsia="Arial" w:hAnsi="Arial"/>
                <w:sz w:val="17"/>
                <w:szCs w:val="17"/>
                <w:color w:val="auto"/>
                <w:w w:val="92"/>
              </w:rPr>
              <w:t>Timothy Bliss</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497"/>
        </w:trPr>
        <w:tc>
          <w:tcPr>
            <w:tcW w:w="3440" w:type="dxa"/>
            <w:vAlign w:val="bottom"/>
          </w:tcPr>
          <w:p>
            <w:pPr>
              <w:jc w:val="center"/>
              <w:spacing w:after="0"/>
              <w:rPr>
                <w:sz w:val="20"/>
                <w:szCs w:val="20"/>
                <w:color w:val="auto"/>
              </w:rPr>
            </w:pPr>
            <w:r>
              <w:rPr>
                <w:rFonts w:ascii="Arial" w:cs="Arial" w:eastAsia="Arial" w:hAnsi="Arial"/>
                <w:sz w:val="17"/>
                <w:szCs w:val="17"/>
                <w:color w:val="auto"/>
                <w:w w:val="86"/>
              </w:rPr>
              <w:t>/s/ Janet Kerr</w:t>
            </w: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Director</w:t>
            </w:r>
          </w:p>
        </w:tc>
        <w:tc>
          <w:tcPr>
            <w:tcW w:w="2260" w:type="dxa"/>
            <w:vAlign w:val="bottom"/>
          </w:tcPr>
          <w:p>
            <w:pPr>
              <w:jc w:val="center"/>
              <w:spacing w:after="0"/>
              <w:rPr>
                <w:sz w:val="20"/>
                <w:szCs w:val="20"/>
                <w:color w:val="auto"/>
              </w:rPr>
            </w:pPr>
            <w:r>
              <w:rPr>
                <w:rFonts w:ascii="Arial" w:cs="Arial" w:eastAsia="Arial" w:hAnsi="Arial"/>
                <w:sz w:val="17"/>
                <w:szCs w:val="17"/>
                <w:color w:val="auto"/>
                <w:w w:val="90"/>
              </w:rPr>
              <w:t>March 2, 2020</w:t>
            </w:r>
          </w:p>
        </w:tc>
      </w:tr>
      <w:tr>
        <w:trPr>
          <w:trHeight w:val="25"/>
        </w:trPr>
        <w:tc>
          <w:tcPr>
            <w:tcW w:w="3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7"/>
        </w:trPr>
        <w:tc>
          <w:tcPr>
            <w:tcW w:w="3440" w:type="dxa"/>
            <w:vAlign w:val="bottom"/>
          </w:tcPr>
          <w:p>
            <w:pPr>
              <w:jc w:val="center"/>
              <w:spacing w:after="0"/>
              <w:rPr>
                <w:sz w:val="20"/>
                <w:szCs w:val="20"/>
                <w:color w:val="auto"/>
              </w:rPr>
            </w:pPr>
            <w:r>
              <w:rPr>
                <w:rFonts w:ascii="Arial" w:cs="Arial" w:eastAsia="Arial" w:hAnsi="Arial"/>
                <w:sz w:val="17"/>
                <w:szCs w:val="17"/>
                <w:color w:val="auto"/>
                <w:w w:val="86"/>
              </w:rPr>
              <w:t>Janet Kerr</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497"/>
        </w:trPr>
        <w:tc>
          <w:tcPr>
            <w:tcW w:w="3440" w:type="dxa"/>
            <w:vAlign w:val="bottom"/>
          </w:tcPr>
          <w:p>
            <w:pPr>
              <w:jc w:val="center"/>
              <w:spacing w:after="0"/>
              <w:rPr>
                <w:sz w:val="20"/>
                <w:szCs w:val="20"/>
                <w:color w:val="auto"/>
              </w:rPr>
            </w:pPr>
            <w:r>
              <w:rPr>
                <w:rFonts w:ascii="Arial" w:cs="Arial" w:eastAsia="Arial" w:hAnsi="Arial"/>
                <w:sz w:val="17"/>
                <w:szCs w:val="17"/>
                <w:color w:val="auto"/>
                <w:w w:val="82"/>
              </w:rPr>
              <w:t>/s/ James Peters</w:t>
            </w: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Director</w:t>
            </w:r>
          </w:p>
        </w:tc>
        <w:tc>
          <w:tcPr>
            <w:tcW w:w="2260" w:type="dxa"/>
            <w:vAlign w:val="bottom"/>
          </w:tcPr>
          <w:p>
            <w:pPr>
              <w:jc w:val="center"/>
              <w:spacing w:after="0"/>
              <w:rPr>
                <w:sz w:val="20"/>
                <w:szCs w:val="20"/>
                <w:color w:val="auto"/>
              </w:rPr>
            </w:pPr>
            <w:r>
              <w:rPr>
                <w:rFonts w:ascii="Arial" w:cs="Arial" w:eastAsia="Arial" w:hAnsi="Arial"/>
                <w:sz w:val="17"/>
                <w:szCs w:val="17"/>
                <w:color w:val="auto"/>
                <w:w w:val="90"/>
              </w:rPr>
              <w:t>March 2, 2020</w:t>
            </w:r>
          </w:p>
        </w:tc>
      </w:tr>
      <w:tr>
        <w:trPr>
          <w:trHeight w:val="25"/>
        </w:trPr>
        <w:tc>
          <w:tcPr>
            <w:tcW w:w="3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7"/>
        </w:trPr>
        <w:tc>
          <w:tcPr>
            <w:tcW w:w="3440" w:type="dxa"/>
            <w:vAlign w:val="bottom"/>
          </w:tcPr>
          <w:p>
            <w:pPr>
              <w:jc w:val="center"/>
              <w:spacing w:after="0"/>
              <w:rPr>
                <w:sz w:val="20"/>
                <w:szCs w:val="20"/>
                <w:color w:val="auto"/>
              </w:rPr>
            </w:pPr>
            <w:r>
              <w:rPr>
                <w:rFonts w:ascii="Arial" w:cs="Arial" w:eastAsia="Arial" w:hAnsi="Arial"/>
                <w:sz w:val="17"/>
                <w:szCs w:val="17"/>
                <w:color w:val="auto"/>
                <w:w w:val="80"/>
              </w:rPr>
              <w:t>James Peters</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497"/>
        </w:trPr>
        <w:tc>
          <w:tcPr>
            <w:tcW w:w="3440" w:type="dxa"/>
            <w:vAlign w:val="bottom"/>
          </w:tcPr>
          <w:p>
            <w:pPr>
              <w:jc w:val="center"/>
              <w:spacing w:after="0"/>
              <w:rPr>
                <w:sz w:val="20"/>
                <w:szCs w:val="20"/>
                <w:color w:val="auto"/>
              </w:rPr>
            </w:pPr>
            <w:r>
              <w:rPr>
                <w:rFonts w:ascii="Arial" w:cs="Arial" w:eastAsia="Arial" w:hAnsi="Arial"/>
                <w:sz w:val="17"/>
                <w:szCs w:val="17"/>
                <w:color w:val="auto"/>
                <w:w w:val="92"/>
              </w:rPr>
              <w:t>/s/ William Rauth</w:t>
            </w: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Director</w:t>
            </w:r>
          </w:p>
        </w:tc>
        <w:tc>
          <w:tcPr>
            <w:tcW w:w="2260" w:type="dxa"/>
            <w:vAlign w:val="bottom"/>
          </w:tcPr>
          <w:p>
            <w:pPr>
              <w:jc w:val="center"/>
              <w:spacing w:after="0"/>
              <w:rPr>
                <w:sz w:val="20"/>
                <w:szCs w:val="20"/>
                <w:color w:val="auto"/>
              </w:rPr>
            </w:pPr>
            <w:r>
              <w:rPr>
                <w:rFonts w:ascii="Arial" w:cs="Arial" w:eastAsia="Arial" w:hAnsi="Arial"/>
                <w:sz w:val="17"/>
                <w:szCs w:val="17"/>
                <w:color w:val="auto"/>
                <w:w w:val="90"/>
              </w:rPr>
              <w:t>March 2, 2020</w:t>
            </w:r>
          </w:p>
        </w:tc>
      </w:tr>
      <w:tr>
        <w:trPr>
          <w:trHeight w:val="25"/>
        </w:trPr>
        <w:tc>
          <w:tcPr>
            <w:tcW w:w="3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7"/>
        </w:trPr>
        <w:tc>
          <w:tcPr>
            <w:tcW w:w="3440" w:type="dxa"/>
            <w:vAlign w:val="bottom"/>
          </w:tcPr>
          <w:p>
            <w:pPr>
              <w:jc w:val="center"/>
              <w:spacing w:after="0"/>
              <w:rPr>
                <w:sz w:val="20"/>
                <w:szCs w:val="20"/>
                <w:color w:val="auto"/>
              </w:rPr>
            </w:pPr>
            <w:r>
              <w:rPr>
                <w:rFonts w:ascii="Arial" w:cs="Arial" w:eastAsia="Arial" w:hAnsi="Arial"/>
                <w:sz w:val="17"/>
                <w:szCs w:val="17"/>
                <w:color w:val="auto"/>
                <w:w w:val="93"/>
              </w:rPr>
              <w:t>William Rauth</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510"/>
        </w:trPr>
        <w:tc>
          <w:tcPr>
            <w:tcW w:w="3440" w:type="dxa"/>
            <w:vAlign w:val="bottom"/>
          </w:tcPr>
          <w:p>
            <w:pPr>
              <w:jc w:val="center"/>
              <w:spacing w:after="0"/>
              <w:rPr>
                <w:sz w:val="20"/>
                <w:szCs w:val="20"/>
                <w:color w:val="auto"/>
              </w:rPr>
            </w:pPr>
            <w:r>
              <w:rPr>
                <w:rFonts w:ascii="Arial" w:cs="Arial" w:eastAsia="Arial" w:hAnsi="Arial"/>
                <w:sz w:val="17"/>
                <w:szCs w:val="17"/>
                <w:color w:val="auto"/>
                <w:w w:val="86"/>
              </w:rPr>
              <w:t>/s/ Klaus Schauser</w:t>
            </w: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Chief Strategist and Director</w:t>
            </w:r>
          </w:p>
        </w:tc>
        <w:tc>
          <w:tcPr>
            <w:tcW w:w="2260" w:type="dxa"/>
            <w:vAlign w:val="bottom"/>
          </w:tcPr>
          <w:p>
            <w:pPr>
              <w:jc w:val="center"/>
              <w:spacing w:after="0"/>
              <w:rPr>
                <w:sz w:val="20"/>
                <w:szCs w:val="20"/>
                <w:color w:val="auto"/>
              </w:rPr>
            </w:pPr>
            <w:r>
              <w:rPr>
                <w:rFonts w:ascii="Arial" w:cs="Arial" w:eastAsia="Arial" w:hAnsi="Arial"/>
                <w:sz w:val="17"/>
                <w:szCs w:val="17"/>
                <w:color w:val="auto"/>
                <w:w w:val="90"/>
              </w:rPr>
              <w:t>March 2, 2020</w:t>
            </w:r>
          </w:p>
        </w:tc>
      </w:tr>
      <w:tr>
        <w:trPr>
          <w:trHeight w:val="25"/>
        </w:trPr>
        <w:tc>
          <w:tcPr>
            <w:tcW w:w="3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7"/>
        </w:trPr>
        <w:tc>
          <w:tcPr>
            <w:tcW w:w="3440" w:type="dxa"/>
            <w:vAlign w:val="bottom"/>
          </w:tcPr>
          <w:p>
            <w:pPr>
              <w:jc w:val="center"/>
              <w:spacing w:after="0"/>
              <w:rPr>
                <w:sz w:val="20"/>
                <w:szCs w:val="20"/>
                <w:color w:val="auto"/>
              </w:rPr>
            </w:pPr>
            <w:r>
              <w:rPr>
                <w:rFonts w:ascii="Arial" w:cs="Arial" w:eastAsia="Arial" w:hAnsi="Arial"/>
                <w:sz w:val="17"/>
                <w:szCs w:val="17"/>
                <w:color w:val="auto"/>
                <w:w w:val="85"/>
              </w:rPr>
              <w:t>Klaus Schauser</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497"/>
        </w:trPr>
        <w:tc>
          <w:tcPr>
            <w:tcW w:w="3440" w:type="dxa"/>
            <w:vAlign w:val="bottom"/>
          </w:tcPr>
          <w:p>
            <w:pPr>
              <w:jc w:val="center"/>
              <w:spacing w:after="0"/>
              <w:rPr>
                <w:sz w:val="20"/>
                <w:szCs w:val="20"/>
                <w:color w:val="auto"/>
              </w:rPr>
            </w:pPr>
            <w:r>
              <w:rPr>
                <w:rFonts w:ascii="Arial" w:cs="Arial" w:eastAsia="Arial" w:hAnsi="Arial"/>
                <w:sz w:val="17"/>
                <w:szCs w:val="17"/>
                <w:color w:val="auto"/>
                <w:w w:val="90"/>
              </w:rPr>
              <w:t>/s/ Winifred Webb</w:t>
            </w:r>
          </w:p>
        </w:tc>
        <w:tc>
          <w:tcPr>
            <w:tcW w:w="220" w:type="dxa"/>
            <w:vAlign w:val="bottom"/>
          </w:tcPr>
          <w:p>
            <w:pPr>
              <w:spacing w:after="0"/>
              <w:rPr>
                <w:sz w:val="24"/>
                <w:szCs w:val="24"/>
                <w:color w:val="auto"/>
              </w:rPr>
            </w:pPr>
          </w:p>
        </w:tc>
        <w:tc>
          <w:tcPr>
            <w:tcW w:w="55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Director</w:t>
            </w:r>
          </w:p>
        </w:tc>
        <w:tc>
          <w:tcPr>
            <w:tcW w:w="2260" w:type="dxa"/>
            <w:vAlign w:val="bottom"/>
          </w:tcPr>
          <w:p>
            <w:pPr>
              <w:jc w:val="center"/>
              <w:spacing w:after="0"/>
              <w:rPr>
                <w:sz w:val="20"/>
                <w:szCs w:val="20"/>
                <w:color w:val="auto"/>
              </w:rPr>
            </w:pPr>
            <w:r>
              <w:rPr>
                <w:rFonts w:ascii="Arial" w:cs="Arial" w:eastAsia="Arial" w:hAnsi="Arial"/>
                <w:sz w:val="17"/>
                <w:szCs w:val="17"/>
                <w:color w:val="auto"/>
                <w:w w:val="90"/>
              </w:rPr>
              <w:t>March 2, 2020</w:t>
            </w:r>
          </w:p>
        </w:tc>
      </w:tr>
      <w:tr>
        <w:trPr>
          <w:trHeight w:val="25"/>
        </w:trPr>
        <w:tc>
          <w:tcPr>
            <w:tcW w:w="3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17"/>
        </w:trPr>
        <w:tc>
          <w:tcPr>
            <w:tcW w:w="3440" w:type="dxa"/>
            <w:vAlign w:val="bottom"/>
          </w:tcPr>
          <w:p>
            <w:pPr>
              <w:jc w:val="center"/>
              <w:spacing w:after="0"/>
              <w:rPr>
                <w:sz w:val="20"/>
                <w:szCs w:val="20"/>
                <w:color w:val="auto"/>
              </w:rPr>
            </w:pPr>
            <w:r>
              <w:rPr>
                <w:rFonts w:ascii="Arial" w:cs="Arial" w:eastAsia="Arial" w:hAnsi="Arial"/>
                <w:sz w:val="17"/>
                <w:szCs w:val="17"/>
                <w:color w:val="auto"/>
                <w:w w:val="91"/>
              </w:rPr>
              <w:t>Winifred Webb</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r>
    </w:tbl>
    <w:p>
      <w:pPr>
        <w:sectPr>
          <w:pgSz w:w="11900" w:h="16838" w:orient="portrait"/>
          <w:cols w:equalWidth="0" w:num="1">
            <w:col w:w="11420"/>
          </w:cols>
          <w:pgMar w:left="240" w:top="969"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b w:val="1"/>
          <w:bCs w:val="1"/>
          <w:color w:val="auto"/>
        </w:rPr>
        <w:t>EXHIBIT 4.3</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206"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color w:val="auto"/>
        </w:rPr>
        <w:t>The following is a summary of all material characteristics of the capital stock of AppFolio, Inc., as set forth in our Amended and Restated Certificate of Incorporation, as amended, or our Charter, and our Amended and Restated Bylaws, or our Bylaws. References to "we," "us," and "our" refer to AppFolio, Inc. The summary does not purport to be complete and is qualified in its entirety by reference to our Charter and Bylaws, copies of which have been filed as exhibits to our public filings with the Securities and Exchange Commission.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A Common Stock and Class B Common Stock</w:t>
      </w:r>
    </w:p>
    <w:p>
      <w:pPr>
        <w:spacing w:after="0" w:line="206"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We may issue shares of our common stock from time to time. We are currently authorized to issue 250,000,000 shares of Class A common stock, par</w:t>
      </w:r>
      <w:r>
        <w:rPr>
          <w:rFonts w:ascii="Arial" w:cs="Arial" w:eastAsia="Arial" w:hAnsi="Arial"/>
          <w:sz w:val="17"/>
          <w:szCs w:val="17"/>
          <w:i w:val="1"/>
          <w:iCs w:val="1"/>
          <w:color w:val="auto"/>
        </w:rPr>
        <w:t xml:space="preserve"> </w:t>
      </w:r>
      <w:r>
        <w:rPr>
          <w:rFonts w:ascii="Arial" w:cs="Arial" w:eastAsia="Arial" w:hAnsi="Arial"/>
          <w:sz w:val="17"/>
          <w:szCs w:val="17"/>
          <w:color w:val="auto"/>
        </w:rPr>
        <w:t>value $0.0001 per share, and 50,000,000 shares of Class B common stock, par value $0.0001 per share. The rights, preferences and privileges of holders of our common stock are subject to, and may be adversely affected by, the rights of the holders of shares of any of our outstanding preferred stock. See the section entitled "</w:t>
      </w:r>
      <w:r>
        <w:rPr>
          <w:rFonts w:ascii="Arial" w:cs="Arial" w:eastAsia="Arial" w:hAnsi="Arial"/>
          <w:sz w:val="17"/>
          <w:szCs w:val="17"/>
          <w:i w:val="1"/>
          <w:iCs w:val="1"/>
          <w:color w:val="auto"/>
        </w:rPr>
        <w:t>Preferred</w:t>
      </w:r>
      <w:r>
        <w:rPr>
          <w:rFonts w:ascii="Arial" w:cs="Arial" w:eastAsia="Arial" w:hAnsi="Arial"/>
          <w:sz w:val="17"/>
          <w:szCs w:val="17"/>
          <w:color w:val="auto"/>
        </w:rPr>
        <w:t xml:space="preserve"> </w:t>
      </w:r>
      <w:r>
        <w:rPr>
          <w:rFonts w:ascii="Arial" w:cs="Arial" w:eastAsia="Arial" w:hAnsi="Arial"/>
          <w:sz w:val="17"/>
          <w:szCs w:val="17"/>
          <w:i w:val="1"/>
          <w:iCs w:val="1"/>
          <w:color w:val="auto"/>
        </w:rPr>
        <w:t>Stock"</w:t>
      </w:r>
      <w:r>
        <w:rPr>
          <w:rFonts w:ascii="Arial" w:cs="Arial" w:eastAsia="Arial" w:hAnsi="Arial"/>
          <w:sz w:val="17"/>
          <w:szCs w:val="17"/>
          <w:color w:val="auto"/>
        </w:rPr>
        <w:t>.</w:t>
      </w:r>
    </w:p>
    <w:p>
      <w:pPr>
        <w:spacing w:after="0" w:line="180"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Subject to preferences that may apply to any shares of preferred stock outstanding at the time, the holders of outstanding shares of our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and Class B common stock are entitled to receive dividends out of funds legally available at the times and in the amounts that our board of directors may determine.</w:t>
      </w:r>
    </w:p>
    <w:p>
      <w:pPr>
        <w:spacing w:after="0" w:line="175" w:lineRule="exact"/>
        <w:rPr>
          <w:sz w:val="20"/>
          <w:szCs w:val="20"/>
          <w:color w:val="auto"/>
        </w:rPr>
      </w:pPr>
    </w:p>
    <w:p>
      <w:pPr>
        <w:jc w:val="both"/>
        <w:ind w:firstLine="597"/>
        <w:spacing w:after="0" w:line="250"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The holders of our Class A common stock are entitled to one vote per share, and holders of our Class B common stock are entitled to 10 votes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The holders of our Class A common stock and Class B common stock vote together as a single class on all matters submitted to a vote of our stockholders, unless otherwise required by Delaware law or our Charter. Delaware law could require either holders of our Class A common stock or holders of our Class B common stock to vote separately as a single class in the following circumstances:</w:t>
      </w:r>
    </w:p>
    <w:p>
      <w:pPr>
        <w:spacing w:after="0" w:line="180" w:lineRule="exact"/>
        <w:rPr>
          <w:sz w:val="20"/>
          <w:szCs w:val="20"/>
          <w:color w:val="auto"/>
        </w:rPr>
      </w:pPr>
    </w:p>
    <w:p>
      <w:pPr>
        <w:ind w:left="900" w:hanging="304"/>
        <w:spacing w:after="0" w:line="264"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we were to seek to amend our Charter to increase or decrease the par value of a class of our capital stock, then that class would be required to vote separately to approve the proposed amendment; and</w:t>
      </w:r>
    </w:p>
    <w:p>
      <w:pPr>
        <w:spacing w:after="0" w:line="166" w:lineRule="exact"/>
        <w:rPr>
          <w:rFonts w:ascii="Arial" w:cs="Arial" w:eastAsia="Arial" w:hAnsi="Arial"/>
          <w:sz w:val="17"/>
          <w:szCs w:val="17"/>
          <w:color w:val="auto"/>
        </w:rPr>
      </w:pPr>
    </w:p>
    <w:p>
      <w:pPr>
        <w:ind w:left="900" w:hanging="304"/>
        <w:spacing w:after="0" w:line="264"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we were to seek to amend our Charter in a manner that alters the powers, preferences or special rights of a class of our capital stock in a manner that affected its holders adversely, then that class would be required to vote separately to approve the proposed amendment.</w:t>
      </w:r>
    </w:p>
    <w:p>
      <w:pPr>
        <w:spacing w:after="0" w:line="167"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color w:val="auto"/>
        </w:rPr>
        <w:t>In addition, our Charter provides that the approval of the holders of at least a majority of the outstanding shares of our Class B common stock, voting as a separate class, is required to approve a change-in-control transaction.</w:t>
      </w:r>
    </w:p>
    <w:p>
      <w:pPr>
        <w:spacing w:after="0" w:line="167"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Our stockholders do not have the ability to cumulate votes for the election of directors. Our Charter and Bylaws provide for a classified board of directors consisting of three classes of approximately equal size, each serving staggered three-year terms. Only one class of directors is elected at each annual meeting of stockholders, with the other classes continuing for the remainder of their respective three-year terms.</w:t>
      </w:r>
    </w:p>
    <w:p>
      <w:pPr>
        <w:spacing w:after="0" w:line="175" w:lineRule="exact"/>
        <w:rPr>
          <w:sz w:val="20"/>
          <w:szCs w:val="20"/>
          <w:color w:val="auto"/>
        </w:rPr>
      </w:pPr>
    </w:p>
    <w:p>
      <w:pPr>
        <w:jc w:val="both"/>
        <w:ind w:firstLine="597"/>
        <w:spacing w:after="0" w:line="331" w:lineRule="auto"/>
        <w:rPr>
          <w:sz w:val="20"/>
          <w:szCs w:val="20"/>
          <w:color w:val="auto"/>
        </w:rPr>
      </w:pPr>
      <w:r>
        <w:rPr>
          <w:rFonts w:ascii="Arial" w:cs="Arial" w:eastAsia="Arial" w:hAnsi="Arial"/>
          <w:sz w:val="15"/>
          <w:szCs w:val="15"/>
          <w:i w:val="1"/>
          <w:iCs w:val="1"/>
          <w:color w:val="auto"/>
        </w:rPr>
        <w:t xml:space="preserve">Identical Rights. </w:t>
      </w:r>
      <w:r>
        <w:rPr>
          <w:rFonts w:ascii="Arial" w:cs="Arial" w:eastAsia="Arial" w:hAnsi="Arial"/>
          <w:sz w:val="15"/>
          <w:szCs w:val="15"/>
          <w:color w:val="auto"/>
        </w:rPr>
        <w:t>Except as described in the section entitled "-</w:t>
      </w:r>
      <w:r>
        <w:rPr>
          <w:rFonts w:ascii="Arial" w:cs="Arial" w:eastAsia="Arial" w:hAnsi="Arial"/>
          <w:sz w:val="15"/>
          <w:szCs w:val="15"/>
          <w:i w:val="1"/>
          <w:iCs w:val="1"/>
          <w:color w:val="auto"/>
        </w:rPr>
        <w:t xml:space="preserve">Voting Rights" </w:t>
      </w:r>
      <w:r>
        <w:rPr>
          <w:rFonts w:ascii="Arial" w:cs="Arial" w:eastAsia="Arial" w:hAnsi="Arial"/>
          <w:sz w:val="15"/>
          <w:szCs w:val="15"/>
          <w:color w:val="auto"/>
        </w:rPr>
        <w:t>, or as otherwise required by applicable law, the shares of our Class A common stock</w:t>
      </w:r>
      <w:r>
        <w:rPr>
          <w:rFonts w:ascii="Arial" w:cs="Arial" w:eastAsia="Arial" w:hAnsi="Arial"/>
          <w:sz w:val="15"/>
          <w:szCs w:val="15"/>
          <w:i w:val="1"/>
          <w:iCs w:val="1"/>
          <w:color w:val="auto"/>
        </w:rPr>
        <w:t xml:space="preserve"> </w:t>
      </w:r>
      <w:r>
        <w:rPr>
          <w:rFonts w:ascii="Arial" w:cs="Arial" w:eastAsia="Arial" w:hAnsi="Arial"/>
          <w:sz w:val="15"/>
          <w:szCs w:val="15"/>
          <w:color w:val="auto"/>
        </w:rPr>
        <w:t>and Class B common stock have the same powers, preferences and rights and rank equally, share ratably and are identical in all respects as to all matters.</w:t>
      </w:r>
    </w:p>
    <w:p>
      <w:pPr>
        <w:spacing w:after="0" w:line="121" w:lineRule="exact"/>
        <w:rPr>
          <w:sz w:val="20"/>
          <w:szCs w:val="20"/>
          <w:color w:val="auto"/>
        </w:rPr>
      </w:pPr>
    </w:p>
    <w:p>
      <w:pPr>
        <w:jc w:val="both"/>
        <w:ind w:firstLine="597"/>
        <w:spacing w:after="0" w:line="264" w:lineRule="auto"/>
        <w:rPr>
          <w:sz w:val="20"/>
          <w:szCs w:val="20"/>
          <w:color w:val="auto"/>
        </w:rPr>
      </w:pPr>
      <w:r>
        <w:rPr>
          <w:rFonts w:ascii="Arial" w:cs="Arial" w:eastAsia="Arial" w:hAnsi="Arial"/>
          <w:sz w:val="17"/>
          <w:szCs w:val="17"/>
          <w:i w:val="1"/>
          <w:iCs w:val="1"/>
          <w:color w:val="auto"/>
        </w:rPr>
        <w:t>No Preemptive or Similar Rights</w:t>
      </w:r>
      <w:r>
        <w:rPr>
          <w:rFonts w:ascii="Arial" w:cs="Arial" w:eastAsia="Arial" w:hAnsi="Arial"/>
          <w:sz w:val="17"/>
          <w:szCs w:val="17"/>
          <w:color w:val="auto"/>
        </w:rPr>
        <w:t>. Our common stock is not entitled to preemptive rights, and is not subject to redemption. There are no sinking fund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our common stock.</w:t>
      </w:r>
    </w:p>
    <w:p>
      <w:pPr>
        <w:spacing w:after="0" w:line="167" w:lineRule="exact"/>
        <w:rPr>
          <w:sz w:val="20"/>
          <w:szCs w:val="20"/>
          <w:color w:val="auto"/>
        </w:rPr>
      </w:pPr>
    </w:p>
    <w:p>
      <w:pPr>
        <w:jc w:val="both"/>
        <w:ind w:firstLine="597"/>
        <w:spacing w:after="0" w:line="268"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Our Class A common stock is not convertible. Each share of our Class B common stock is convertible at any time at the option of the holder into one</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our Class A common stock. In addition, each share of our Class B common stock will convert into one share of our Class A common stock upon any transfer, whether or not for value, except for certain transfers described in our Charter, including, without limitation, (i) a transfer by a partnership or limited liability company that was a registered holder of our Class B common stock at the "effective time," as defined in our Charter, to a partner or member thereof at the effective time, or (ii) a transfer to a "qualified recipient," as defined in our Charter. All of the outstanding shares of</w:t>
      </w:r>
    </w:p>
    <w:p>
      <w:pPr>
        <w:sectPr>
          <w:pgSz w:w="11900" w:h="16838" w:orient="portrait"/>
          <w:cols w:equalWidth="0" w:num="1">
            <w:col w:w="11420"/>
          </w:cols>
          <w:pgMar w:left="240" w:top="919" w:right="239" w:bottom="1440" w:gutter="0" w:footer="0" w:header="0"/>
        </w:sectPr>
      </w:pPr>
    </w:p>
    <w:bookmarkStart w:id="98" w:name="page99"/>
    <w:bookmarkEnd w:id="98"/>
    <w:p>
      <w:pPr>
        <w:jc w:val="both"/>
        <w:spacing w:after="0" w:line="254" w:lineRule="auto"/>
        <w:rPr>
          <w:sz w:val="20"/>
          <w:szCs w:val="20"/>
          <w:color w:val="auto"/>
        </w:rPr>
      </w:pPr>
      <w:r>
        <w:rPr>
          <w:rFonts w:ascii="Arial" w:cs="Arial" w:eastAsia="Arial" w:hAnsi="Arial"/>
          <w:sz w:val="17"/>
          <w:szCs w:val="17"/>
          <w:color w:val="auto"/>
        </w:rPr>
        <w:t>our Class B common stock will convert automatically into shares of our Class A common stock upon the date when the number of outstanding shares of our Class B common stock represents less than 10% of all outstanding shares of our Class A common stock and Class B common stock. Once converted into our Class A common stock, our Class B common stock may not be reissued.</w:t>
      </w:r>
    </w:p>
    <w:p>
      <w:pPr>
        <w:spacing w:after="0" w:line="175"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i w:val="1"/>
          <w:iCs w:val="1"/>
          <w:color w:val="auto"/>
        </w:rPr>
        <w:t>Right to Receive Liquidation Distributions</w:t>
      </w:r>
      <w:r>
        <w:rPr>
          <w:rFonts w:ascii="Arial" w:cs="Arial" w:eastAsia="Arial" w:hAnsi="Arial"/>
          <w:sz w:val="17"/>
          <w:szCs w:val="17"/>
          <w:color w:val="auto"/>
        </w:rPr>
        <w:t>. Upon our dissolution, liquidation or winding-up, the assets legally available for distribution to our stockholders are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06" w:lineRule="exact"/>
        <w:rPr>
          <w:sz w:val="20"/>
          <w:szCs w:val="20"/>
          <w:color w:val="auto"/>
        </w:rPr>
      </w:pPr>
    </w:p>
    <w:p>
      <w:pPr>
        <w:jc w:val="both"/>
        <w:ind w:firstLine="597"/>
        <w:spacing w:after="0" w:line="248" w:lineRule="auto"/>
        <w:rPr>
          <w:sz w:val="20"/>
          <w:szCs w:val="20"/>
          <w:color w:val="auto"/>
        </w:rPr>
      </w:pPr>
      <w:r>
        <w:rPr>
          <w:rFonts w:ascii="Arial" w:cs="Arial" w:eastAsia="Arial" w:hAnsi="Arial"/>
          <w:sz w:val="17"/>
          <w:szCs w:val="17"/>
          <w:color w:val="auto"/>
        </w:rPr>
        <w:t>Pursuant to the terms of our Charter, our board of directors is authorized, subject to limitations prescribed by Delaware law, to issue up to 25,000,000 shares of our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action by our stockholders. The number of authorized shares of any series of preferred stock may be increased or decreased, but not below the number of shares of that series then outstanding, by the affirmative vote of the holders of a majority of the voting power of our outstanding capital stock entitled to vote thereon, or such other vote as may be required by the certificate of designation establishing the series.</w:t>
      </w:r>
    </w:p>
    <w:p>
      <w:pPr>
        <w:spacing w:after="0" w:line="181"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The issuance of preferred stock, while providing flexibility in connection with possible financings, acquisitions and other corporate purposes, could, among other things, have the effect of delaying, deterring or preventing a change in our control or the removal of our incumbent directors and officers, and could adversely affect the market price of our common stock and the voting and other rights of the holders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06" w:lineRule="exact"/>
        <w:rPr>
          <w:sz w:val="20"/>
          <w:szCs w:val="20"/>
          <w:color w:val="auto"/>
        </w:rPr>
      </w:pPr>
    </w:p>
    <w:p>
      <w:pPr>
        <w:jc w:val="both"/>
        <w:ind w:firstLine="597"/>
        <w:spacing w:after="0" w:line="282" w:lineRule="auto"/>
        <w:rPr>
          <w:sz w:val="20"/>
          <w:szCs w:val="20"/>
          <w:color w:val="auto"/>
        </w:rPr>
      </w:pPr>
      <w:r>
        <w:rPr>
          <w:rFonts w:ascii="Arial" w:cs="Arial" w:eastAsia="Arial" w:hAnsi="Arial"/>
          <w:sz w:val="15"/>
          <w:szCs w:val="15"/>
          <w:color w:val="auto"/>
        </w:rPr>
        <w:t>Certain holders of our Class B common stock have rights, subject to certain conditions and limitations, to include their shares in registration statements relating to our common stock. Subject to certain limitations, the holders of at least 40% of the shares subject to these registration rights have the right, on up to two occasions, to demand that we register such shares under the Securities Act of 1933, as amended, or the Securities Act. In addition, in the event we propose to register any shares of our common stock under the Securities Act either for our account or for the account of other security holders, such holders are entitled to receive notice of such registration and to include their shares of common stock in any such registration. Further, at any time when we are eligible to file a registration statement on Form S-3, any holder of shares subject to these registration rights may require us to file a registration statement under the Securities Act on Form S-3 with respect to shares of our common stock having an aggregate offering price, net of selling expenses, of at least $500,000. These registration rights are subject to certain conditions and limitations, including the right of the underwriters of an offering to limit the number of shares of our common stock held by such holders to be included in such registration statement according to market factors. We are generally required to bear all of the expenses of such registrations. Registration of any of the shares of our common stock held by such holders would result in these shares becoming freely tradable without restriction under the Securities Act immediately upon effectiveness of the applicable registration statement.</w:t>
      </w:r>
    </w:p>
    <w:p>
      <w:pPr>
        <w:spacing w:after="0" w:line="162"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color w:val="auto"/>
        </w:rPr>
        <w:t>These registration rights terminate with respect to any holder upon the earliest to occur of (i) the completion of certain liquidation events, (ii) such time as Rule 144 under the Securities Act (or another similar exemption) is available for the sale of all of such holder’s shares that are subject to these registration rights, and (iii) the fifth anniversary of our initial 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 of Delaware Law, Our Charter and Bylaws</w:t>
      </w:r>
    </w:p>
    <w:p>
      <w:pPr>
        <w:spacing w:after="0" w:line="206" w:lineRule="exact"/>
        <w:rPr>
          <w:sz w:val="20"/>
          <w:szCs w:val="20"/>
          <w:color w:val="auto"/>
        </w:rPr>
      </w:pPr>
    </w:p>
    <w:p>
      <w:pPr>
        <w:jc w:val="both"/>
        <w:ind w:firstLine="597"/>
        <w:spacing w:after="0" w:line="248" w:lineRule="auto"/>
        <w:rPr>
          <w:sz w:val="20"/>
          <w:szCs w:val="20"/>
          <w:color w:val="auto"/>
        </w:rPr>
      </w:pPr>
      <w:r>
        <w:rPr>
          <w:rFonts w:ascii="Arial" w:cs="Arial" w:eastAsia="Arial" w:hAnsi="Arial"/>
          <w:sz w:val="17"/>
          <w:szCs w:val="17"/>
          <w:color w:val="auto"/>
        </w:rPr>
        <w:t>Certain provisions of Delaware law, as well as our Charter and Bylaws, may have the effect of delaying, deterring or preventing another person from acquiring control of us, or removing incumbent officers and directors. These provisions are expected to discourage certain types of coercive takeover practices and takeover bids that our board of directors may consider inadequate and to encourage any person seeking to acquire control of us to first negotiate with our board of directors. We believe the benefits of increased protection of our ability to negotiate with the proponent of an unsolicited proposal to acquire us or remove our incumbent directors and officers, outweighs the disadvantages of discouraging these proposals because, among other things, negotiation of these proposals could result in an improvement of their terms and potential benefits to our stockholders.</w:t>
      </w:r>
    </w:p>
    <w:p>
      <w:pPr>
        <w:spacing w:after="0" w:line="181"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7"/>
          <w:szCs w:val="17"/>
          <w:i w:val="1"/>
          <w:iCs w:val="1"/>
          <w:color w:val="auto"/>
        </w:rPr>
        <w:t>Dual Class Common Stock</w:t>
      </w:r>
      <w:r>
        <w:rPr>
          <w:rFonts w:ascii="Arial" w:cs="Arial" w:eastAsia="Arial" w:hAnsi="Arial"/>
          <w:sz w:val="17"/>
          <w:szCs w:val="17"/>
          <w:color w:val="auto"/>
        </w:rPr>
        <w:t>. As described above in the section entitled "</w:t>
      </w:r>
      <w:r>
        <w:rPr>
          <w:rFonts w:ascii="Arial" w:cs="Arial" w:eastAsia="Arial" w:hAnsi="Arial"/>
          <w:sz w:val="17"/>
          <w:szCs w:val="17"/>
          <w:i w:val="1"/>
          <w:iCs w:val="1"/>
          <w:color w:val="auto"/>
        </w:rPr>
        <w:t>Class A Common Stock and Class B Common Stock</w:t>
      </w:r>
      <w:r>
        <w:rPr>
          <w:rFonts w:ascii="Arial" w:cs="Arial" w:eastAsia="Arial" w:hAnsi="Arial"/>
          <w:sz w:val="17"/>
          <w:szCs w:val="17"/>
          <w:color w:val="auto"/>
        </w:rPr>
        <w:t>," our Charter provides for a dual class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structure, which provides the holders of our Class B common stock with significant influence over all matters requiring stockholder approval, including the election of directors and significant corporate transactions, such as a merger or other sale transaction.</w:t>
      </w:r>
    </w:p>
    <w:p>
      <w:pPr>
        <w:sectPr>
          <w:pgSz w:w="11900" w:h="16838" w:orient="portrait"/>
          <w:cols w:equalWidth="0" w:num="1">
            <w:col w:w="11420"/>
          </w:cols>
          <w:pgMar w:left="240" w:top="525" w:right="239" w:bottom="1440" w:gutter="0" w:footer="0" w:header="0"/>
        </w:sectPr>
      </w:pPr>
    </w:p>
    <w:bookmarkStart w:id="99" w:name="page100"/>
    <w:bookmarkEnd w:id="99"/>
    <w:p>
      <w:pPr>
        <w:jc w:val="both"/>
        <w:ind w:firstLine="597"/>
        <w:spacing w:after="0" w:line="250" w:lineRule="auto"/>
        <w:rPr>
          <w:sz w:val="20"/>
          <w:szCs w:val="20"/>
          <w:color w:val="auto"/>
        </w:rPr>
      </w:pPr>
      <w:r>
        <w:rPr>
          <w:rFonts w:ascii="Arial" w:cs="Arial" w:eastAsia="Arial" w:hAnsi="Arial"/>
          <w:sz w:val="17"/>
          <w:szCs w:val="17"/>
          <w:i w:val="1"/>
          <w:iCs w:val="1"/>
          <w:color w:val="auto"/>
        </w:rPr>
        <w:t>Delaware Law</w:t>
      </w:r>
      <w:r>
        <w:rPr>
          <w:rFonts w:ascii="Arial" w:cs="Arial" w:eastAsia="Arial" w:hAnsi="Arial"/>
          <w:sz w:val="17"/>
          <w:szCs w:val="17"/>
          <w:color w:val="auto"/>
        </w:rPr>
        <w:t>. We are governed by the provisions of Section 203 of the DGCL regulating corporate takeovers. This section prevents some Delaware corporations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from engaging, under certain circumstances, in a business combination, which includes a merger or sale of at least 10% of the corporation’s assets, with any interested stockholder, meaning a stockholder who, together with its affiliates and associates, owns or, within three years prior to the determination of interested stockholder status, did own 15% or more of the corporation’s outstanding voting stock, unless:</w:t>
      </w:r>
    </w:p>
    <w:p>
      <w:pPr>
        <w:spacing w:after="0" w:line="180" w:lineRule="exact"/>
        <w:rPr>
          <w:sz w:val="20"/>
          <w:szCs w:val="20"/>
          <w:color w:val="auto"/>
        </w:rPr>
      </w:pPr>
    </w:p>
    <w:p>
      <w:pPr>
        <w:ind w:left="900" w:hanging="30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w:t>
      </w:r>
    </w:p>
    <w:p>
      <w:pPr>
        <w:spacing w:after="0" w:line="202" w:lineRule="exact"/>
        <w:rPr>
          <w:rFonts w:ascii="Arial" w:cs="Arial" w:eastAsia="Arial" w:hAnsi="Arial"/>
          <w:sz w:val="17"/>
          <w:szCs w:val="17"/>
          <w:color w:val="auto"/>
        </w:rPr>
      </w:pPr>
    </w:p>
    <w:p>
      <w:pPr>
        <w:ind w:left="900" w:hanging="304"/>
        <w:spacing w:after="0" w:line="264"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stockholder’s becoming an interested stockholder, the interested stockholder owned at least 85% of the voting stock of the corporation outstanding at the time the transaction commenced; or</w:t>
      </w:r>
    </w:p>
    <w:p>
      <w:pPr>
        <w:spacing w:after="0" w:line="166" w:lineRule="exact"/>
        <w:rPr>
          <w:rFonts w:ascii="Arial" w:cs="Arial" w:eastAsia="Arial" w:hAnsi="Arial"/>
          <w:sz w:val="17"/>
          <w:szCs w:val="17"/>
          <w:color w:val="auto"/>
        </w:rPr>
      </w:pPr>
    </w:p>
    <w:p>
      <w:pPr>
        <w:ind w:left="900" w:hanging="304"/>
        <w:spacing w:after="0" w:line="419" w:lineRule="auto"/>
        <w:tabs>
          <w:tab w:leader="none" w:pos="9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75" w:lineRule="exact"/>
        <w:rPr>
          <w:sz w:val="20"/>
          <w:szCs w:val="20"/>
          <w:color w:val="auto"/>
        </w:rPr>
      </w:pPr>
    </w:p>
    <w:p>
      <w:pPr>
        <w:ind w:firstLine="597"/>
        <w:spacing w:after="0" w:line="264" w:lineRule="auto"/>
        <w:rPr>
          <w:sz w:val="20"/>
          <w:szCs w:val="20"/>
          <w:color w:val="auto"/>
        </w:rPr>
      </w:pPr>
      <w:r>
        <w:rPr>
          <w:rFonts w:ascii="Arial" w:cs="Arial" w:eastAsia="Arial" w:hAnsi="Arial"/>
          <w:sz w:val="17"/>
          <w:szCs w:val="17"/>
          <w:i w:val="1"/>
          <w:iCs w:val="1"/>
          <w:color w:val="auto"/>
        </w:rPr>
        <w:t>Charter and Bylaw Provisions</w:t>
      </w:r>
      <w:r>
        <w:rPr>
          <w:rFonts w:ascii="Arial" w:cs="Arial" w:eastAsia="Arial" w:hAnsi="Arial"/>
          <w:sz w:val="17"/>
          <w:szCs w:val="17"/>
          <w:color w:val="auto"/>
        </w:rPr>
        <w:t>. Our Charter and Bylaws include a number of other provisions that could deter hostile takeovers or delay, deter or prevent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in control or the removal of our incumbent directors or officers, including the following:</w:t>
      </w:r>
    </w:p>
    <w:p>
      <w:pPr>
        <w:spacing w:after="0" w:line="167" w:lineRule="exact"/>
        <w:rPr>
          <w:sz w:val="20"/>
          <w:szCs w:val="20"/>
          <w:color w:val="auto"/>
        </w:rPr>
      </w:pPr>
    </w:p>
    <w:p>
      <w:pPr>
        <w:jc w:val="both"/>
        <w:ind w:left="900" w:hanging="304"/>
        <w:spacing w:after="0" w:line="254"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Supermajority Approvals</w:t>
      </w:r>
      <w:r>
        <w:rPr>
          <w:rFonts w:ascii="Arial" w:cs="Arial" w:eastAsia="Arial" w:hAnsi="Arial"/>
          <w:sz w:val="17"/>
          <w:szCs w:val="17"/>
          <w:color w:val="auto"/>
        </w:rPr>
        <w:t>. Our Charter provides that the affirmative vote of the holders of at least 66 2/3% of the combined voting power of our then-outstanding capital stock is required to amend our Charter, and our Bylaws provide that the affirmative vote of the holders of at least 80% of the combined voting power of our then-outstanding capital stock is required to amend our Bylaws.</w:t>
      </w:r>
    </w:p>
    <w:p>
      <w:pPr>
        <w:spacing w:after="0" w:line="175" w:lineRule="exact"/>
        <w:rPr>
          <w:rFonts w:ascii="Arial" w:cs="Arial" w:eastAsia="Arial" w:hAnsi="Arial"/>
          <w:sz w:val="17"/>
          <w:szCs w:val="17"/>
          <w:color w:val="auto"/>
        </w:rPr>
      </w:pPr>
    </w:p>
    <w:p>
      <w:pPr>
        <w:ind w:left="900" w:hanging="304"/>
        <w:spacing w:after="0" w:line="331" w:lineRule="auto"/>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Change-in-Control Approval</w:t>
      </w:r>
      <w:r>
        <w:rPr>
          <w:rFonts w:ascii="Arial" w:cs="Arial" w:eastAsia="Arial" w:hAnsi="Arial"/>
          <w:sz w:val="15"/>
          <w:szCs w:val="15"/>
          <w:color w:val="auto"/>
        </w:rPr>
        <w:t>. In addition to any approvals required under the DGCL, our Charter provides that the approval of the holders of at least a</w:t>
      </w:r>
      <w:r>
        <w:rPr>
          <w:rFonts w:ascii="Arial" w:cs="Arial" w:eastAsia="Arial" w:hAnsi="Arial"/>
          <w:sz w:val="15"/>
          <w:szCs w:val="15"/>
          <w:i w:val="1"/>
          <w:iCs w:val="1"/>
          <w:color w:val="auto"/>
        </w:rPr>
        <w:t xml:space="preserve"> </w:t>
      </w:r>
      <w:r>
        <w:rPr>
          <w:rFonts w:ascii="Arial" w:cs="Arial" w:eastAsia="Arial" w:hAnsi="Arial"/>
          <w:sz w:val="15"/>
          <w:szCs w:val="15"/>
          <w:color w:val="auto"/>
        </w:rPr>
        <w:t>majority of the outstanding shares of our Class B common stock, voting as a separate class, is required to approve a change-in-control transaction.</w:t>
      </w:r>
    </w:p>
    <w:p>
      <w:pPr>
        <w:spacing w:after="0" w:line="121" w:lineRule="exact"/>
        <w:rPr>
          <w:rFonts w:ascii="Arial" w:cs="Arial" w:eastAsia="Arial" w:hAnsi="Arial"/>
          <w:sz w:val="15"/>
          <w:szCs w:val="15"/>
          <w:color w:val="auto"/>
        </w:rPr>
      </w:pPr>
    </w:p>
    <w:p>
      <w:pPr>
        <w:jc w:val="both"/>
        <w:ind w:left="900" w:hanging="304"/>
        <w:spacing w:after="0" w:line="27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Director Appointments; Filling Vacancies</w:t>
      </w:r>
      <w:r>
        <w:rPr>
          <w:rFonts w:ascii="Arial" w:cs="Arial" w:eastAsia="Arial" w:hAnsi="Arial"/>
          <w:sz w:val="16"/>
          <w:szCs w:val="16"/>
          <w:color w:val="auto"/>
        </w:rPr>
        <w:t>. Our Charter and Bylaws authorize our board of directors to fill vacant directorships. In addition,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on our board of directors is fixed exclusively by our board of directors. Newly created directorships resulting from any increase in our authorized number of directors, and any vacancies on our board of directors resulting from death, resignation, retirement, disqualification, removal from office or other cause, are filled generally by the majority vote of our remaining directors then in office, even if less than a quorum is present.</w:t>
      </w:r>
    </w:p>
    <w:p>
      <w:pPr>
        <w:spacing w:after="0" w:line="163" w:lineRule="exact"/>
        <w:rPr>
          <w:rFonts w:ascii="Arial" w:cs="Arial" w:eastAsia="Arial" w:hAnsi="Arial"/>
          <w:sz w:val="16"/>
          <w:szCs w:val="16"/>
          <w:color w:val="auto"/>
        </w:rPr>
      </w:pPr>
    </w:p>
    <w:p>
      <w:pPr>
        <w:jc w:val="both"/>
        <w:ind w:left="900" w:hanging="304"/>
        <w:spacing w:after="0" w:line="254"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Classified Board</w:t>
      </w:r>
      <w:r>
        <w:rPr>
          <w:rFonts w:ascii="Arial" w:cs="Arial" w:eastAsia="Arial" w:hAnsi="Arial"/>
          <w:sz w:val="17"/>
          <w:szCs w:val="17"/>
          <w:color w:val="auto"/>
        </w:rPr>
        <w:t>. Our Charter and Bylaws provide that our board of directors is classified into three classes of directors, each of which holds office for a</w:t>
      </w:r>
      <w:r>
        <w:rPr>
          <w:rFonts w:ascii="Arial" w:cs="Arial" w:eastAsia="Arial" w:hAnsi="Arial"/>
          <w:sz w:val="17"/>
          <w:szCs w:val="17"/>
          <w:i w:val="1"/>
          <w:iCs w:val="1"/>
          <w:color w:val="auto"/>
        </w:rPr>
        <w:t xml:space="preserve"> </w:t>
      </w:r>
      <w:r>
        <w:rPr>
          <w:rFonts w:ascii="Arial" w:cs="Arial" w:eastAsia="Arial" w:hAnsi="Arial"/>
          <w:sz w:val="17"/>
          <w:szCs w:val="17"/>
          <w:color w:val="auto"/>
        </w:rPr>
        <w:t>three-year term. In addition, directors may only be removed from our board of directors for cause and then only by the affirmative vote of the holders of at least a majority of the combined voting power of our outstanding capital stock.</w:t>
      </w:r>
    </w:p>
    <w:p>
      <w:pPr>
        <w:spacing w:after="0" w:line="175" w:lineRule="exact"/>
        <w:rPr>
          <w:rFonts w:ascii="Arial" w:cs="Arial" w:eastAsia="Arial" w:hAnsi="Arial"/>
          <w:sz w:val="17"/>
          <w:szCs w:val="17"/>
          <w:color w:val="auto"/>
        </w:rPr>
      </w:pPr>
    </w:p>
    <w:p>
      <w:pPr>
        <w:jc w:val="both"/>
        <w:ind w:left="900" w:hanging="304"/>
        <w:spacing w:after="0" w:line="254"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Stockholder Action; Special Meeting of Stockholders</w:t>
      </w:r>
      <w:r>
        <w:rPr>
          <w:rFonts w:ascii="Arial" w:cs="Arial" w:eastAsia="Arial" w:hAnsi="Arial"/>
          <w:sz w:val="17"/>
          <w:szCs w:val="17"/>
          <w:color w:val="auto"/>
        </w:rPr>
        <w:t>. Our Charter provides that our stockholders may not take action by written consent and may only take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at annual or special meetings of our stockholders. Our Bylaws further provide that special meetings of our stockholders may only be called by a majority of our board of directors.</w:t>
      </w:r>
    </w:p>
    <w:p>
      <w:pPr>
        <w:spacing w:after="0" w:line="175" w:lineRule="exact"/>
        <w:rPr>
          <w:rFonts w:ascii="Arial" w:cs="Arial" w:eastAsia="Arial" w:hAnsi="Arial"/>
          <w:sz w:val="17"/>
          <w:szCs w:val="17"/>
          <w:color w:val="auto"/>
        </w:rPr>
      </w:pPr>
    </w:p>
    <w:p>
      <w:pPr>
        <w:ind w:left="900" w:hanging="304"/>
        <w:spacing w:after="0" w:line="264"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No Cumulative Voting</w:t>
      </w:r>
      <w:r>
        <w:rPr>
          <w:rFonts w:ascii="Arial" w:cs="Arial" w:eastAsia="Arial" w:hAnsi="Arial"/>
          <w:sz w:val="17"/>
          <w:szCs w:val="17"/>
          <w:color w:val="auto"/>
        </w:rPr>
        <w:t>. The DGCL provides that stockholders are denied the right to cumulate votes in the election of directors unless the corporation’s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of incorporation provides otherwise. Our Charter does not provide for cumulative voting.</w:t>
      </w:r>
    </w:p>
    <w:p>
      <w:pPr>
        <w:spacing w:after="0" w:line="166" w:lineRule="exact"/>
        <w:rPr>
          <w:rFonts w:ascii="Arial" w:cs="Arial" w:eastAsia="Arial" w:hAnsi="Arial"/>
          <w:sz w:val="17"/>
          <w:szCs w:val="17"/>
          <w:color w:val="auto"/>
        </w:rPr>
      </w:pPr>
    </w:p>
    <w:p>
      <w:pPr>
        <w:jc w:val="both"/>
        <w:ind w:left="900" w:hanging="304"/>
        <w:spacing w:after="0" w:line="249"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Bylaws provide advance notice procedures for stockholders seeking</w:t>
      </w:r>
      <w:r>
        <w:rPr>
          <w:rFonts w:ascii="Arial" w:cs="Arial" w:eastAsia="Arial" w:hAnsi="Arial"/>
          <w:sz w:val="17"/>
          <w:szCs w:val="17"/>
          <w:i w:val="1"/>
          <w:iCs w:val="1"/>
          <w:color w:val="auto"/>
        </w:rPr>
        <w:t xml:space="preserve"> </w:t>
      </w:r>
      <w:r>
        <w:rPr>
          <w:rFonts w:ascii="Arial" w:cs="Arial" w:eastAsia="Arial" w:hAnsi="Arial"/>
          <w:sz w:val="17"/>
          <w:szCs w:val="17"/>
          <w:color w:val="auto"/>
        </w:rPr>
        <w:t>to bring business before an annual meeting of stockholders, or to nominate candidates for election as directors at an annual meeting of stockholders. In general, to be timely, a stockholder’s notice must be delivered to, or mailed and received at, our principal executive offices not later than the 90th day nor earlier than the 120th day prior to the first anniversary of the preceding year’s annual meeting of stockholders. Our Bylaws also specify certain requirements regarding the form and content of a stockholder’s notice.</w:t>
      </w:r>
    </w:p>
    <w:p>
      <w:pPr>
        <w:spacing w:after="0" w:line="179" w:lineRule="exact"/>
        <w:rPr>
          <w:rFonts w:ascii="Arial" w:cs="Arial" w:eastAsia="Arial" w:hAnsi="Arial"/>
          <w:sz w:val="17"/>
          <w:szCs w:val="17"/>
          <w:color w:val="auto"/>
        </w:rPr>
      </w:pPr>
    </w:p>
    <w:p>
      <w:pPr>
        <w:ind w:left="900" w:hanging="304"/>
        <w:spacing w:after="0" w:line="331" w:lineRule="auto"/>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Issuance of Undesignated Preferred Stock</w:t>
      </w:r>
      <w:r>
        <w:rPr>
          <w:rFonts w:ascii="Arial" w:cs="Arial" w:eastAsia="Arial" w:hAnsi="Arial"/>
          <w:sz w:val="15"/>
          <w:szCs w:val="15"/>
          <w:color w:val="auto"/>
        </w:rPr>
        <w:t>. Our board of directors has the authority, without further action by our stockholders, to issue up to 25,000,000</w:t>
      </w:r>
      <w:r>
        <w:rPr>
          <w:rFonts w:ascii="Arial" w:cs="Arial" w:eastAsia="Arial" w:hAnsi="Arial"/>
          <w:sz w:val="15"/>
          <w:szCs w:val="15"/>
          <w:i w:val="1"/>
          <w:iCs w:val="1"/>
          <w:color w:val="auto"/>
        </w:rPr>
        <w:t xml:space="preserve"> </w:t>
      </w:r>
      <w:r>
        <w:rPr>
          <w:rFonts w:ascii="Arial" w:cs="Arial" w:eastAsia="Arial" w:hAnsi="Arial"/>
          <w:sz w:val="15"/>
          <w:szCs w:val="15"/>
          <w:color w:val="auto"/>
        </w:rPr>
        <w:t>shares of undesignated preferred stock with powers, preferences and rights, including voting rights, designated from time to time by our board of directors.</w:t>
      </w:r>
    </w:p>
    <w:p>
      <w:pPr>
        <w:sectPr>
          <w:pgSz w:w="11900" w:h="16838" w:orient="portrait"/>
          <w:cols w:equalWidth="0" w:num="1">
            <w:col w:w="11420"/>
          </w:cols>
          <w:pgMar w:left="240" w:top="525" w:right="239" w:bottom="1440" w:gutter="0" w:footer="0" w:header="0"/>
        </w:sectPr>
      </w:pPr>
    </w:p>
    <w:bookmarkStart w:id="100" w:name="page101"/>
    <w:bookmarkEnd w:id="100"/>
    <w:p>
      <w:pPr>
        <w:jc w:val="both"/>
        <w:ind w:left="304" w:hanging="304"/>
        <w:spacing w:after="0" w:line="254" w:lineRule="auto"/>
        <w:tabs>
          <w:tab w:leader="none" w:pos="304"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Authorized but Unissued Shares</w:t>
      </w:r>
      <w:r>
        <w:rPr>
          <w:rFonts w:ascii="Arial" w:cs="Arial" w:eastAsia="Arial" w:hAnsi="Arial"/>
          <w:sz w:val="17"/>
          <w:szCs w:val="17"/>
          <w:color w:val="auto"/>
        </w:rPr>
        <w:t>. Our authorized but unissued shares of our common stock and preferred stock will be available for future issuance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approval. We may use additional shares for a variety of purposes, including capital raising transactions, acquisitions and as employee compensation.</w:t>
      </w:r>
    </w:p>
    <w:p>
      <w:pPr>
        <w:spacing w:after="0" w:line="175" w:lineRule="exact"/>
        <w:rPr>
          <w:rFonts w:ascii="Arial" w:cs="Arial" w:eastAsia="Arial" w:hAnsi="Arial"/>
          <w:sz w:val="17"/>
          <w:szCs w:val="17"/>
          <w:color w:val="auto"/>
        </w:rPr>
      </w:pPr>
    </w:p>
    <w:p>
      <w:pPr>
        <w:jc w:val="both"/>
        <w:ind w:left="304" w:hanging="304"/>
        <w:spacing w:after="0" w:line="248" w:lineRule="auto"/>
        <w:tabs>
          <w:tab w:leader="none" w:pos="304"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Exclusive Forum</w:t>
      </w:r>
      <w:r>
        <w:rPr>
          <w:rFonts w:ascii="Arial" w:cs="Arial" w:eastAsia="Arial" w:hAnsi="Arial"/>
          <w:sz w:val="17"/>
          <w:szCs w:val="17"/>
          <w:color w:val="auto"/>
        </w:rPr>
        <w:t>. Our Charter provides that, unless we consent in writing to the selection of an alternative forum, the Court of Chancery of the State of</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DGCL, our Charter or our Bylaws, or (iv) any action asserting a claim against us governed by the internal affairs doctrine. Any person or entity purchasing or otherwise acquiring any interest in shares of our capital stock will be deemed to have notice of and to have consented to the foregoing provisions.</w:t>
      </w:r>
    </w:p>
    <w:p>
      <w:pPr>
        <w:sectPr>
          <w:pgSz w:w="11900" w:h="16838" w:orient="portrait"/>
          <w:cols w:equalWidth="0" w:num="1">
            <w:col w:w="10824"/>
          </w:cols>
          <w:pgMar w:left="836" w:top="724"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7"/>
          <w:szCs w:val="17"/>
          <w:b w:val="1"/>
          <w:bCs w:val="1"/>
          <w:color w:val="auto"/>
        </w:rPr>
        <w:t>EXHIBIT 10.14</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LIST OF INDEMNITEES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Each of the individuals identified below is a party to an indemnification agreement with AppFolio, Inc. in the form attached herewith as Exhibit 10.14.</w:t>
      </w:r>
    </w:p>
    <w:p>
      <w:pPr>
        <w:spacing w:after="0" w:line="330" w:lineRule="exact"/>
        <w:rPr>
          <w:sz w:val="20"/>
          <w:szCs w:val="20"/>
          <w:color w:val="auto"/>
        </w:rPr>
      </w:pPr>
    </w:p>
    <w:tbl>
      <w:tblPr>
        <w:tblLayout w:type="fixed"/>
        <w:tblInd w:w="212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w w:val="88"/>
              </w:rPr>
              <w:t>Name</w:t>
            </w:r>
          </w:p>
        </w:tc>
        <w:tc>
          <w:tcPr>
            <w:tcW w:w="27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Date Signed</w:t>
            </w:r>
          </w:p>
        </w:tc>
      </w:tr>
      <w:tr>
        <w:trPr>
          <w:trHeight w:val="20"/>
        </w:trPr>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6"/>
        </w:trPr>
        <w:tc>
          <w:tcPr>
            <w:tcW w:w="3660" w:type="dxa"/>
            <w:vAlign w:val="bottom"/>
            <w:gridSpan w:val="3"/>
          </w:tcPr>
          <w:p>
            <w:pPr>
              <w:jc w:val="center"/>
              <w:ind w:right="2180"/>
              <w:spacing w:after="0"/>
              <w:rPr>
                <w:sz w:val="20"/>
                <w:szCs w:val="20"/>
                <w:color w:val="auto"/>
              </w:rPr>
            </w:pPr>
            <w:r>
              <w:rPr>
                <w:rFonts w:ascii="Arial" w:cs="Arial" w:eastAsia="Arial" w:hAnsi="Arial"/>
                <w:sz w:val="17"/>
                <w:szCs w:val="17"/>
                <w:color w:val="auto"/>
                <w:w w:val="89"/>
              </w:rPr>
              <w:t>Jon Walker</w:t>
            </w:r>
          </w:p>
        </w:tc>
        <w:tc>
          <w:tcPr>
            <w:tcW w:w="3400" w:type="dxa"/>
            <w:vAlign w:val="bottom"/>
            <w:gridSpan w:val="3"/>
          </w:tcPr>
          <w:p>
            <w:pPr>
              <w:jc w:val="center"/>
              <w:ind w:left="2097"/>
              <w:spacing w:after="0"/>
              <w:rPr>
                <w:sz w:val="20"/>
                <w:szCs w:val="20"/>
                <w:color w:val="auto"/>
              </w:rPr>
            </w:pPr>
            <w:r>
              <w:rPr>
                <w:rFonts w:ascii="Arial" w:cs="Arial" w:eastAsia="Arial" w:hAnsi="Arial"/>
                <w:sz w:val="17"/>
                <w:szCs w:val="17"/>
                <w:color w:val="auto"/>
                <w:w w:val="90"/>
              </w:rPr>
              <w:t>March 8, 2015</w:t>
            </w:r>
          </w:p>
        </w:tc>
      </w:tr>
      <w:tr>
        <w:trPr>
          <w:trHeight w:val="249"/>
        </w:trPr>
        <w:tc>
          <w:tcPr>
            <w:tcW w:w="3660" w:type="dxa"/>
            <w:vAlign w:val="bottom"/>
            <w:gridSpan w:val="3"/>
          </w:tcPr>
          <w:p>
            <w:pPr>
              <w:jc w:val="center"/>
              <w:ind w:right="2180"/>
              <w:spacing w:after="0"/>
              <w:rPr>
                <w:sz w:val="20"/>
                <w:szCs w:val="20"/>
                <w:color w:val="auto"/>
              </w:rPr>
            </w:pPr>
            <w:r>
              <w:rPr>
                <w:rFonts w:ascii="Arial" w:cs="Arial" w:eastAsia="Arial" w:hAnsi="Arial"/>
                <w:sz w:val="17"/>
                <w:szCs w:val="17"/>
                <w:color w:val="auto"/>
                <w:w w:val="90"/>
              </w:rPr>
              <w:t>Timothy Bliss</w:t>
            </w:r>
          </w:p>
        </w:tc>
        <w:tc>
          <w:tcPr>
            <w:tcW w:w="3400" w:type="dxa"/>
            <w:vAlign w:val="bottom"/>
            <w:gridSpan w:val="3"/>
          </w:tcPr>
          <w:p>
            <w:pPr>
              <w:jc w:val="center"/>
              <w:ind w:left="2097"/>
              <w:spacing w:after="0"/>
              <w:rPr>
                <w:sz w:val="20"/>
                <w:szCs w:val="20"/>
                <w:color w:val="auto"/>
              </w:rPr>
            </w:pPr>
            <w:r>
              <w:rPr>
                <w:rFonts w:ascii="Arial" w:cs="Arial" w:eastAsia="Arial" w:hAnsi="Arial"/>
                <w:sz w:val="17"/>
                <w:szCs w:val="17"/>
                <w:color w:val="auto"/>
                <w:w w:val="90"/>
              </w:rPr>
              <w:t>March 8, 2015</w:t>
            </w:r>
          </w:p>
        </w:tc>
      </w:tr>
      <w:tr>
        <w:trPr>
          <w:trHeight w:val="249"/>
        </w:trPr>
        <w:tc>
          <w:tcPr>
            <w:tcW w:w="3660" w:type="dxa"/>
            <w:vAlign w:val="bottom"/>
            <w:gridSpan w:val="3"/>
          </w:tcPr>
          <w:p>
            <w:pPr>
              <w:jc w:val="center"/>
              <w:ind w:right="2180"/>
              <w:spacing w:after="0"/>
              <w:rPr>
                <w:sz w:val="20"/>
                <w:szCs w:val="20"/>
                <w:color w:val="auto"/>
              </w:rPr>
            </w:pPr>
            <w:r>
              <w:rPr>
                <w:rFonts w:ascii="Arial" w:cs="Arial" w:eastAsia="Arial" w:hAnsi="Arial"/>
                <w:sz w:val="17"/>
                <w:szCs w:val="17"/>
                <w:color w:val="auto"/>
                <w:w w:val="88"/>
              </w:rPr>
              <w:t>Ida Kane</w:t>
            </w:r>
          </w:p>
        </w:tc>
        <w:tc>
          <w:tcPr>
            <w:tcW w:w="3400" w:type="dxa"/>
            <w:vAlign w:val="bottom"/>
            <w:gridSpan w:val="3"/>
          </w:tcPr>
          <w:p>
            <w:pPr>
              <w:jc w:val="center"/>
              <w:ind w:left="2097"/>
              <w:spacing w:after="0"/>
              <w:rPr>
                <w:sz w:val="20"/>
                <w:szCs w:val="20"/>
                <w:color w:val="auto"/>
              </w:rPr>
            </w:pPr>
            <w:r>
              <w:rPr>
                <w:rFonts w:ascii="Arial" w:cs="Arial" w:eastAsia="Arial" w:hAnsi="Arial"/>
                <w:sz w:val="17"/>
                <w:szCs w:val="17"/>
                <w:color w:val="auto"/>
                <w:w w:val="90"/>
              </w:rPr>
              <w:t>March 8, 2015</w:t>
            </w:r>
          </w:p>
        </w:tc>
      </w:tr>
      <w:tr>
        <w:trPr>
          <w:trHeight w:val="249"/>
        </w:trPr>
        <w:tc>
          <w:tcPr>
            <w:tcW w:w="3660" w:type="dxa"/>
            <w:vAlign w:val="bottom"/>
            <w:gridSpan w:val="3"/>
          </w:tcPr>
          <w:p>
            <w:pPr>
              <w:jc w:val="center"/>
              <w:ind w:right="2180"/>
              <w:spacing w:after="0"/>
              <w:rPr>
                <w:sz w:val="20"/>
                <w:szCs w:val="20"/>
                <w:color w:val="auto"/>
              </w:rPr>
            </w:pPr>
            <w:r>
              <w:rPr>
                <w:rFonts w:ascii="Arial" w:cs="Arial" w:eastAsia="Arial" w:hAnsi="Arial"/>
                <w:sz w:val="17"/>
                <w:szCs w:val="17"/>
                <w:color w:val="auto"/>
                <w:w w:val="92"/>
              </w:rPr>
              <w:t>Andreas von Blottnitz</w:t>
            </w:r>
          </w:p>
        </w:tc>
        <w:tc>
          <w:tcPr>
            <w:tcW w:w="3400" w:type="dxa"/>
            <w:vAlign w:val="bottom"/>
            <w:gridSpan w:val="3"/>
          </w:tcPr>
          <w:p>
            <w:pPr>
              <w:jc w:val="center"/>
              <w:ind w:left="2097"/>
              <w:spacing w:after="0"/>
              <w:rPr>
                <w:sz w:val="20"/>
                <w:szCs w:val="20"/>
                <w:color w:val="auto"/>
              </w:rPr>
            </w:pPr>
            <w:r>
              <w:rPr>
                <w:rFonts w:ascii="Arial" w:cs="Arial" w:eastAsia="Arial" w:hAnsi="Arial"/>
                <w:sz w:val="17"/>
                <w:szCs w:val="17"/>
                <w:color w:val="auto"/>
                <w:w w:val="90"/>
              </w:rPr>
              <w:t>March 8, 2015</w:t>
            </w:r>
          </w:p>
        </w:tc>
      </w:tr>
      <w:tr>
        <w:trPr>
          <w:trHeight w:val="249"/>
        </w:trPr>
        <w:tc>
          <w:tcPr>
            <w:tcW w:w="3660" w:type="dxa"/>
            <w:vAlign w:val="bottom"/>
            <w:gridSpan w:val="3"/>
          </w:tcPr>
          <w:p>
            <w:pPr>
              <w:jc w:val="center"/>
              <w:ind w:right="2180"/>
              <w:spacing w:after="0"/>
              <w:rPr>
                <w:sz w:val="20"/>
                <w:szCs w:val="20"/>
                <w:color w:val="auto"/>
              </w:rPr>
            </w:pPr>
            <w:r>
              <w:rPr>
                <w:rFonts w:ascii="Arial" w:cs="Arial" w:eastAsia="Arial" w:hAnsi="Arial"/>
                <w:sz w:val="17"/>
                <w:szCs w:val="17"/>
                <w:color w:val="auto"/>
                <w:w w:val="87"/>
              </w:rPr>
              <w:t>Klaus Schauser</w:t>
            </w:r>
          </w:p>
        </w:tc>
        <w:tc>
          <w:tcPr>
            <w:tcW w:w="3400" w:type="dxa"/>
            <w:vAlign w:val="bottom"/>
            <w:gridSpan w:val="3"/>
          </w:tcPr>
          <w:p>
            <w:pPr>
              <w:jc w:val="center"/>
              <w:ind w:left="2097"/>
              <w:spacing w:after="0"/>
              <w:rPr>
                <w:sz w:val="20"/>
                <w:szCs w:val="20"/>
                <w:color w:val="auto"/>
              </w:rPr>
            </w:pPr>
            <w:r>
              <w:rPr>
                <w:rFonts w:ascii="Arial" w:cs="Arial" w:eastAsia="Arial" w:hAnsi="Arial"/>
                <w:sz w:val="17"/>
                <w:szCs w:val="17"/>
                <w:color w:val="auto"/>
                <w:w w:val="90"/>
              </w:rPr>
              <w:t>March 8, 2015</w:t>
            </w:r>
          </w:p>
        </w:tc>
      </w:tr>
      <w:tr>
        <w:trPr>
          <w:trHeight w:val="249"/>
        </w:trPr>
        <w:tc>
          <w:tcPr>
            <w:tcW w:w="3660" w:type="dxa"/>
            <w:vAlign w:val="bottom"/>
            <w:gridSpan w:val="3"/>
          </w:tcPr>
          <w:p>
            <w:pPr>
              <w:jc w:val="center"/>
              <w:ind w:right="2180"/>
              <w:spacing w:after="0"/>
              <w:rPr>
                <w:sz w:val="20"/>
                <w:szCs w:val="20"/>
                <w:color w:val="auto"/>
              </w:rPr>
            </w:pPr>
            <w:r>
              <w:rPr>
                <w:rFonts w:ascii="Arial" w:cs="Arial" w:eastAsia="Arial" w:hAnsi="Arial"/>
                <w:sz w:val="17"/>
                <w:szCs w:val="17"/>
                <w:color w:val="auto"/>
                <w:w w:val="86"/>
              </w:rPr>
              <w:t>Janet Kerr</w:t>
            </w:r>
          </w:p>
        </w:tc>
        <w:tc>
          <w:tcPr>
            <w:tcW w:w="3400" w:type="dxa"/>
            <w:vAlign w:val="bottom"/>
            <w:gridSpan w:val="3"/>
          </w:tcPr>
          <w:p>
            <w:pPr>
              <w:jc w:val="center"/>
              <w:ind w:left="2097"/>
              <w:spacing w:after="0"/>
              <w:rPr>
                <w:sz w:val="20"/>
                <w:szCs w:val="20"/>
                <w:color w:val="auto"/>
              </w:rPr>
            </w:pPr>
            <w:r>
              <w:rPr>
                <w:rFonts w:ascii="Arial" w:cs="Arial" w:eastAsia="Arial" w:hAnsi="Arial"/>
                <w:sz w:val="17"/>
                <w:szCs w:val="17"/>
                <w:color w:val="auto"/>
                <w:w w:val="89"/>
              </w:rPr>
              <w:t>March 12, 2015</w:t>
            </w:r>
          </w:p>
        </w:tc>
      </w:tr>
      <w:tr>
        <w:trPr>
          <w:trHeight w:val="249"/>
        </w:trPr>
        <w:tc>
          <w:tcPr>
            <w:tcW w:w="3660" w:type="dxa"/>
            <w:vAlign w:val="bottom"/>
            <w:gridSpan w:val="3"/>
          </w:tcPr>
          <w:p>
            <w:pPr>
              <w:jc w:val="center"/>
              <w:ind w:right="2180"/>
              <w:spacing w:after="0"/>
              <w:rPr>
                <w:sz w:val="20"/>
                <w:szCs w:val="20"/>
                <w:color w:val="auto"/>
              </w:rPr>
            </w:pPr>
            <w:r>
              <w:rPr>
                <w:rFonts w:ascii="Arial" w:cs="Arial" w:eastAsia="Arial" w:hAnsi="Arial"/>
                <w:sz w:val="17"/>
                <w:szCs w:val="17"/>
                <w:color w:val="auto"/>
                <w:w w:val="80"/>
              </w:rPr>
              <w:t>James Peters</w:t>
            </w:r>
          </w:p>
        </w:tc>
        <w:tc>
          <w:tcPr>
            <w:tcW w:w="3400" w:type="dxa"/>
            <w:vAlign w:val="bottom"/>
            <w:gridSpan w:val="3"/>
          </w:tcPr>
          <w:p>
            <w:pPr>
              <w:jc w:val="center"/>
              <w:ind w:left="2097"/>
              <w:spacing w:after="0"/>
              <w:rPr>
                <w:sz w:val="20"/>
                <w:szCs w:val="20"/>
                <w:color w:val="auto"/>
              </w:rPr>
            </w:pPr>
            <w:r>
              <w:rPr>
                <w:rFonts w:ascii="Arial" w:cs="Arial" w:eastAsia="Arial" w:hAnsi="Arial"/>
                <w:sz w:val="17"/>
                <w:szCs w:val="17"/>
                <w:color w:val="auto"/>
                <w:w w:val="89"/>
              </w:rPr>
              <w:t>March 14, 2015</w:t>
            </w:r>
          </w:p>
        </w:tc>
      </w:tr>
      <w:tr>
        <w:trPr>
          <w:trHeight w:val="249"/>
        </w:trPr>
        <w:tc>
          <w:tcPr>
            <w:tcW w:w="3660" w:type="dxa"/>
            <w:vAlign w:val="bottom"/>
            <w:gridSpan w:val="3"/>
          </w:tcPr>
          <w:p>
            <w:pPr>
              <w:jc w:val="center"/>
              <w:ind w:right="2180"/>
              <w:spacing w:after="0"/>
              <w:rPr>
                <w:sz w:val="20"/>
                <w:szCs w:val="20"/>
                <w:color w:val="auto"/>
              </w:rPr>
            </w:pPr>
            <w:r>
              <w:rPr>
                <w:rFonts w:ascii="Arial" w:cs="Arial" w:eastAsia="Arial" w:hAnsi="Arial"/>
                <w:sz w:val="17"/>
                <w:szCs w:val="17"/>
                <w:color w:val="auto"/>
                <w:w w:val="91"/>
              </w:rPr>
              <w:t>William Rauth</w:t>
            </w:r>
          </w:p>
        </w:tc>
        <w:tc>
          <w:tcPr>
            <w:tcW w:w="3400" w:type="dxa"/>
            <w:vAlign w:val="bottom"/>
            <w:gridSpan w:val="3"/>
          </w:tcPr>
          <w:p>
            <w:pPr>
              <w:jc w:val="center"/>
              <w:ind w:left="2097"/>
              <w:spacing w:after="0"/>
              <w:rPr>
                <w:sz w:val="20"/>
                <w:szCs w:val="20"/>
                <w:color w:val="auto"/>
              </w:rPr>
            </w:pPr>
            <w:r>
              <w:rPr>
                <w:rFonts w:ascii="Arial" w:cs="Arial" w:eastAsia="Arial" w:hAnsi="Arial"/>
                <w:sz w:val="17"/>
                <w:szCs w:val="17"/>
                <w:color w:val="auto"/>
                <w:w w:val="89"/>
              </w:rPr>
              <w:t>March 16, 2015</w:t>
            </w:r>
          </w:p>
        </w:tc>
      </w:tr>
      <w:tr>
        <w:trPr>
          <w:trHeight w:val="249"/>
        </w:trPr>
        <w:tc>
          <w:tcPr>
            <w:tcW w:w="3660" w:type="dxa"/>
            <w:vAlign w:val="bottom"/>
            <w:gridSpan w:val="3"/>
          </w:tcPr>
          <w:p>
            <w:pPr>
              <w:jc w:val="center"/>
              <w:ind w:right="2180"/>
              <w:spacing w:after="0"/>
              <w:rPr>
                <w:sz w:val="20"/>
                <w:szCs w:val="20"/>
                <w:color w:val="auto"/>
              </w:rPr>
            </w:pPr>
            <w:r>
              <w:rPr>
                <w:rFonts w:ascii="Arial" w:cs="Arial" w:eastAsia="Arial" w:hAnsi="Arial"/>
                <w:sz w:val="17"/>
                <w:szCs w:val="17"/>
                <w:color w:val="auto"/>
                <w:w w:val="85"/>
              </w:rPr>
              <w:t>Jason Randall</w:t>
            </w:r>
          </w:p>
        </w:tc>
        <w:tc>
          <w:tcPr>
            <w:tcW w:w="3400" w:type="dxa"/>
            <w:vAlign w:val="bottom"/>
            <w:gridSpan w:val="3"/>
          </w:tcPr>
          <w:p>
            <w:pPr>
              <w:jc w:val="center"/>
              <w:ind w:left="2097"/>
              <w:spacing w:after="0"/>
              <w:rPr>
                <w:sz w:val="20"/>
                <w:szCs w:val="20"/>
                <w:color w:val="auto"/>
              </w:rPr>
            </w:pPr>
            <w:r>
              <w:rPr>
                <w:rFonts w:ascii="Arial" w:cs="Arial" w:eastAsia="Arial" w:hAnsi="Arial"/>
                <w:sz w:val="17"/>
                <w:szCs w:val="17"/>
                <w:color w:val="auto"/>
                <w:w w:val="89"/>
              </w:rPr>
              <w:t>August 3, 2017</w:t>
            </w:r>
          </w:p>
        </w:tc>
      </w:tr>
      <w:tr>
        <w:trPr>
          <w:trHeight w:val="249"/>
        </w:trPr>
        <w:tc>
          <w:tcPr>
            <w:tcW w:w="3660" w:type="dxa"/>
            <w:vAlign w:val="bottom"/>
            <w:gridSpan w:val="3"/>
          </w:tcPr>
          <w:p>
            <w:pPr>
              <w:jc w:val="center"/>
              <w:ind w:right="2180"/>
              <w:spacing w:after="0"/>
              <w:rPr>
                <w:sz w:val="20"/>
                <w:szCs w:val="20"/>
                <w:color w:val="auto"/>
              </w:rPr>
            </w:pPr>
            <w:r>
              <w:rPr>
                <w:rFonts w:ascii="Arial" w:cs="Arial" w:eastAsia="Arial" w:hAnsi="Arial"/>
                <w:sz w:val="17"/>
                <w:szCs w:val="17"/>
                <w:color w:val="auto"/>
                <w:w w:val="89"/>
              </w:rPr>
              <w:t>Winifred Webb</w:t>
            </w:r>
          </w:p>
        </w:tc>
        <w:tc>
          <w:tcPr>
            <w:tcW w:w="3400" w:type="dxa"/>
            <w:vAlign w:val="bottom"/>
            <w:gridSpan w:val="3"/>
          </w:tcPr>
          <w:p>
            <w:pPr>
              <w:jc w:val="center"/>
              <w:ind w:left="2097"/>
              <w:spacing w:after="0"/>
              <w:rPr>
                <w:sz w:val="20"/>
                <w:szCs w:val="20"/>
                <w:color w:val="auto"/>
              </w:rPr>
            </w:pPr>
            <w:r>
              <w:rPr>
                <w:rFonts w:ascii="Arial" w:cs="Arial" w:eastAsia="Arial" w:hAnsi="Arial"/>
                <w:sz w:val="17"/>
                <w:szCs w:val="17"/>
                <w:color w:val="auto"/>
                <w:w w:val="87"/>
              </w:rPr>
              <w:t>December 1, 2019</w:t>
            </w: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INDEMNIFICATION AGREEMENT</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Indemnification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________, 201 , is by and between AppFolio, Inc., a Delaware corporation (the</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and __________ (“</w:t>
      </w:r>
      <w:r>
        <w:rPr>
          <w:rFonts w:ascii="Arial" w:cs="Arial" w:eastAsia="Arial" w:hAnsi="Arial"/>
          <w:sz w:val="19"/>
          <w:szCs w:val="19"/>
          <w:b w:val="1"/>
          <w:bCs w:val="1"/>
          <w:color w:val="auto"/>
        </w:rPr>
        <w:t>Indemnitee</w:t>
      </w:r>
      <w:r>
        <w:rPr>
          <w:rFonts w:ascii="Arial" w:cs="Arial" w:eastAsia="Arial" w:hAnsi="Arial"/>
          <w:sz w:val="19"/>
          <w:szCs w:val="19"/>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210" w:lineRule="exact"/>
        <w:rPr>
          <w:sz w:val="20"/>
          <w:szCs w:val="20"/>
          <w:color w:val="auto"/>
        </w:rPr>
      </w:pPr>
    </w:p>
    <w:p>
      <w:pPr>
        <w:ind w:left="980" w:hanging="384"/>
        <w:spacing w:after="0"/>
        <w:tabs>
          <w:tab w:leader="none" w:pos="9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Indemnitee is a director or an officer of the Company.</w:t>
      </w:r>
    </w:p>
    <w:p>
      <w:pPr>
        <w:spacing w:after="0" w:line="198" w:lineRule="exact"/>
        <w:rPr>
          <w:rFonts w:ascii="Arial" w:cs="Arial" w:eastAsia="Arial" w:hAnsi="Arial"/>
          <w:sz w:val="19"/>
          <w:szCs w:val="19"/>
          <w:color w:val="auto"/>
        </w:rPr>
      </w:pPr>
    </w:p>
    <w:p>
      <w:pPr>
        <w:jc w:val="both"/>
        <w:ind w:firstLine="596"/>
        <w:spacing w:after="0" w:line="262" w:lineRule="auto"/>
        <w:tabs>
          <w:tab w:leader="none" w:pos="984"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board of directors of the Company (the “</w:t>
      </w:r>
      <w:r>
        <w:rPr>
          <w:rFonts w:ascii="Arial" w:cs="Arial" w:eastAsia="Arial" w:hAnsi="Arial"/>
          <w:sz w:val="19"/>
          <w:szCs w:val="19"/>
          <w:b w:val="1"/>
          <w:bCs w:val="1"/>
          <w:color w:val="auto"/>
        </w:rPr>
        <w:t>Board</w:t>
      </w:r>
      <w:r>
        <w:rPr>
          <w:rFonts w:ascii="Arial" w:cs="Arial" w:eastAsia="Arial" w:hAnsi="Arial"/>
          <w:sz w:val="19"/>
          <w:szCs w:val="19"/>
          <w:color w:val="auto"/>
        </w:rPr>
        <w:t>”) has determined that enhancing the ability of the Company to retain and attract as directors and officers the most capable persons is in the best interests of the Company and that the Company therefore should seek to assure such persons that indemnification is available.</w:t>
      </w:r>
    </w:p>
    <w:p>
      <w:pPr>
        <w:spacing w:after="0" w:line="161" w:lineRule="exact"/>
        <w:rPr>
          <w:rFonts w:ascii="Arial" w:cs="Arial" w:eastAsia="Arial" w:hAnsi="Arial"/>
          <w:sz w:val="19"/>
          <w:szCs w:val="19"/>
          <w:color w:val="auto"/>
        </w:rPr>
      </w:pPr>
    </w:p>
    <w:p>
      <w:pPr>
        <w:jc w:val="both"/>
        <w:ind w:firstLine="596"/>
        <w:spacing w:after="0" w:line="284" w:lineRule="auto"/>
        <w:tabs>
          <w:tab w:leader="none" w:pos="1003"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recognition of the need to provide Indemnitee with substantial protection against personal liability, in order to procure Indemnitee’s continued service as a director or officer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bylaws (collectively, the “</w:t>
      </w:r>
      <w:r>
        <w:rPr>
          <w:rFonts w:ascii="Arial" w:cs="Arial" w:eastAsia="Arial" w:hAnsi="Arial"/>
          <w:sz w:val="17"/>
          <w:szCs w:val="17"/>
          <w:b w:val="1"/>
          <w:bCs w:val="1"/>
          <w:color w:val="auto"/>
        </w:rPr>
        <w:t>Constituent Documents</w:t>
      </w:r>
      <w:r>
        <w:rPr>
          <w:rFonts w:ascii="Arial" w:cs="Arial" w:eastAsia="Arial" w:hAnsi="Arial"/>
          <w:sz w:val="17"/>
          <w:szCs w:val="17"/>
          <w:color w:val="auto"/>
        </w:rPr>
        <w:t>”), any change in the composition of the Board or any change in control or business combination transaction relating to the Company), the Company wishes to provide in this Agreement for the indemnification of, and the advancement of Expenses (as defined in Section 2 below) to, Indemnitee as set forth in this Agreement and to the extent insurance is maintained for the continued coverage of Indemnitee under the Company’s directors’ and officers’ liability insurance policies.</w:t>
      </w:r>
    </w:p>
    <w:p>
      <w:pPr>
        <w:spacing w:after="0" w:line="147" w:lineRule="exact"/>
        <w:rPr>
          <w:sz w:val="20"/>
          <w:szCs w:val="20"/>
          <w:color w:val="auto"/>
        </w:rPr>
      </w:pPr>
    </w:p>
    <w:p>
      <w:pPr>
        <w:ind w:firstLine="597"/>
        <w:spacing w:after="0" w:line="271" w:lineRule="auto"/>
        <w:rPr>
          <w:sz w:val="20"/>
          <w:szCs w:val="20"/>
          <w:color w:val="auto"/>
        </w:rPr>
      </w:pPr>
      <w:r>
        <w:rPr>
          <w:rFonts w:ascii="Arial" w:cs="Arial" w:eastAsia="Arial" w:hAnsi="Arial"/>
          <w:sz w:val="19"/>
          <w:szCs w:val="19"/>
          <w:color w:val="auto"/>
        </w:rPr>
        <w:t>NOW, THEREFORE, in consideration of the foregoing and the Indemnitee’s agreement to continue to provide services to the Company, the parties hereby agree as follows:</w:t>
      </w:r>
    </w:p>
    <w:p>
      <w:pPr>
        <w:sectPr>
          <w:pgSz w:w="11900" w:h="16838" w:orient="portrait"/>
          <w:cols w:equalWidth="0" w:num="1">
            <w:col w:w="11420"/>
          </w:cols>
          <w:pgMar w:left="240" w:top="123" w:right="239" w:bottom="1440" w:gutter="0" w:footer="0" w:header="0"/>
        </w:sectPr>
      </w:pPr>
    </w:p>
    <w:bookmarkStart w:id="102" w:name="page103"/>
    <w:bookmarkEnd w:id="102"/>
    <w:p>
      <w:pPr>
        <w:jc w:val="both"/>
        <w:ind w:firstLine="596"/>
        <w:spacing w:after="0" w:line="281" w:lineRule="auto"/>
        <w:tabs>
          <w:tab w:leader="none" w:pos="1016"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Services to the Company</w:t>
      </w:r>
      <w:r>
        <w:rPr>
          <w:rFonts w:ascii="Arial" w:cs="Arial" w:eastAsia="Arial" w:hAnsi="Arial"/>
          <w:sz w:val="17"/>
          <w:szCs w:val="17"/>
          <w:color w:val="auto"/>
        </w:rPr>
        <w:t>. Indemnitee agrees to continue to serve as a director or officer of the Company for so long as Indemnitee is duly elected or appointed, until Indemnitee tenders Indemnitee’s resignation or until Indemnitee is terminated by the Company, as applicable. This Agreement shall not be deemed an employment agreement between the Company (or any of its subsidiaries or another Enterprise) and Indemnitee. Indemnitee specifically acknowledges that Indemnitee’s service to the Company or any of its subsidiaries or another Enterprise (as defined in Section 2 below) is at will and the Indemnitee may be discharged at any time for any reason, with or without cause, except as may be otherwise provided in any written employment agreement between Indemnitee and the Company (or any of its subsidiaries or another Enterprise), other applicable formal severance policies duly adopted by the Board or, with respect to service as a director or officer of the Company, by the Company’s Constituent Documents or Delaware law. This Agreement shall continue in force after Indemnitee has ceased to serve as a director or officer of the Company or, at the request of the Company, of any of its subsidiaries or Enterprise, as defined in Section 2 below.</w:t>
      </w:r>
    </w:p>
    <w:p>
      <w:pPr>
        <w:spacing w:after="0" w:line="153" w:lineRule="exact"/>
        <w:rPr>
          <w:rFonts w:ascii="Arial" w:cs="Arial" w:eastAsia="Arial" w:hAnsi="Arial"/>
          <w:sz w:val="17"/>
          <w:szCs w:val="17"/>
          <w:color w:val="auto"/>
        </w:rPr>
      </w:pPr>
    </w:p>
    <w:p>
      <w:pPr>
        <w:ind w:left="960" w:hanging="364"/>
        <w:spacing w:after="0"/>
        <w:tabs>
          <w:tab w:leader="none" w:pos="96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terms shall have the following meanings:</w:t>
      </w:r>
    </w:p>
    <w:p>
      <w:pPr>
        <w:spacing w:after="0" w:line="223" w:lineRule="exact"/>
        <w:rPr>
          <w:rFonts w:ascii="Arial" w:cs="Arial" w:eastAsia="Arial" w:hAnsi="Arial"/>
          <w:sz w:val="19"/>
          <w:szCs w:val="19"/>
          <w:color w:val="auto"/>
        </w:rPr>
      </w:pPr>
    </w:p>
    <w:p>
      <w:pPr>
        <w:ind w:left="1620" w:hanging="427"/>
        <w:spacing w:after="0"/>
        <w:tabs>
          <w:tab w:leader="none" w:pos="1620" w:val="left"/>
        </w:tabs>
        <w:numPr>
          <w:ilvl w:val="1"/>
          <w:numId w:val="38"/>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shall have the meaning ascribed to it in the prefatory language above.</w:t>
      </w:r>
    </w:p>
    <w:p>
      <w:pPr>
        <w:spacing w:after="0" w:line="217" w:lineRule="exact"/>
        <w:rPr>
          <w:rFonts w:ascii="Arial" w:cs="Arial" w:eastAsia="Arial" w:hAnsi="Arial"/>
          <w:sz w:val="20"/>
          <w:szCs w:val="20"/>
          <w:color w:val="auto"/>
        </w:rPr>
      </w:pPr>
    </w:p>
    <w:p>
      <w:pPr>
        <w:ind w:left="1640" w:hanging="447"/>
        <w:spacing w:after="0"/>
        <w:tabs>
          <w:tab w:leader="none" w:pos="1640" w:val="left"/>
        </w:tabs>
        <w:numPr>
          <w:ilvl w:val="1"/>
          <w:numId w:val="38"/>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Beneficial Owner</w:t>
      </w:r>
      <w:r>
        <w:rPr>
          <w:rFonts w:ascii="Arial" w:cs="Arial" w:eastAsia="Arial" w:hAnsi="Arial"/>
          <w:sz w:val="19"/>
          <w:szCs w:val="19"/>
          <w:color w:val="auto"/>
        </w:rPr>
        <w:t>” has the meaning given to the term “beneficial owner” in Rule 13d-3 under the Exchange Act.</w:t>
      </w:r>
    </w:p>
    <w:p>
      <w:pPr>
        <w:spacing w:after="0" w:line="217" w:lineRule="exact"/>
        <w:rPr>
          <w:rFonts w:ascii="Arial" w:cs="Arial" w:eastAsia="Arial" w:hAnsi="Arial"/>
          <w:sz w:val="20"/>
          <w:szCs w:val="20"/>
          <w:color w:val="auto"/>
        </w:rPr>
      </w:pPr>
    </w:p>
    <w:p>
      <w:pPr>
        <w:ind w:left="1620" w:hanging="427"/>
        <w:spacing w:after="0"/>
        <w:tabs>
          <w:tab w:leader="none" w:pos="1620" w:val="left"/>
        </w:tabs>
        <w:numPr>
          <w:ilvl w:val="1"/>
          <w:numId w:val="38"/>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shall have the meaning ascribed to it in the Recitals above.</w:t>
      </w:r>
    </w:p>
    <w:p>
      <w:pPr>
        <w:spacing w:after="0" w:line="217" w:lineRule="exact"/>
        <w:rPr>
          <w:rFonts w:ascii="Arial" w:cs="Arial" w:eastAsia="Arial" w:hAnsi="Arial"/>
          <w:sz w:val="20"/>
          <w:szCs w:val="20"/>
          <w:color w:val="auto"/>
        </w:rPr>
      </w:pPr>
    </w:p>
    <w:p>
      <w:pPr>
        <w:ind w:left="1640" w:hanging="447"/>
        <w:spacing w:after="0"/>
        <w:tabs>
          <w:tab w:leader="none" w:pos="1640" w:val="left"/>
        </w:tabs>
        <w:numPr>
          <w:ilvl w:val="1"/>
          <w:numId w:val="38"/>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Combination</w:t>
      </w:r>
      <w:r>
        <w:rPr>
          <w:rFonts w:ascii="Arial" w:cs="Arial" w:eastAsia="Arial" w:hAnsi="Arial"/>
          <w:sz w:val="19"/>
          <w:szCs w:val="19"/>
          <w:color w:val="auto"/>
        </w:rPr>
        <w:t>” means a reorganization, a merger or a consolidation.</w:t>
      </w:r>
    </w:p>
    <w:p>
      <w:pPr>
        <w:spacing w:after="0" w:line="217" w:lineRule="exact"/>
        <w:rPr>
          <w:rFonts w:ascii="Arial" w:cs="Arial" w:eastAsia="Arial" w:hAnsi="Arial"/>
          <w:sz w:val="20"/>
          <w:szCs w:val="20"/>
          <w:color w:val="auto"/>
        </w:rPr>
      </w:pPr>
    </w:p>
    <w:p>
      <w:pPr>
        <w:ind w:left="1620" w:hanging="427"/>
        <w:spacing w:after="0"/>
        <w:tabs>
          <w:tab w:leader="none" w:pos="1620" w:val="left"/>
        </w:tabs>
        <w:numPr>
          <w:ilvl w:val="1"/>
          <w:numId w:val="38"/>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occurrence after the date of this Agreement of any of the following events:</w:t>
      </w:r>
    </w:p>
    <w:p>
      <w:pPr>
        <w:spacing w:after="0" w:line="223" w:lineRule="exact"/>
        <w:rPr>
          <w:rFonts w:ascii="Arial" w:cs="Arial" w:eastAsia="Arial" w:hAnsi="Arial"/>
          <w:sz w:val="20"/>
          <w:szCs w:val="20"/>
          <w:color w:val="auto"/>
        </w:rPr>
      </w:pPr>
    </w:p>
    <w:p>
      <w:pPr>
        <w:jc w:val="both"/>
        <w:ind w:firstLine="1790"/>
        <w:spacing w:after="0" w:line="267" w:lineRule="auto"/>
        <w:tabs>
          <w:tab w:leader="none" w:pos="2231" w:val="left"/>
        </w:tabs>
        <w:numPr>
          <w:ilvl w:val="2"/>
          <w:numId w:val="38"/>
        </w:numPr>
        <w:rPr>
          <w:rFonts w:ascii="Arial" w:cs="Arial" w:eastAsia="Arial" w:hAnsi="Arial"/>
          <w:sz w:val="20"/>
          <w:szCs w:val="20"/>
          <w:color w:val="auto"/>
        </w:rPr>
      </w:pPr>
      <w:r>
        <w:rPr>
          <w:rFonts w:ascii="Arial" w:cs="Arial" w:eastAsia="Arial" w:hAnsi="Arial"/>
          <w:sz w:val="19"/>
          <w:szCs w:val="19"/>
          <w:u w:val="single" w:color="auto"/>
          <w:color w:val="auto"/>
        </w:rPr>
        <w:t>Acquisition of Stock by Third Party</w:t>
      </w:r>
      <w:r>
        <w:rPr>
          <w:rFonts w:ascii="Arial" w:cs="Arial" w:eastAsia="Arial" w:hAnsi="Arial"/>
          <w:sz w:val="19"/>
          <w:szCs w:val="19"/>
          <w:color w:val="auto"/>
        </w:rPr>
        <w:t>. Any Person (as defined below) who is not a current stockholder of the Company becomes hereafter the Beneficial Owner, directly or indirectly, of securities of the Company representing thirty percent (30%) or more of the Company’s Voting Securities, unless the change in the relative Beneficial Ownership of the Company’s securities by any Person results solely from a reduction in the aggregate number of outstanding Voting Securities;</w:t>
      </w:r>
    </w:p>
    <w:p>
      <w:pPr>
        <w:spacing w:after="0" w:line="164" w:lineRule="exact"/>
        <w:rPr>
          <w:rFonts w:ascii="Arial" w:cs="Arial" w:eastAsia="Arial" w:hAnsi="Arial"/>
          <w:sz w:val="20"/>
          <w:szCs w:val="20"/>
          <w:color w:val="auto"/>
        </w:rPr>
      </w:pPr>
    </w:p>
    <w:p>
      <w:pPr>
        <w:jc w:val="both"/>
        <w:ind w:firstLine="1790"/>
        <w:spacing w:after="0" w:line="283" w:lineRule="auto"/>
        <w:tabs>
          <w:tab w:leader="none" w:pos="2436" w:val="left"/>
        </w:tabs>
        <w:numPr>
          <w:ilvl w:val="2"/>
          <w:numId w:val="38"/>
        </w:numPr>
        <w:rPr>
          <w:rFonts w:ascii="Arial" w:cs="Arial" w:eastAsia="Arial" w:hAnsi="Arial"/>
          <w:sz w:val="18"/>
          <w:szCs w:val="18"/>
          <w:color w:val="auto"/>
        </w:rPr>
      </w:pPr>
      <w:r>
        <w:rPr>
          <w:rFonts w:ascii="Arial" w:cs="Arial" w:eastAsia="Arial" w:hAnsi="Arial"/>
          <w:sz w:val="18"/>
          <w:szCs w:val="18"/>
          <w:u w:val="single" w:color="auto"/>
          <w:color w:val="auto"/>
        </w:rPr>
        <w:t>Corporate Transactions</w:t>
      </w:r>
      <w:r>
        <w:rPr>
          <w:rFonts w:ascii="Arial" w:cs="Arial" w:eastAsia="Arial" w:hAnsi="Arial"/>
          <w:sz w:val="18"/>
          <w:szCs w:val="18"/>
          <w:color w:val="auto"/>
        </w:rPr>
        <w:t>. The consummation of a Business Combination, unless immediately following such Business Combination, (1) the Beneficial Owners of the Voting Securities of the Company immediately prior to such transaction beneficially own, directly or indirectly, more than fifty percent (50%) of the combined voting power of the outstanding Voting Securities of the entity resulting from such transaction, (2) no Person (excluding any corporation resulting from such Business Combination) is the Beneficial Owner, directly or indirectly, of twenty percent (20%) or more of the combined voting power of the then outstanding securities entitled to vote generally in the election of directors of such corporation except to the extent that such ownership existed prior to the Business Combination and (3) at least a majority of the Board of Directors of the corporation resulting from such Business Combination were Continuing Directors (as defined below), at the time of the execution of the initial agreement or of the action of the Board, providing for such Business Combination;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63" w:right="239" w:bottom="1440" w:gutter="0" w:footer="0" w:header="0"/>
        </w:sectPr>
      </w:pPr>
    </w:p>
    <w:bookmarkStart w:id="103" w:name="page104"/>
    <w:bookmarkEnd w:id="103"/>
    <w:p>
      <w:pPr>
        <w:ind w:left="2360" w:hanging="570"/>
        <w:spacing w:after="0"/>
        <w:tabs>
          <w:tab w:leader="none" w:pos="2360" w:val="left"/>
        </w:tabs>
        <w:numPr>
          <w:ilvl w:val="1"/>
          <w:numId w:val="39"/>
        </w:numPr>
        <w:rPr>
          <w:rFonts w:ascii="Arial" w:cs="Arial" w:eastAsia="Arial" w:hAnsi="Arial"/>
          <w:sz w:val="18"/>
          <w:szCs w:val="18"/>
          <w:color w:val="auto"/>
        </w:rPr>
      </w:pPr>
      <w:r>
        <w:rPr>
          <w:rFonts w:ascii="Arial" w:cs="Arial" w:eastAsia="Arial" w:hAnsi="Arial"/>
          <w:sz w:val="17"/>
          <w:szCs w:val="17"/>
          <w:u w:val="single" w:color="auto"/>
          <w:color w:val="auto"/>
        </w:rPr>
        <w:t>Change in Board of Directors</w:t>
      </w:r>
      <w:r>
        <w:rPr>
          <w:rFonts w:ascii="Arial" w:cs="Arial" w:eastAsia="Arial" w:hAnsi="Arial"/>
          <w:sz w:val="17"/>
          <w:szCs w:val="17"/>
          <w:color w:val="auto"/>
        </w:rPr>
        <w:t>. The Continuing Directors cease for any reason to constitute at least a majority of the</w:t>
      </w:r>
    </w:p>
    <w:p>
      <w:pPr>
        <w:spacing w:after="0" w:line="4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members of the Board; or</w:t>
      </w:r>
    </w:p>
    <w:p>
      <w:pPr>
        <w:spacing w:after="0" w:line="216" w:lineRule="exact"/>
        <w:rPr>
          <w:rFonts w:ascii="Arial" w:cs="Arial" w:eastAsia="Arial" w:hAnsi="Arial"/>
          <w:sz w:val="18"/>
          <w:szCs w:val="18"/>
          <w:color w:val="auto"/>
        </w:rPr>
      </w:pPr>
    </w:p>
    <w:p>
      <w:pPr>
        <w:jc w:val="both"/>
        <w:ind w:firstLine="1790"/>
        <w:spacing w:after="0" w:line="267" w:lineRule="auto"/>
        <w:tabs>
          <w:tab w:leader="none" w:pos="2331" w:val="left"/>
        </w:tabs>
        <w:numPr>
          <w:ilvl w:val="1"/>
          <w:numId w:val="39"/>
        </w:numPr>
        <w:rPr>
          <w:rFonts w:ascii="Arial" w:cs="Arial" w:eastAsia="Arial" w:hAnsi="Arial"/>
          <w:sz w:val="20"/>
          <w:szCs w:val="20"/>
          <w:color w:val="auto"/>
        </w:rPr>
      </w:pPr>
      <w:r>
        <w:rPr>
          <w:rFonts w:ascii="Arial" w:cs="Arial" w:eastAsia="Arial" w:hAnsi="Arial"/>
          <w:sz w:val="19"/>
          <w:szCs w:val="19"/>
          <w:u w:val="single" w:color="auto"/>
          <w:color w:val="auto"/>
        </w:rPr>
        <w:t>Liquidation</w:t>
      </w:r>
      <w:r>
        <w:rPr>
          <w:rFonts w:ascii="Arial" w:cs="Arial" w:eastAsia="Arial" w:hAnsi="Arial"/>
          <w:sz w:val="19"/>
          <w:szCs w:val="19"/>
          <w:i w:val="1"/>
          <w:iCs w:val="1"/>
          <w:color w:val="auto"/>
        </w:rPr>
        <w:t>.</w:t>
      </w:r>
      <w:r>
        <w:rPr>
          <w:rFonts w:ascii="Arial" w:cs="Arial" w:eastAsia="Arial" w:hAnsi="Arial"/>
          <w:sz w:val="19"/>
          <w:szCs w:val="19"/>
          <w:color w:val="auto"/>
        </w:rPr>
        <w:t xml:space="preserve"> The stockholders of the Company approve a plan of complete liquidation or dissolution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w:t>
      </w:r>
    </w:p>
    <w:p>
      <w:pPr>
        <w:spacing w:after="0" w:line="165" w:lineRule="exact"/>
        <w:rPr>
          <w:rFonts w:ascii="Arial" w:cs="Arial" w:eastAsia="Arial" w:hAnsi="Arial"/>
          <w:sz w:val="20"/>
          <w:szCs w:val="20"/>
          <w:color w:val="auto"/>
        </w:rPr>
      </w:pPr>
    </w:p>
    <w:p>
      <w:pPr>
        <w:ind w:left="1600" w:hanging="407"/>
        <w:spacing w:after="0"/>
        <w:tabs>
          <w:tab w:leader="none" w:pos="1600" w:val="left"/>
        </w:tabs>
        <w:numPr>
          <w:ilvl w:val="0"/>
          <w:numId w:val="40"/>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w:t>
      </w:r>
      <w:r>
        <w:rPr>
          <w:rFonts w:ascii="Arial" w:cs="Arial" w:eastAsia="Arial" w:hAnsi="Arial"/>
          <w:sz w:val="19"/>
          <w:szCs w:val="19"/>
          <w:color w:val="auto"/>
        </w:rPr>
        <w:t>” means:</w:t>
      </w:r>
    </w:p>
    <w:p>
      <w:pPr>
        <w:spacing w:after="0" w:line="223" w:lineRule="exact"/>
        <w:rPr>
          <w:rFonts w:ascii="Arial" w:cs="Arial" w:eastAsia="Arial" w:hAnsi="Arial"/>
          <w:sz w:val="20"/>
          <w:szCs w:val="20"/>
          <w:color w:val="auto"/>
        </w:rPr>
      </w:pPr>
    </w:p>
    <w:p>
      <w:pPr>
        <w:ind w:firstLine="1790"/>
        <w:spacing w:after="0" w:line="348" w:lineRule="auto"/>
        <w:tabs>
          <w:tab w:leader="none" w:pos="2294" w:val="left"/>
        </w:tabs>
        <w:numPr>
          <w:ilvl w:val="1"/>
          <w:numId w:val="40"/>
        </w:numPr>
        <w:rPr>
          <w:rFonts w:ascii="Arial" w:cs="Arial" w:eastAsia="Arial" w:hAnsi="Arial"/>
          <w:sz w:val="18"/>
          <w:szCs w:val="18"/>
          <w:color w:val="auto"/>
        </w:rPr>
      </w:pPr>
      <w:r>
        <w:rPr>
          <w:rFonts w:ascii="Arial" w:cs="Arial" w:eastAsia="Arial" w:hAnsi="Arial"/>
          <w:sz w:val="17"/>
          <w:szCs w:val="17"/>
          <w:color w:val="auto"/>
        </w:rPr>
        <w:t>any threatened, pending or completed action, suit, demand, proceeding or alternative dispute resolution mechanism, whether civil, criminal, administrative, arbitrative, investigative or other, and whether made pursuant to federal, state or other law; or</w:t>
      </w:r>
    </w:p>
    <w:p>
      <w:pPr>
        <w:spacing w:after="0" w:line="100" w:lineRule="exact"/>
        <w:rPr>
          <w:rFonts w:ascii="Arial" w:cs="Arial" w:eastAsia="Arial" w:hAnsi="Arial"/>
          <w:sz w:val="18"/>
          <w:szCs w:val="18"/>
          <w:color w:val="auto"/>
        </w:rPr>
      </w:pPr>
    </w:p>
    <w:p>
      <w:pPr>
        <w:ind w:firstLine="1790"/>
        <w:spacing w:after="0" w:line="286" w:lineRule="auto"/>
        <w:tabs>
          <w:tab w:leader="none" w:pos="2324" w:val="left"/>
        </w:tabs>
        <w:numPr>
          <w:ilvl w:val="1"/>
          <w:numId w:val="40"/>
        </w:numPr>
        <w:rPr>
          <w:rFonts w:ascii="Arial" w:cs="Arial" w:eastAsia="Arial" w:hAnsi="Arial"/>
          <w:sz w:val="20"/>
          <w:szCs w:val="20"/>
          <w:color w:val="auto"/>
        </w:rPr>
      </w:pPr>
      <w:r>
        <w:rPr>
          <w:rFonts w:ascii="Arial" w:cs="Arial" w:eastAsia="Arial" w:hAnsi="Arial"/>
          <w:sz w:val="19"/>
          <w:szCs w:val="19"/>
          <w:color w:val="auto"/>
        </w:rPr>
        <w:t>any inquiry, hearing or investigation that the Indemnitee determines might lead to the institution of any such action, suit, proceeding or alternative dispute resolution mechanism.</w:t>
      </w:r>
    </w:p>
    <w:p>
      <w:pPr>
        <w:spacing w:after="0" w:line="143" w:lineRule="exact"/>
        <w:rPr>
          <w:rFonts w:ascii="Arial" w:cs="Arial" w:eastAsia="Arial" w:hAnsi="Arial"/>
          <w:sz w:val="20"/>
          <w:szCs w:val="20"/>
          <w:color w:val="auto"/>
        </w:rPr>
      </w:pPr>
    </w:p>
    <w:p>
      <w:pPr>
        <w:ind w:left="1640" w:hanging="447"/>
        <w:spacing w:after="0"/>
        <w:tabs>
          <w:tab w:leader="none" w:pos="1640" w:val="left"/>
        </w:tabs>
        <w:numPr>
          <w:ilvl w:val="0"/>
          <w:numId w:val="40"/>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shall have the meaning ascribed to it in the prefatory language above.</w:t>
      </w:r>
    </w:p>
    <w:p>
      <w:pPr>
        <w:spacing w:after="0" w:line="217" w:lineRule="exact"/>
        <w:rPr>
          <w:rFonts w:ascii="Arial" w:cs="Arial" w:eastAsia="Arial" w:hAnsi="Arial"/>
          <w:sz w:val="20"/>
          <w:szCs w:val="20"/>
          <w:color w:val="auto"/>
        </w:rPr>
      </w:pPr>
    </w:p>
    <w:p>
      <w:pPr>
        <w:ind w:left="1640" w:hanging="447"/>
        <w:spacing w:after="0"/>
        <w:tabs>
          <w:tab w:leader="none" w:pos="1640" w:val="left"/>
        </w:tabs>
        <w:numPr>
          <w:ilvl w:val="0"/>
          <w:numId w:val="40"/>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Constituent Documents</w:t>
      </w:r>
      <w:r>
        <w:rPr>
          <w:rFonts w:ascii="Arial" w:cs="Arial" w:eastAsia="Arial" w:hAnsi="Arial"/>
          <w:sz w:val="19"/>
          <w:szCs w:val="19"/>
          <w:color w:val="auto"/>
        </w:rPr>
        <w:t>” shall have the meaning ascribed to it in the Recitals above.</w:t>
      </w:r>
    </w:p>
    <w:p>
      <w:pPr>
        <w:spacing w:after="0" w:line="217" w:lineRule="exact"/>
        <w:rPr>
          <w:rFonts w:ascii="Arial" w:cs="Arial" w:eastAsia="Arial" w:hAnsi="Arial"/>
          <w:sz w:val="20"/>
          <w:szCs w:val="20"/>
          <w:color w:val="auto"/>
        </w:rPr>
      </w:pPr>
    </w:p>
    <w:p>
      <w:pPr>
        <w:jc w:val="both"/>
        <w:ind w:firstLine="1193"/>
        <w:spacing w:after="0" w:line="267" w:lineRule="auto"/>
        <w:tabs>
          <w:tab w:leader="none" w:pos="1597" w:val="left"/>
        </w:tabs>
        <w:numPr>
          <w:ilvl w:val="0"/>
          <w:numId w:val="40"/>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Continuing Directors</w:t>
      </w:r>
      <w:r>
        <w:rPr>
          <w:rFonts w:ascii="Arial" w:cs="Arial" w:eastAsia="Arial" w:hAnsi="Arial"/>
          <w:sz w:val="19"/>
          <w:szCs w:val="19"/>
          <w:color w:val="auto"/>
        </w:rPr>
        <w:t>” means, during a period of two consecutive years, not including any period prior to the execution of this Agreement, the individuals collectively who at the beginning of such period constituted the Board (including for this purpose any new directors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w:t>
      </w:r>
    </w:p>
    <w:p>
      <w:pPr>
        <w:spacing w:after="0" w:line="164" w:lineRule="exact"/>
        <w:rPr>
          <w:rFonts w:ascii="Arial" w:cs="Arial" w:eastAsia="Arial" w:hAnsi="Arial"/>
          <w:sz w:val="20"/>
          <w:szCs w:val="20"/>
          <w:color w:val="auto"/>
        </w:rPr>
      </w:pPr>
    </w:p>
    <w:p>
      <w:pPr>
        <w:ind w:left="1600" w:hanging="407"/>
        <w:spacing w:after="0"/>
        <w:tabs>
          <w:tab w:leader="none" w:pos="1600" w:val="left"/>
        </w:tabs>
        <w:numPr>
          <w:ilvl w:val="0"/>
          <w:numId w:val="40"/>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Delaware Court</w:t>
      </w:r>
      <w:r>
        <w:rPr>
          <w:rFonts w:ascii="Arial" w:cs="Arial" w:eastAsia="Arial" w:hAnsi="Arial"/>
          <w:sz w:val="19"/>
          <w:szCs w:val="19"/>
          <w:color w:val="auto"/>
        </w:rPr>
        <w:t>” means the Court of Chancery of the State of Delaware.</w:t>
      </w:r>
    </w:p>
    <w:p>
      <w:pPr>
        <w:spacing w:after="0" w:line="217" w:lineRule="exact"/>
        <w:rPr>
          <w:rFonts w:ascii="Arial" w:cs="Arial" w:eastAsia="Arial" w:hAnsi="Arial"/>
          <w:sz w:val="20"/>
          <w:szCs w:val="20"/>
          <w:color w:val="auto"/>
        </w:rPr>
      </w:pPr>
    </w:p>
    <w:p>
      <w:pPr>
        <w:ind w:firstLine="1193"/>
        <w:spacing w:after="0" w:line="292" w:lineRule="auto"/>
        <w:tabs>
          <w:tab w:leader="none" w:pos="1704" w:val="left"/>
        </w:tabs>
        <w:numPr>
          <w:ilvl w:val="0"/>
          <w:numId w:val="40"/>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Disinterested Director</w:t>
      </w:r>
      <w:r>
        <w:rPr>
          <w:rFonts w:ascii="Arial" w:cs="Arial" w:eastAsia="Arial" w:hAnsi="Arial"/>
          <w:sz w:val="19"/>
          <w:szCs w:val="19"/>
          <w:color w:val="auto"/>
        </w:rPr>
        <w:t>” means a director of the Company who is not and was not a party to the Claim in respect of which indemnification is sought by Indemnitee.</w:t>
      </w:r>
    </w:p>
    <w:p>
      <w:pPr>
        <w:spacing w:after="0" w:line="138" w:lineRule="exact"/>
        <w:rPr>
          <w:rFonts w:ascii="Arial" w:cs="Arial" w:eastAsia="Arial" w:hAnsi="Arial"/>
          <w:sz w:val="20"/>
          <w:szCs w:val="20"/>
          <w:color w:val="auto"/>
        </w:rPr>
      </w:pPr>
    </w:p>
    <w:p>
      <w:pPr>
        <w:ind w:left="1600" w:hanging="407"/>
        <w:spacing w:after="0"/>
        <w:tabs>
          <w:tab w:leader="none" w:pos="1600" w:val="left"/>
        </w:tabs>
        <w:numPr>
          <w:ilvl w:val="0"/>
          <w:numId w:val="40"/>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Enterprise</w:t>
      </w:r>
      <w:r>
        <w:rPr>
          <w:rFonts w:ascii="Arial" w:cs="Arial" w:eastAsia="Arial" w:hAnsi="Arial"/>
          <w:sz w:val="19"/>
          <w:szCs w:val="19"/>
          <w:color w:val="auto"/>
        </w:rPr>
        <w:t>” means, any corporation, limited liability company, partnership, joint venture, trust or other entity.</w:t>
      </w:r>
    </w:p>
    <w:p>
      <w:pPr>
        <w:spacing w:after="0" w:line="217" w:lineRule="exact"/>
        <w:rPr>
          <w:rFonts w:ascii="Arial" w:cs="Arial" w:eastAsia="Arial" w:hAnsi="Arial"/>
          <w:sz w:val="20"/>
          <w:szCs w:val="20"/>
          <w:color w:val="auto"/>
        </w:rPr>
      </w:pPr>
    </w:p>
    <w:p>
      <w:pPr>
        <w:ind w:left="1700" w:hanging="507"/>
        <w:spacing w:after="0"/>
        <w:tabs>
          <w:tab w:leader="none" w:pos="1700" w:val="left"/>
        </w:tabs>
        <w:numPr>
          <w:ilvl w:val="0"/>
          <w:numId w:val="40"/>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means the Securities Exchange Act of 1934, as amended.</w:t>
      </w:r>
    </w:p>
    <w:p>
      <w:pPr>
        <w:spacing w:after="0" w:line="217" w:lineRule="exact"/>
        <w:rPr>
          <w:rFonts w:ascii="Arial" w:cs="Arial" w:eastAsia="Arial" w:hAnsi="Arial"/>
          <w:sz w:val="20"/>
          <w:szCs w:val="20"/>
          <w:color w:val="auto"/>
        </w:rPr>
      </w:pPr>
    </w:p>
    <w:p>
      <w:pPr>
        <w:ind w:left="1640" w:hanging="447"/>
        <w:spacing w:after="0"/>
        <w:tabs>
          <w:tab w:leader="none" w:pos="1640" w:val="left"/>
        </w:tabs>
        <w:numPr>
          <w:ilvl w:val="0"/>
          <w:numId w:val="40"/>
        </w:numPr>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Expense Advance</w:t>
      </w:r>
      <w:r>
        <w:rPr>
          <w:rFonts w:ascii="Arial" w:cs="Arial" w:eastAsia="Arial" w:hAnsi="Arial"/>
          <w:sz w:val="17"/>
          <w:szCs w:val="17"/>
          <w:color w:val="auto"/>
        </w:rPr>
        <w:t>” means any payment of Expense advanced to Indemnitee by the Company pursuant to Section 4 or Section</w:t>
      </w:r>
    </w:p>
    <w:p>
      <w:pPr>
        <w:spacing w:after="0" w:line="4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5 hereof.</w:t>
      </w:r>
    </w:p>
    <w:p>
      <w:pPr>
        <w:spacing w:after="0" w:line="210" w:lineRule="exact"/>
        <w:rPr>
          <w:rFonts w:ascii="Arial" w:cs="Arial" w:eastAsia="Arial" w:hAnsi="Arial"/>
          <w:sz w:val="18"/>
          <w:szCs w:val="18"/>
          <w:color w:val="auto"/>
        </w:rPr>
      </w:pPr>
    </w:p>
    <w:p>
      <w:pPr>
        <w:jc w:val="both"/>
        <w:ind w:firstLine="1193"/>
        <w:spacing w:after="0" w:line="296" w:lineRule="auto"/>
        <w:tabs>
          <w:tab w:leader="none" w:pos="1704" w:val="left"/>
        </w:tabs>
        <w:numPr>
          <w:ilvl w:val="0"/>
          <w:numId w:val="40"/>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Expenses</w:t>
      </w:r>
      <w:r>
        <w:rPr>
          <w:rFonts w:ascii="Arial" w:cs="Arial" w:eastAsia="Arial" w:hAnsi="Arial"/>
          <w:sz w:val="18"/>
          <w:szCs w:val="18"/>
          <w:color w:val="auto"/>
        </w:rPr>
        <w:t>” means any and all expenses, including attorneys’ and experts’ fees, court costs, transcript costs, travel expenses, duplicating, printing and binding costs, telephone charges, and all other costs and expenses incurred in connection with investigating, defending, being a witness in or participating in (including on appeal), or preparing to defend, be a witness or participate in, any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76" w:right="239" w:bottom="1440" w:gutter="0" w:footer="0" w:header="0"/>
        </w:sectPr>
      </w:pPr>
    </w:p>
    <w:bookmarkStart w:id="104" w:name="page105"/>
    <w:bookmarkEnd w:id="104"/>
    <w:p>
      <w:pPr>
        <w:jc w:val="both"/>
        <w:spacing w:after="0" w:line="252" w:lineRule="auto"/>
        <w:rPr>
          <w:sz w:val="20"/>
          <w:szCs w:val="20"/>
          <w:color w:val="auto"/>
        </w:rPr>
      </w:pPr>
      <w:r>
        <w:rPr>
          <w:rFonts w:ascii="Arial" w:cs="Arial" w:eastAsia="Arial" w:hAnsi="Arial"/>
          <w:sz w:val="19"/>
          <w:szCs w:val="19"/>
          <w:color w:val="auto"/>
        </w:rPr>
        <w:t>Claim. Expenses also shall include (i) Expenses incurred in connection with any appeal resulting from any Claim, including without limitation the premium, security for, and other costs relating to any cost bond, supersedes bond, or other appeal bond or its equivalent, and (ii) for purposes of Section 5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spacing w:after="0" w:line="178" w:lineRule="exact"/>
        <w:rPr>
          <w:sz w:val="20"/>
          <w:szCs w:val="20"/>
          <w:color w:val="auto"/>
        </w:rPr>
      </w:pPr>
    </w:p>
    <w:p>
      <w:pPr>
        <w:jc w:val="both"/>
        <w:ind w:firstLine="1193"/>
        <w:spacing w:after="0" w:line="267" w:lineRule="auto"/>
        <w:tabs>
          <w:tab w:leader="none" w:pos="1741" w:val="left"/>
        </w:tabs>
        <w:numPr>
          <w:ilvl w:val="0"/>
          <w:numId w:val="41"/>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Indemnifiable Event</w:t>
      </w:r>
      <w:r>
        <w:rPr>
          <w:rFonts w:ascii="Arial" w:cs="Arial" w:eastAsia="Arial" w:hAnsi="Arial"/>
          <w:sz w:val="19"/>
          <w:szCs w:val="19"/>
          <w:color w:val="auto"/>
        </w:rPr>
        <w:t>” means any event or occurrence, whether occurring before, on or after the date of this Agreement, related to the fact that Indemnitee is or was a director, officer, employee or agent of the Company or any subsidiary of the Company, or is or was serving at the request of the Company as a director, officer, employee, member, manager, trustee or agent of another Enterprise or by reason of an action or inaction by Indemnitee in any such capacity (whether or not serving in such capacity at the time any Loss (as defined below) is incurred for which indemnification can be provided under this Agreement).</w:t>
      </w:r>
    </w:p>
    <w:p>
      <w:pPr>
        <w:spacing w:after="0" w:line="164" w:lineRule="exact"/>
        <w:rPr>
          <w:rFonts w:ascii="Arial" w:cs="Arial" w:eastAsia="Arial" w:hAnsi="Arial"/>
          <w:sz w:val="20"/>
          <w:szCs w:val="20"/>
          <w:color w:val="auto"/>
        </w:rPr>
      </w:pPr>
    </w:p>
    <w:p>
      <w:pPr>
        <w:ind w:left="1640" w:hanging="447"/>
        <w:spacing w:after="0"/>
        <w:tabs>
          <w:tab w:leader="none" w:pos="1640" w:val="left"/>
        </w:tabs>
        <w:numPr>
          <w:ilvl w:val="0"/>
          <w:numId w:val="41"/>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Indemnitee</w:t>
      </w:r>
      <w:r>
        <w:rPr>
          <w:rFonts w:ascii="Arial" w:cs="Arial" w:eastAsia="Arial" w:hAnsi="Arial"/>
          <w:sz w:val="19"/>
          <w:szCs w:val="19"/>
          <w:color w:val="auto"/>
        </w:rPr>
        <w:t>” shall have the meaning ascribed to it in the prefatory language above.</w:t>
      </w:r>
    </w:p>
    <w:p>
      <w:pPr>
        <w:spacing w:after="0" w:line="217" w:lineRule="exact"/>
        <w:rPr>
          <w:rFonts w:ascii="Arial" w:cs="Arial" w:eastAsia="Arial" w:hAnsi="Arial"/>
          <w:sz w:val="20"/>
          <w:szCs w:val="20"/>
          <w:color w:val="auto"/>
        </w:rPr>
      </w:pPr>
    </w:p>
    <w:p>
      <w:pPr>
        <w:jc w:val="both"/>
        <w:ind w:firstLine="1193"/>
        <w:spacing w:after="0" w:line="265" w:lineRule="auto"/>
        <w:tabs>
          <w:tab w:leader="none" w:pos="1695" w:val="left"/>
        </w:tabs>
        <w:numPr>
          <w:ilvl w:val="0"/>
          <w:numId w:val="41"/>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Independent Counsel</w:t>
      </w:r>
      <w:r>
        <w:rPr>
          <w:rFonts w:ascii="Arial" w:cs="Arial" w:eastAsia="Arial" w:hAnsi="Arial"/>
          <w:sz w:val="19"/>
          <w:szCs w:val="19"/>
          <w:color w:val="auto"/>
        </w:rPr>
        <w:t>” means a law firm, or a member of a law firm, that is experienced in matters of corporate law and neither presently performs, nor in the past five (5) years has performed, services for either: (i) the Company or Indemnitee (other than in connection with matters concerning other indemnitees under similar agreements) or (ii) any other party to the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9" w:lineRule="exact"/>
        <w:rPr>
          <w:rFonts w:ascii="Arial" w:cs="Arial" w:eastAsia="Arial" w:hAnsi="Arial"/>
          <w:sz w:val="20"/>
          <w:szCs w:val="20"/>
          <w:color w:val="auto"/>
        </w:rPr>
      </w:pPr>
    </w:p>
    <w:p>
      <w:pPr>
        <w:jc w:val="both"/>
        <w:ind w:firstLine="1193"/>
        <w:spacing w:after="0" w:line="310" w:lineRule="auto"/>
        <w:tabs>
          <w:tab w:leader="none" w:pos="1632" w:val="left"/>
        </w:tabs>
        <w:numPr>
          <w:ilvl w:val="0"/>
          <w:numId w:val="41"/>
        </w:numPr>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Losses</w:t>
      </w:r>
      <w:r>
        <w:rPr>
          <w:rFonts w:ascii="Arial" w:cs="Arial" w:eastAsia="Arial" w:hAnsi="Arial"/>
          <w:sz w:val="17"/>
          <w:szCs w:val="17"/>
          <w:color w:val="auto"/>
        </w:rPr>
        <w:t>” means any and all Expenses, damages, losses, liabilities, judgments, fines, penalties (whether civil, criminal or other), ERISA excise taxes, amounts paid or payable in settlement, including any interest, assessments, any federal, state, local or foreign taxes imposed as a result of the actual or deemed receipt of any payments under this Agreement and all other charges paid or payable in connection with investigating, defending, being a witness in or participating in (including on appeal), or preparing to defend, be a witness or participate in, any Claim.</w:t>
      </w:r>
    </w:p>
    <w:p>
      <w:pPr>
        <w:spacing w:after="0" w:line="131" w:lineRule="exact"/>
        <w:rPr>
          <w:rFonts w:ascii="Arial" w:cs="Arial" w:eastAsia="Arial" w:hAnsi="Arial"/>
          <w:sz w:val="18"/>
          <w:szCs w:val="18"/>
          <w:color w:val="auto"/>
        </w:rPr>
      </w:pPr>
    </w:p>
    <w:p>
      <w:pPr>
        <w:ind w:left="1600" w:hanging="407"/>
        <w:spacing w:after="0"/>
        <w:tabs>
          <w:tab w:leader="none" w:pos="1600" w:val="left"/>
        </w:tabs>
        <w:numPr>
          <w:ilvl w:val="0"/>
          <w:numId w:val="41"/>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Notification Date</w:t>
      </w:r>
      <w:r>
        <w:rPr>
          <w:rFonts w:ascii="Arial" w:cs="Arial" w:eastAsia="Arial" w:hAnsi="Arial"/>
          <w:sz w:val="19"/>
          <w:szCs w:val="19"/>
          <w:color w:val="auto"/>
        </w:rPr>
        <w:t>” shall have the meaning ascribed to it in Section 10(c) below.</w:t>
      </w:r>
    </w:p>
    <w:p>
      <w:pPr>
        <w:spacing w:after="0" w:line="217" w:lineRule="exact"/>
        <w:rPr>
          <w:rFonts w:ascii="Arial" w:cs="Arial" w:eastAsia="Arial" w:hAnsi="Arial"/>
          <w:sz w:val="20"/>
          <w:szCs w:val="20"/>
          <w:color w:val="auto"/>
        </w:rPr>
      </w:pPr>
    </w:p>
    <w:p>
      <w:pPr>
        <w:ind w:left="1640" w:hanging="447"/>
        <w:spacing w:after="0"/>
        <w:tabs>
          <w:tab w:leader="none" w:pos="1640" w:val="left"/>
        </w:tabs>
        <w:numPr>
          <w:ilvl w:val="0"/>
          <w:numId w:val="41"/>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Indemnity Provisions</w:t>
      </w:r>
      <w:r>
        <w:rPr>
          <w:rFonts w:ascii="Arial" w:cs="Arial" w:eastAsia="Arial" w:hAnsi="Arial"/>
          <w:sz w:val="19"/>
          <w:szCs w:val="19"/>
          <w:color w:val="auto"/>
        </w:rPr>
        <w:t>” shall have the meaning ascribed to it in Section 14 below.</w:t>
      </w:r>
    </w:p>
    <w:p>
      <w:pPr>
        <w:spacing w:after="0" w:line="217" w:lineRule="exact"/>
        <w:rPr>
          <w:rFonts w:ascii="Arial" w:cs="Arial" w:eastAsia="Arial" w:hAnsi="Arial"/>
          <w:sz w:val="20"/>
          <w:szCs w:val="20"/>
          <w:color w:val="auto"/>
        </w:rPr>
      </w:pPr>
    </w:p>
    <w:p>
      <w:pPr>
        <w:ind w:firstLine="1193"/>
        <w:spacing w:after="0" w:line="355" w:lineRule="auto"/>
        <w:tabs>
          <w:tab w:leader="none" w:pos="1704" w:val="left"/>
        </w:tabs>
        <w:numPr>
          <w:ilvl w:val="0"/>
          <w:numId w:val="41"/>
        </w:numPr>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corporation, firm, partnership, joint venture, limited liability company, estate, trust, business association, organization, governmental entity or other entity and includes the meaning set forth in Sections 13(d) and 14(d) of the Exchange Act.</w:t>
      </w:r>
    </w:p>
    <w:p>
      <w:pPr>
        <w:spacing w:after="0" w:line="88" w:lineRule="exact"/>
        <w:rPr>
          <w:rFonts w:ascii="Arial" w:cs="Arial" w:eastAsia="Arial" w:hAnsi="Arial"/>
          <w:sz w:val="18"/>
          <w:szCs w:val="18"/>
          <w:color w:val="auto"/>
        </w:rPr>
      </w:pPr>
    </w:p>
    <w:p>
      <w:pPr>
        <w:ind w:left="1680" w:hanging="487"/>
        <w:spacing w:after="0"/>
        <w:tabs>
          <w:tab w:leader="none" w:pos="1680" w:val="left"/>
        </w:tabs>
        <w:numPr>
          <w:ilvl w:val="0"/>
          <w:numId w:val="41"/>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Standard of Conduct Determination</w:t>
      </w:r>
      <w:r>
        <w:rPr>
          <w:rFonts w:ascii="Arial" w:cs="Arial" w:eastAsia="Arial" w:hAnsi="Arial"/>
          <w:sz w:val="19"/>
          <w:szCs w:val="19"/>
          <w:color w:val="auto"/>
        </w:rPr>
        <w:t>” shall have the meaning ascribed to it in Section 10(b) below.</w:t>
      </w:r>
    </w:p>
    <w:p>
      <w:pPr>
        <w:spacing w:after="0" w:line="217" w:lineRule="exact"/>
        <w:rPr>
          <w:rFonts w:ascii="Arial" w:cs="Arial" w:eastAsia="Arial" w:hAnsi="Arial"/>
          <w:sz w:val="20"/>
          <w:szCs w:val="20"/>
          <w:color w:val="auto"/>
        </w:rPr>
      </w:pPr>
    </w:p>
    <w:p>
      <w:pPr>
        <w:ind w:left="1640" w:hanging="447"/>
        <w:spacing w:after="0"/>
        <w:tabs>
          <w:tab w:leader="none" w:pos="1640" w:val="left"/>
        </w:tabs>
        <w:numPr>
          <w:ilvl w:val="0"/>
          <w:numId w:val="41"/>
        </w:numPr>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Voting Securities</w:t>
      </w:r>
      <w:r>
        <w:rPr>
          <w:rFonts w:ascii="Arial" w:cs="Arial" w:eastAsia="Arial" w:hAnsi="Arial"/>
          <w:sz w:val="19"/>
          <w:szCs w:val="19"/>
          <w:color w:val="auto"/>
        </w:rPr>
        <w:t>” means any securities of the Company that vote generally in the election of directors.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63" w:right="239" w:bottom="1440" w:gutter="0" w:footer="0" w:header="0"/>
        </w:sectPr>
      </w:pPr>
    </w:p>
    <w:bookmarkStart w:id="105" w:name="page106"/>
    <w:bookmarkEnd w:id="105"/>
    <w:p>
      <w:pPr>
        <w:jc w:val="both"/>
        <w:ind w:firstLine="596"/>
        <w:spacing w:after="0" w:line="292" w:lineRule="auto"/>
        <w:tabs>
          <w:tab w:leader="none" w:pos="966"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Subject to the terms of this Agreement, the Company shall indemnify Indemnitee, to the fullest extent permitted by the laws of the State of Delaware in effect on the date hereof, or as such laws may from time to time hereafter be amended to increase the scope of such permitted indemnification, against any and all Losses if Indemnitee was or is or becomes a party to or participant in, or is threatened to be made a party to or participant in, any Claim by reason of or arising in part out of an Indemnifiable Event, including, without limitation, Claims brought by or in the right of the Company, Claims brought by third parties, and Claims in which the Indemnitee is solely a witness.</w:t>
      </w:r>
    </w:p>
    <w:p>
      <w:pPr>
        <w:spacing w:after="0" w:line="141" w:lineRule="exact"/>
        <w:rPr>
          <w:rFonts w:ascii="Arial" w:cs="Arial" w:eastAsia="Arial" w:hAnsi="Arial"/>
          <w:sz w:val="17"/>
          <w:szCs w:val="17"/>
          <w:color w:val="auto"/>
        </w:rPr>
      </w:pPr>
    </w:p>
    <w:p>
      <w:pPr>
        <w:jc w:val="both"/>
        <w:ind w:firstLine="596"/>
        <w:spacing w:after="0" w:line="264" w:lineRule="auto"/>
        <w:tabs>
          <w:tab w:leader="none" w:pos="97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Advancement of Expenses</w:t>
      </w:r>
      <w:r>
        <w:rPr>
          <w:rFonts w:ascii="Arial" w:cs="Arial" w:eastAsia="Arial" w:hAnsi="Arial"/>
          <w:sz w:val="18"/>
          <w:szCs w:val="18"/>
          <w:color w:val="auto"/>
        </w:rPr>
        <w:t>. Indemnitee shall have the right to advancement by the Company, prior to the final disposition of any Claim by final adjudication to which there are no further rights of appeal, of any and all Expenses actually and reasonably paid or incurred by Indemnitee in connection with any Claim arising out of an Indemnifiable Event. Indemnitee’s right to such advancement is not subject to the satisfaction of any standard of conduct. Without limiting the generality or effect of the foregoing, within twenty (20) calendar days after any request by Indemnitee, the Company shall, in accordance with such request, (a) pay such Expenses on behalf of Indemnitee, (b) advance to Indemnitee funds in an amount sufficient to pay such Expenses, or (c) reimburse Indemnitee for such Expenses. In connection with any request for Expense Advances, Indemnitee shall not be required to provide any documentation or information to the extent that the provision thereof would undermine or otherwise jeopardize attorney-client privilege. Execution and delivery to the Company of this Agreement by Indemnitee constitutes an undertaking by the Indemnitee, and Indemnitee hereby agrees, to repay any amounts paid, advanced or reimbursed by the Company pursuant to this Section 4 in respect of Expenses relating to, arising out of or resulting from any Claim in respect of which it shall be determined, pursuant to Section 10, following the final disposition of such Claim, that Indemnitee is not entitled to indemnification hereunder. No other form of undertaking shall be required other than the execution of this Agreement. Indemnitee’s obligation to reimburse the Company for Expense Advances shall be unsecured and no interest shall be charged thereon.</w:t>
      </w:r>
    </w:p>
    <w:p>
      <w:pPr>
        <w:spacing w:after="0" w:line="161" w:lineRule="exact"/>
        <w:rPr>
          <w:rFonts w:ascii="Arial" w:cs="Arial" w:eastAsia="Arial" w:hAnsi="Arial"/>
          <w:sz w:val="18"/>
          <w:szCs w:val="18"/>
          <w:color w:val="auto"/>
        </w:rPr>
      </w:pPr>
    </w:p>
    <w:p>
      <w:pPr>
        <w:jc w:val="both"/>
        <w:ind w:firstLine="596"/>
        <w:spacing w:after="0" w:line="250" w:lineRule="auto"/>
        <w:tabs>
          <w:tab w:leader="none" w:pos="1115"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Indemnification for Expenses in Enforcing Rights</w:t>
      </w:r>
      <w:r>
        <w:rPr>
          <w:rFonts w:ascii="Arial" w:cs="Arial" w:eastAsia="Arial" w:hAnsi="Arial"/>
          <w:sz w:val="19"/>
          <w:szCs w:val="19"/>
          <w:color w:val="auto"/>
        </w:rPr>
        <w:t>. To the fullest extent allowable under applicable law, the Company shall also indemnify against, and, if requested by Indemnitee, shall advance to Indemnitee subject to and in accordance with Section 4, any Expenses actually and reasonably paid or incurred by Indemnitee in connection with any action or proceeding by Indemnitee for (a) indemnification or reimbursement or advance payment of Expenses by the Company under any provision of this Agreement, or under any other agreement or provision of the Constituent Documents now or hereafter in effect relating to Claims relating to Indemnifiable Events, and/or (b) recovery under any directors’ and officers’ liability insurance policies maintained by the Company. However, in the event that Indemnitee is ultimately determined not to be entitled to such indemnification or insurance recovery, as the case may be, then all amounts advanced under this Section 5 shall be repaid. Indemnitee shall be required to reimburse the Company in the event that a final judicial determination is made that such action brought by Indemnitee was frivolous or not made in good faith.</w:t>
      </w:r>
    </w:p>
    <w:p>
      <w:pPr>
        <w:spacing w:after="0" w:line="177" w:lineRule="exact"/>
        <w:rPr>
          <w:rFonts w:ascii="Arial" w:cs="Arial" w:eastAsia="Arial" w:hAnsi="Arial"/>
          <w:sz w:val="19"/>
          <w:szCs w:val="19"/>
          <w:color w:val="auto"/>
        </w:rPr>
      </w:pPr>
    </w:p>
    <w:p>
      <w:pPr>
        <w:jc w:val="both"/>
        <w:ind w:firstLine="596"/>
        <w:spacing w:after="0" w:line="265" w:lineRule="auto"/>
        <w:tabs>
          <w:tab w:leader="none" w:pos="991"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Partial Indemnity</w:t>
      </w:r>
      <w:r>
        <w:rPr>
          <w:rFonts w:ascii="Arial" w:cs="Arial" w:eastAsia="Arial" w:hAnsi="Arial"/>
          <w:sz w:val="19"/>
          <w:szCs w:val="19"/>
          <w:color w:val="auto"/>
        </w:rPr>
        <w:t>. If Indemnitee is entitled under any provision of this Agreement to indemnification by the Company for a portion of any Losses in respect of a Claim related to an Indemnifiable Event but not for the total amount thereof, the Company shall nevertheless indemnify Indemnitee for the portion thereof to which Indemnitee is entitled.</w:t>
      </w:r>
    </w:p>
    <w:p>
      <w:pPr>
        <w:spacing w:after="0" w:line="159" w:lineRule="exact"/>
        <w:rPr>
          <w:rFonts w:ascii="Arial" w:cs="Arial" w:eastAsia="Arial" w:hAnsi="Arial"/>
          <w:sz w:val="19"/>
          <w:szCs w:val="19"/>
          <w:color w:val="auto"/>
        </w:rPr>
      </w:pPr>
    </w:p>
    <w:p>
      <w:pPr>
        <w:ind w:firstLine="596"/>
        <w:spacing w:after="0" w:line="314" w:lineRule="auto"/>
        <w:tabs>
          <w:tab w:leader="none" w:pos="106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Contribution in the Event of Joint Liability</w:t>
      </w:r>
      <w:r>
        <w:rPr>
          <w:rFonts w:ascii="Arial" w:cs="Arial" w:eastAsia="Arial" w:hAnsi="Arial"/>
          <w:sz w:val="18"/>
          <w:szCs w:val="18"/>
          <w:color w:val="auto"/>
        </w:rPr>
        <w:t>. To the fullest extent permissible under applicable law, if the indemnification and hold harmless rights provided for in this Agreement are unavailable to Indemnitee in whole or in part for any reason whatsoever, the Company,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63" w:right="239" w:bottom="1440" w:gutter="0" w:footer="0" w:header="0"/>
        </w:sectPr>
      </w:pPr>
    </w:p>
    <w:bookmarkStart w:id="106" w:name="page107"/>
    <w:bookmarkEnd w:id="106"/>
    <w:p>
      <w:pPr>
        <w:jc w:val="both"/>
        <w:spacing w:after="0" w:line="251" w:lineRule="auto"/>
        <w:rPr>
          <w:sz w:val="20"/>
          <w:szCs w:val="20"/>
          <w:color w:val="auto"/>
        </w:rPr>
      </w:pPr>
      <w:r>
        <w:rPr>
          <w:rFonts w:ascii="Arial" w:cs="Arial" w:eastAsia="Arial" w:hAnsi="Arial"/>
          <w:sz w:val="19"/>
          <w:szCs w:val="19"/>
          <w:color w:val="auto"/>
        </w:rPr>
        <w:t>in lieu of indemnifying and holding harmless Indemnitee, shall pay, in the first instance, the entire amount incurred by Indemnitee, whether for judgments, liabilities, fines, penalties, amounts paid or to be paid in settlement and/or for Expenses, in connection with any Indemnifiable Event, in such proportion as is deemed fair and reasonable in light of all of the circumstances of such Indemnifiable Event in order to reflect (i) the relative benefits received by the Company and Indemnitee as a result of the event(s) and/or transaction(s) giving cause to such proceeding; and/or (ii) the relative fault of the Company (and its directors, officers, employees, trustees, fiduciaries and agents) and Indemnitee in connection with such event(s) and/or transaction(s).</w:t>
      </w:r>
    </w:p>
    <w:p>
      <w:pPr>
        <w:spacing w:after="0" w:line="171" w:lineRule="exact"/>
        <w:rPr>
          <w:sz w:val="20"/>
          <w:szCs w:val="20"/>
          <w:color w:val="auto"/>
        </w:rPr>
      </w:pPr>
    </w:p>
    <w:p>
      <w:pPr>
        <w:ind w:left="960" w:hanging="364"/>
        <w:spacing w:after="0"/>
        <w:tabs>
          <w:tab w:leader="none" w:pos="96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Notification and Defense of Claims</w:t>
      </w:r>
      <w:r>
        <w:rPr>
          <w:rFonts w:ascii="Arial" w:cs="Arial" w:eastAsia="Arial" w:hAnsi="Arial"/>
          <w:sz w:val="19"/>
          <w:szCs w:val="19"/>
          <w:color w:val="auto"/>
        </w:rPr>
        <w:t>.</w:t>
      </w:r>
    </w:p>
    <w:p>
      <w:pPr>
        <w:spacing w:after="0" w:line="229" w:lineRule="exact"/>
        <w:rPr>
          <w:rFonts w:ascii="Arial" w:cs="Arial" w:eastAsia="Arial" w:hAnsi="Arial"/>
          <w:sz w:val="19"/>
          <w:szCs w:val="19"/>
          <w:color w:val="auto"/>
        </w:rPr>
      </w:pPr>
    </w:p>
    <w:p>
      <w:pPr>
        <w:jc w:val="both"/>
        <w:ind w:firstLine="1193"/>
        <w:spacing w:after="0" w:line="265" w:lineRule="auto"/>
        <w:tabs>
          <w:tab w:leader="none" w:pos="1655" w:val="left"/>
        </w:tabs>
        <w:numPr>
          <w:ilvl w:val="1"/>
          <w:numId w:val="43"/>
        </w:numPr>
        <w:rPr>
          <w:rFonts w:ascii="Arial" w:cs="Arial" w:eastAsia="Arial" w:hAnsi="Arial"/>
          <w:sz w:val="20"/>
          <w:szCs w:val="20"/>
          <w:color w:val="auto"/>
        </w:rPr>
      </w:pPr>
      <w:r>
        <w:rPr>
          <w:rFonts w:ascii="Arial" w:cs="Arial" w:eastAsia="Arial" w:hAnsi="Arial"/>
          <w:sz w:val="19"/>
          <w:szCs w:val="19"/>
          <w:u w:val="single" w:color="auto"/>
          <w:color w:val="auto"/>
        </w:rPr>
        <w:t>Notification of Claims</w:t>
      </w:r>
      <w:r>
        <w:rPr>
          <w:rFonts w:ascii="Arial" w:cs="Arial" w:eastAsia="Arial" w:hAnsi="Arial"/>
          <w:sz w:val="19"/>
          <w:szCs w:val="19"/>
          <w:color w:val="auto"/>
        </w:rPr>
        <w:t>. Indemnitee shall notify the Company in writing as soon as practicable of any Claim which could relate to an Indemnifiable Event or for which Indemnitee could seek Expense Advances, including a brief description (based upon information then available to Indemnitee) of the nature of, and the facts underlying, such Claim. The failure by Indemnitee to timely notify the Company hereunder shall not relieve the Company from any liability hereunder other than to the extent the Company’s ability to participate in the defense of such claim was materially and adversely prejudiced by such failure.</w:t>
      </w:r>
    </w:p>
    <w:p>
      <w:pPr>
        <w:spacing w:after="0" w:line="173" w:lineRule="exact"/>
        <w:rPr>
          <w:rFonts w:ascii="Arial" w:cs="Arial" w:eastAsia="Arial" w:hAnsi="Arial"/>
          <w:sz w:val="20"/>
          <w:szCs w:val="20"/>
          <w:color w:val="auto"/>
        </w:rPr>
      </w:pPr>
    </w:p>
    <w:p>
      <w:pPr>
        <w:jc w:val="both"/>
        <w:ind w:firstLine="1193"/>
        <w:spacing w:after="0" w:line="277" w:lineRule="auto"/>
        <w:tabs>
          <w:tab w:leader="none" w:pos="1641" w:val="left"/>
        </w:tabs>
        <w:numPr>
          <w:ilvl w:val="1"/>
          <w:numId w:val="43"/>
        </w:numPr>
        <w:rPr>
          <w:rFonts w:ascii="Arial" w:cs="Arial" w:eastAsia="Arial" w:hAnsi="Arial"/>
          <w:sz w:val="19"/>
          <w:szCs w:val="19"/>
          <w:color w:val="auto"/>
        </w:rPr>
      </w:pPr>
      <w:r>
        <w:rPr>
          <w:rFonts w:ascii="Arial" w:cs="Arial" w:eastAsia="Arial" w:hAnsi="Arial"/>
          <w:sz w:val="18"/>
          <w:szCs w:val="18"/>
          <w:u w:val="single" w:color="auto"/>
          <w:color w:val="auto"/>
        </w:rPr>
        <w:t>Defense of Claims</w:t>
      </w:r>
      <w:r>
        <w:rPr>
          <w:rFonts w:ascii="Arial" w:cs="Arial" w:eastAsia="Arial" w:hAnsi="Arial"/>
          <w:sz w:val="18"/>
          <w:szCs w:val="18"/>
          <w:color w:val="auto"/>
        </w:rPr>
        <w:t>. The Company shall be entitled to participate in the defense of any Claim relating to an Indemnifiable Event at its own expense and, except as otherwise provided below, to the extent the Company so wishes, it may assume the defense thereof with counsel reasonably satisfactory to Indemnitee. After notice from the Company to Indemnitee of its election to assume the defense of any such Claim,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 Claim, but all Expenses related to such counsel incurred after notice from the Company of its assumption of the defense shall be at Indemnitee’s own expense; provided, however, that if (i) Indemnitee’s employment of its own legal counsel has been authorized by the Company, (ii) Indemnitee’s counsel has reasonably determined that there may be a conflict of interest between Indemnitee and the Company in the defense of such Claim, (iii) after a Change in Control, Indemnitee’s employment of its own counsel has been approved by the Independent Counsel or (iv) the Company shall not in fact have employed counsel to assume the defense of such Claim, then Indemnitee shall be entitled to retain its own separate counsel (but not more than one law firm plus, if applicable, local counsel in respect of any such Claim) and all Expenses related to such separate counsel shall be borne by the Company.</w:t>
      </w:r>
    </w:p>
    <w:p>
      <w:pPr>
        <w:spacing w:after="0" w:line="154" w:lineRule="exact"/>
        <w:rPr>
          <w:rFonts w:ascii="Arial" w:cs="Arial" w:eastAsia="Arial" w:hAnsi="Arial"/>
          <w:sz w:val="19"/>
          <w:szCs w:val="19"/>
          <w:color w:val="auto"/>
        </w:rPr>
      </w:pPr>
    </w:p>
    <w:p>
      <w:pPr>
        <w:jc w:val="both"/>
        <w:ind w:firstLine="596"/>
        <w:spacing w:after="0" w:line="255" w:lineRule="auto"/>
        <w:tabs>
          <w:tab w:leader="none" w:pos="953"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Procedure Upon Application for Indemnification</w:t>
      </w:r>
      <w:r>
        <w:rPr>
          <w:rFonts w:ascii="Arial" w:cs="Arial" w:eastAsia="Arial" w:hAnsi="Arial"/>
          <w:sz w:val="19"/>
          <w:szCs w:val="19"/>
          <w:color w:val="auto"/>
        </w:rPr>
        <w:t>. In order to obtain indemnification pursuant to this Agreement, Indemnitee shall submit to the Company a written request therefor, including in such request such documentation and information as is reasonably available to Indemnitee and is reasonably necessary to determine whether and to what extent Indemnitee is entitled to indemnification following the final disposition of the Claim. Indemnification shall be made insofar as the Company determines Indemnitee is entitled to indemnification in accordance with Section 10 below.</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63" w:right="239" w:bottom="1440" w:gutter="0" w:footer="0" w:header="0"/>
        </w:sectPr>
      </w:pPr>
    </w:p>
    <w:bookmarkStart w:id="107" w:name="page108"/>
    <w:bookmarkEnd w:id="107"/>
    <w:p>
      <w:pPr>
        <w:ind w:left="1040" w:hanging="444"/>
        <w:spacing w:after="0"/>
        <w:tabs>
          <w:tab w:leader="none" w:pos="104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Determination of Right to Indemnification</w:t>
      </w:r>
      <w:r>
        <w:rPr>
          <w:rFonts w:ascii="Arial" w:cs="Arial" w:eastAsia="Arial" w:hAnsi="Arial"/>
          <w:sz w:val="19"/>
          <w:szCs w:val="19"/>
          <w:color w:val="auto"/>
        </w:rPr>
        <w:t>.</w:t>
      </w:r>
    </w:p>
    <w:p>
      <w:pPr>
        <w:spacing w:after="0" w:line="229" w:lineRule="exact"/>
        <w:rPr>
          <w:rFonts w:ascii="Arial" w:cs="Arial" w:eastAsia="Arial" w:hAnsi="Arial"/>
          <w:sz w:val="19"/>
          <w:szCs w:val="19"/>
          <w:color w:val="auto"/>
        </w:rPr>
      </w:pPr>
    </w:p>
    <w:p>
      <w:pPr>
        <w:ind w:left="1620" w:hanging="427"/>
        <w:spacing w:after="0"/>
        <w:tabs>
          <w:tab w:leader="none" w:pos="1620" w:val="left"/>
        </w:tabs>
        <w:numPr>
          <w:ilvl w:val="1"/>
          <w:numId w:val="44"/>
        </w:numPr>
        <w:rPr>
          <w:rFonts w:ascii="Arial" w:cs="Arial" w:eastAsia="Arial" w:hAnsi="Arial"/>
          <w:sz w:val="20"/>
          <w:szCs w:val="20"/>
          <w:color w:val="auto"/>
        </w:rPr>
      </w:pPr>
      <w:r>
        <w:rPr>
          <w:rFonts w:ascii="Arial" w:cs="Arial" w:eastAsia="Arial" w:hAnsi="Arial"/>
          <w:sz w:val="19"/>
          <w:szCs w:val="19"/>
          <w:u w:val="single" w:color="auto"/>
          <w:color w:val="auto"/>
        </w:rPr>
        <w:t>Mandatory Indemnification; Indemnification as a Witness</w:t>
      </w:r>
      <w:r>
        <w:rPr>
          <w:rFonts w:ascii="Arial" w:cs="Arial" w:eastAsia="Arial" w:hAnsi="Arial"/>
          <w:sz w:val="19"/>
          <w:szCs w:val="19"/>
          <w:color w:val="auto"/>
        </w:rPr>
        <w:t>.</w:t>
      </w:r>
    </w:p>
    <w:p>
      <w:pPr>
        <w:spacing w:after="0" w:line="217" w:lineRule="exact"/>
        <w:rPr>
          <w:rFonts w:ascii="Arial" w:cs="Arial" w:eastAsia="Arial" w:hAnsi="Arial"/>
          <w:sz w:val="20"/>
          <w:szCs w:val="20"/>
          <w:color w:val="auto"/>
        </w:rPr>
      </w:pPr>
    </w:p>
    <w:p>
      <w:pPr>
        <w:jc w:val="both"/>
        <w:ind w:firstLine="1790"/>
        <w:spacing w:after="0" w:line="267" w:lineRule="auto"/>
        <w:tabs>
          <w:tab w:leader="none" w:pos="2306" w:val="left"/>
        </w:tabs>
        <w:numPr>
          <w:ilvl w:val="2"/>
          <w:numId w:val="44"/>
        </w:numPr>
        <w:rPr>
          <w:rFonts w:ascii="Arial" w:cs="Arial" w:eastAsia="Arial" w:hAnsi="Arial"/>
          <w:sz w:val="20"/>
          <w:szCs w:val="20"/>
          <w:color w:val="auto"/>
        </w:rPr>
      </w:pPr>
      <w:r>
        <w:rPr>
          <w:rFonts w:ascii="Arial" w:cs="Arial" w:eastAsia="Arial" w:hAnsi="Arial"/>
          <w:sz w:val="19"/>
          <w:szCs w:val="19"/>
          <w:u w:val="single" w:color="auto"/>
          <w:color w:val="auto"/>
        </w:rPr>
        <w:t>Mandatory Indemnification</w:t>
      </w:r>
      <w:r>
        <w:rPr>
          <w:rFonts w:ascii="Arial" w:cs="Arial" w:eastAsia="Arial" w:hAnsi="Arial"/>
          <w:sz w:val="19"/>
          <w:szCs w:val="19"/>
          <w:color w:val="auto"/>
        </w:rPr>
        <w:t>. To the extent that Indemnitee shall have been successful on the merits or otherwise in defense of any Claim relating to an Indemnifiable Event or any portion thereof or in defense of any issue or matter therein, including without limitation dismissal without prejudice or settlement of the Claim (subject to the terms of Section 12 below), Indemnitee shall be indemnified against all Losses relating to such Claim in accordance with Section 3 to the fullest extent allowable by law.</w:t>
      </w:r>
    </w:p>
    <w:p>
      <w:pPr>
        <w:spacing w:after="0" w:line="171" w:lineRule="exact"/>
        <w:rPr>
          <w:rFonts w:ascii="Arial" w:cs="Arial" w:eastAsia="Arial" w:hAnsi="Arial"/>
          <w:sz w:val="20"/>
          <w:szCs w:val="20"/>
          <w:color w:val="auto"/>
        </w:rPr>
      </w:pPr>
    </w:p>
    <w:p>
      <w:pPr>
        <w:jc w:val="both"/>
        <w:ind w:firstLine="1790"/>
        <w:spacing w:after="0" w:line="272" w:lineRule="auto"/>
        <w:tabs>
          <w:tab w:leader="none" w:pos="2250" w:val="left"/>
        </w:tabs>
        <w:numPr>
          <w:ilvl w:val="2"/>
          <w:numId w:val="44"/>
        </w:numPr>
        <w:rPr>
          <w:rFonts w:ascii="Arial" w:cs="Arial" w:eastAsia="Arial" w:hAnsi="Arial"/>
          <w:sz w:val="20"/>
          <w:szCs w:val="20"/>
          <w:color w:val="auto"/>
        </w:rPr>
      </w:pPr>
      <w:r>
        <w:rPr>
          <w:rFonts w:ascii="Arial" w:cs="Arial" w:eastAsia="Arial" w:hAnsi="Arial"/>
          <w:sz w:val="19"/>
          <w:szCs w:val="19"/>
          <w:u w:val="single" w:color="auto"/>
          <w:color w:val="auto"/>
        </w:rPr>
        <w:t>Indemnification as a Witness</w:t>
      </w:r>
      <w:r>
        <w:rPr>
          <w:rFonts w:ascii="Arial" w:cs="Arial" w:eastAsia="Arial" w:hAnsi="Arial"/>
          <w:sz w:val="19"/>
          <w:szCs w:val="19"/>
          <w:color w:val="auto"/>
        </w:rPr>
        <w:t>. To the extent that Indemnitee’s involvement in a Claim relating to an Indemnifiable Event is to prepare to serve and serve as a witness, and not as a party, the Indemnitee shall be indemnified against all Losses incurred in connection therewith to the fullest extent allowable by law.</w:t>
      </w:r>
    </w:p>
    <w:p>
      <w:pPr>
        <w:spacing w:after="0" w:line="164" w:lineRule="exact"/>
        <w:rPr>
          <w:rFonts w:ascii="Arial" w:cs="Arial" w:eastAsia="Arial" w:hAnsi="Arial"/>
          <w:sz w:val="20"/>
          <w:szCs w:val="20"/>
          <w:color w:val="auto"/>
        </w:rPr>
      </w:pPr>
    </w:p>
    <w:p>
      <w:pPr>
        <w:jc w:val="both"/>
        <w:ind w:firstLine="1193"/>
        <w:spacing w:after="0" w:line="308" w:lineRule="auto"/>
        <w:tabs>
          <w:tab w:leader="none" w:pos="1666" w:val="left"/>
        </w:tabs>
        <w:numPr>
          <w:ilvl w:val="1"/>
          <w:numId w:val="44"/>
        </w:numPr>
        <w:rPr>
          <w:rFonts w:ascii="Arial" w:cs="Arial" w:eastAsia="Arial" w:hAnsi="Arial"/>
          <w:sz w:val="18"/>
          <w:szCs w:val="18"/>
          <w:color w:val="auto"/>
        </w:rPr>
      </w:pPr>
      <w:r>
        <w:rPr>
          <w:rFonts w:ascii="Arial" w:cs="Arial" w:eastAsia="Arial" w:hAnsi="Arial"/>
          <w:sz w:val="17"/>
          <w:szCs w:val="17"/>
          <w:u w:val="single" w:color="auto"/>
          <w:color w:val="auto"/>
        </w:rPr>
        <w:t>Standard of Conduct</w:t>
      </w:r>
      <w:r>
        <w:rPr>
          <w:rFonts w:ascii="Arial" w:cs="Arial" w:eastAsia="Arial" w:hAnsi="Arial"/>
          <w:sz w:val="17"/>
          <w:szCs w:val="17"/>
          <w:color w:val="auto"/>
        </w:rPr>
        <w:t>. To the extent that the provisions of Section 10(a) are inapplicable to a Claim related to an Indemnifiable Event that shall have been finally disposed of, any determination of whether Indemnitee has satisfied any applicable standard of conduct under Delaware law that is a legally required condition to indemnification of Indemnitee hereunder against Losses relating to such Claim and any determination that Expense Advances must be repaid to the Company (a “</w:t>
      </w:r>
      <w:r>
        <w:rPr>
          <w:rFonts w:ascii="Arial" w:cs="Arial" w:eastAsia="Arial" w:hAnsi="Arial"/>
          <w:sz w:val="17"/>
          <w:szCs w:val="17"/>
          <w:b w:val="1"/>
          <w:bCs w:val="1"/>
          <w:color w:val="auto"/>
        </w:rPr>
        <w:t>Standard of Conduct Determination</w:t>
      </w:r>
      <w:r>
        <w:rPr>
          <w:rFonts w:ascii="Arial" w:cs="Arial" w:eastAsia="Arial" w:hAnsi="Arial"/>
          <w:sz w:val="17"/>
          <w:szCs w:val="17"/>
          <w:color w:val="auto"/>
        </w:rPr>
        <w:t>”) shall be made as follows:</w:t>
      </w:r>
    </w:p>
    <w:p>
      <w:pPr>
        <w:spacing w:after="0" w:line="138" w:lineRule="exact"/>
        <w:rPr>
          <w:rFonts w:ascii="Arial" w:cs="Arial" w:eastAsia="Arial" w:hAnsi="Arial"/>
          <w:sz w:val="18"/>
          <w:szCs w:val="18"/>
          <w:color w:val="auto"/>
        </w:rPr>
      </w:pPr>
    </w:p>
    <w:p>
      <w:pPr>
        <w:jc w:val="both"/>
        <w:ind w:firstLine="1790"/>
        <w:spacing w:after="0" w:line="267" w:lineRule="auto"/>
        <w:tabs>
          <w:tab w:leader="none" w:pos="2194" w:val="left"/>
        </w:tabs>
        <w:numPr>
          <w:ilvl w:val="2"/>
          <w:numId w:val="44"/>
        </w:numPr>
        <w:rPr>
          <w:rFonts w:ascii="Arial" w:cs="Arial" w:eastAsia="Arial" w:hAnsi="Arial"/>
          <w:sz w:val="20"/>
          <w:szCs w:val="20"/>
          <w:color w:val="auto"/>
        </w:rPr>
      </w:pPr>
      <w:r>
        <w:rPr>
          <w:rFonts w:ascii="Arial" w:cs="Arial" w:eastAsia="Arial" w:hAnsi="Arial"/>
          <w:sz w:val="19"/>
          <w:szCs w:val="19"/>
          <w:color w:val="auto"/>
        </w:rPr>
        <w:t>if no Change in Control has occurred, (A) by a majority vote of the Disinterested Directors, even if less than a quorum of the Board, (B) by a committee of Disinterested Directors designated by a majority vote of the Disinterested Directors, even though less than a quorum or (C) if there are no such Disinterested Directors, by Independent Counsel in a written opinion addressed to the Board, a copy of which shall be delivered to Indemnitee; and</w:t>
      </w:r>
    </w:p>
    <w:p>
      <w:pPr>
        <w:spacing w:after="0" w:line="171" w:lineRule="exact"/>
        <w:rPr>
          <w:rFonts w:ascii="Arial" w:cs="Arial" w:eastAsia="Arial" w:hAnsi="Arial"/>
          <w:sz w:val="20"/>
          <w:szCs w:val="20"/>
          <w:color w:val="auto"/>
        </w:rPr>
      </w:pPr>
    </w:p>
    <w:p>
      <w:pPr>
        <w:jc w:val="both"/>
        <w:ind w:firstLine="1790"/>
        <w:spacing w:after="0" w:line="272" w:lineRule="auto"/>
        <w:tabs>
          <w:tab w:leader="none" w:pos="2349" w:val="left"/>
        </w:tabs>
        <w:numPr>
          <w:ilvl w:val="2"/>
          <w:numId w:val="44"/>
        </w:numPr>
        <w:rPr>
          <w:rFonts w:ascii="Arial" w:cs="Arial" w:eastAsia="Arial" w:hAnsi="Arial"/>
          <w:sz w:val="20"/>
          <w:szCs w:val="20"/>
          <w:color w:val="auto"/>
        </w:rPr>
      </w:pPr>
      <w:r>
        <w:rPr>
          <w:rFonts w:ascii="Arial" w:cs="Arial" w:eastAsia="Arial" w:hAnsi="Arial"/>
          <w:sz w:val="19"/>
          <w:szCs w:val="19"/>
          <w:color w:val="auto"/>
        </w:rPr>
        <w:t>if a Change in Control shall have occurred, (A) if the Indemnitee so requests in writing, by a majority vote of the Disinterested Directors, even if less than a quorum of the Board or (B) otherwise, by Independent Counsel in a written opinion addressed to the Board, a copy of which shall be delivered to Indemnitee.</w:t>
      </w:r>
    </w:p>
    <w:p>
      <w:pPr>
        <w:spacing w:after="0" w:line="152" w:lineRule="exact"/>
        <w:rPr>
          <w:sz w:val="20"/>
          <w:szCs w:val="20"/>
          <w:color w:val="auto"/>
        </w:rPr>
      </w:pPr>
    </w:p>
    <w:p>
      <w:pPr>
        <w:jc w:val="both"/>
        <w:ind w:firstLine="1791"/>
        <w:spacing w:after="0" w:line="258" w:lineRule="auto"/>
        <w:rPr>
          <w:sz w:val="20"/>
          <w:szCs w:val="20"/>
          <w:color w:val="auto"/>
        </w:rPr>
      </w:pPr>
      <w:r>
        <w:rPr>
          <w:rFonts w:ascii="Arial" w:cs="Arial" w:eastAsia="Arial" w:hAnsi="Arial"/>
          <w:sz w:val="19"/>
          <w:szCs w:val="19"/>
          <w:color w:val="auto"/>
        </w:rPr>
        <w:t>The Company shall indemnify and hold harmless Indemnitee against and, if requested by Indemnitee, shall reimburse Indemnitee for, or advance to Indemnitee, within twenty (20) calendar days of such request, any and all Expenses incurred by Indemnitee in cooperating with the Person or Persons making such Standard of Conduct Determination.</w:t>
      </w:r>
    </w:p>
    <w:p>
      <w:pPr>
        <w:spacing w:after="0" w:line="79" w:lineRule="exact"/>
        <w:rPr>
          <w:sz w:val="20"/>
          <w:szCs w:val="20"/>
          <w:color w:val="auto"/>
        </w:rPr>
      </w:pPr>
    </w:p>
    <w:p>
      <w:pPr>
        <w:jc w:val="both"/>
        <w:ind w:firstLine="1193"/>
        <w:spacing w:after="0" w:line="263" w:lineRule="auto"/>
        <w:tabs>
          <w:tab w:leader="none" w:pos="1692" w:val="left"/>
        </w:tabs>
        <w:numPr>
          <w:ilvl w:val="0"/>
          <w:numId w:val="45"/>
        </w:numPr>
        <w:rPr>
          <w:rFonts w:ascii="Arial" w:cs="Arial" w:eastAsia="Arial" w:hAnsi="Arial"/>
          <w:sz w:val="20"/>
          <w:szCs w:val="20"/>
          <w:color w:val="auto"/>
        </w:rPr>
      </w:pPr>
      <w:r>
        <w:rPr>
          <w:rFonts w:ascii="Arial" w:cs="Arial" w:eastAsia="Arial" w:hAnsi="Arial"/>
          <w:sz w:val="19"/>
          <w:szCs w:val="19"/>
          <w:u w:val="single" w:color="auto"/>
          <w:color w:val="auto"/>
        </w:rPr>
        <w:t>Making the Standard of Conduct Determination</w:t>
      </w:r>
      <w:r>
        <w:rPr>
          <w:rFonts w:ascii="Arial" w:cs="Arial" w:eastAsia="Arial" w:hAnsi="Arial"/>
          <w:sz w:val="19"/>
          <w:szCs w:val="19"/>
          <w:color w:val="auto"/>
        </w:rPr>
        <w:t>. The Company shall use its reasonable best efforts to cause any Standard of Conduct Determination required under Section 10(b) to be made as promptly as practicable. If the Person or Persons designated to make the Standard of Conduct Determination under Section 10(b) shall not have made a determination within thirty (30) calendar days after the later of (A) receipt by the Company of a written request from Indemnitee for indemnification pursuant to Section 9 (the date of such receipt being the “</w:t>
      </w:r>
      <w:r>
        <w:rPr>
          <w:rFonts w:ascii="Arial" w:cs="Arial" w:eastAsia="Arial" w:hAnsi="Arial"/>
          <w:sz w:val="19"/>
          <w:szCs w:val="19"/>
          <w:b w:val="1"/>
          <w:bCs w:val="1"/>
          <w:color w:val="auto"/>
        </w:rPr>
        <w:t>Notification Date</w:t>
      </w:r>
      <w:r>
        <w:rPr>
          <w:rFonts w:ascii="Arial" w:cs="Arial" w:eastAsia="Arial" w:hAnsi="Arial"/>
          <w:sz w:val="19"/>
          <w:szCs w:val="19"/>
          <w:color w:val="auto"/>
        </w:rPr>
        <w:t>”) and (B) the selection of an Independent Counsel, if such determination is to be made by Independent Counsel, then Indemnitee shall be deemed to have satisfied the applicable standard of conduct, absent (i) a misstatement by Indemnitee of a material fact, or an omission of a material fact necessary to make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899" w:right="239" w:bottom="1440" w:gutter="0" w:footer="0" w:header="0"/>
        </w:sectPr>
      </w:pPr>
    </w:p>
    <w:bookmarkStart w:id="108" w:name="page109"/>
    <w:bookmarkEnd w:id="108"/>
    <w:p>
      <w:pPr>
        <w:jc w:val="both"/>
        <w:spacing w:after="0" w:line="251" w:lineRule="auto"/>
        <w:rPr>
          <w:sz w:val="20"/>
          <w:szCs w:val="20"/>
          <w:color w:val="auto"/>
        </w:rPr>
      </w:pPr>
      <w:r>
        <w:rPr>
          <w:rFonts w:ascii="Arial" w:cs="Arial" w:eastAsia="Arial" w:hAnsi="Arial"/>
          <w:sz w:val="19"/>
          <w:szCs w:val="19"/>
          <w:color w:val="auto"/>
        </w:rPr>
        <w:t>Indemnitee’s statement not materially misleading, in connection with the request for indemnification, or (ii) a final judicial determination that any or all such indemnification is expressly prohibited under applicable law; provided, however, that such thirty (30) calendar day period may be extended for a reasonable time, not to exceed an additional fifteen (15) calendar days, if the Person or Persons making such determination in good faith requires such additional time to obtain or evaluate information relating thereto. Notwithstanding anything in this Agreement to the contrary, no determination as to entitlement of Indemnitee to indemnification under this Agreement shall be required to be made prior to the final disposition of any Claim.</w:t>
      </w:r>
    </w:p>
    <w:p>
      <w:pPr>
        <w:spacing w:after="0" w:line="184" w:lineRule="exact"/>
        <w:rPr>
          <w:sz w:val="20"/>
          <w:szCs w:val="20"/>
          <w:color w:val="auto"/>
        </w:rPr>
      </w:pPr>
    </w:p>
    <w:p>
      <w:pPr>
        <w:ind w:left="1640" w:hanging="447"/>
        <w:spacing w:after="0"/>
        <w:tabs>
          <w:tab w:leader="none" w:pos="1640" w:val="left"/>
        </w:tabs>
        <w:numPr>
          <w:ilvl w:val="0"/>
          <w:numId w:val="46"/>
        </w:numPr>
        <w:rPr>
          <w:rFonts w:ascii="Arial" w:cs="Arial" w:eastAsia="Arial" w:hAnsi="Arial"/>
          <w:sz w:val="20"/>
          <w:szCs w:val="20"/>
          <w:color w:val="auto"/>
        </w:rPr>
      </w:pPr>
      <w:r>
        <w:rPr>
          <w:rFonts w:ascii="Arial" w:cs="Arial" w:eastAsia="Arial" w:hAnsi="Arial"/>
          <w:sz w:val="19"/>
          <w:szCs w:val="19"/>
          <w:u w:val="single" w:color="auto"/>
          <w:color w:val="auto"/>
        </w:rPr>
        <w:t>Payment of Indemnification</w:t>
      </w:r>
      <w:r>
        <w:rPr>
          <w:rFonts w:ascii="Arial" w:cs="Arial" w:eastAsia="Arial" w:hAnsi="Arial"/>
          <w:sz w:val="19"/>
          <w:szCs w:val="19"/>
          <w:color w:val="auto"/>
        </w:rPr>
        <w:t>. If, in regard to any Losses:</w:t>
      </w:r>
    </w:p>
    <w:p>
      <w:pPr>
        <w:spacing w:after="0" w:line="217" w:lineRule="exact"/>
        <w:rPr>
          <w:rFonts w:ascii="Arial" w:cs="Arial" w:eastAsia="Arial" w:hAnsi="Arial"/>
          <w:sz w:val="20"/>
          <w:szCs w:val="20"/>
          <w:color w:val="auto"/>
        </w:rPr>
      </w:pPr>
    </w:p>
    <w:p>
      <w:pPr>
        <w:ind w:left="2200" w:hanging="410"/>
        <w:spacing w:after="0"/>
        <w:tabs>
          <w:tab w:leader="none" w:pos="2200" w:val="left"/>
        </w:tabs>
        <w:numPr>
          <w:ilvl w:val="1"/>
          <w:numId w:val="46"/>
        </w:numPr>
        <w:rPr>
          <w:rFonts w:ascii="Arial" w:cs="Arial" w:eastAsia="Arial" w:hAnsi="Arial"/>
          <w:sz w:val="20"/>
          <w:szCs w:val="20"/>
          <w:color w:val="auto"/>
        </w:rPr>
      </w:pPr>
      <w:r>
        <w:rPr>
          <w:rFonts w:ascii="Arial" w:cs="Arial" w:eastAsia="Arial" w:hAnsi="Arial"/>
          <w:sz w:val="19"/>
          <w:szCs w:val="19"/>
          <w:color w:val="auto"/>
        </w:rPr>
        <w:t>Indemnitee shall be entitled to indemnification pursuant to Section 10(a);</w:t>
      </w:r>
    </w:p>
    <w:p>
      <w:pPr>
        <w:spacing w:after="0" w:line="217" w:lineRule="exact"/>
        <w:rPr>
          <w:rFonts w:ascii="Arial" w:cs="Arial" w:eastAsia="Arial" w:hAnsi="Arial"/>
          <w:sz w:val="20"/>
          <w:szCs w:val="20"/>
          <w:color w:val="auto"/>
        </w:rPr>
      </w:pPr>
    </w:p>
    <w:p>
      <w:pPr>
        <w:ind w:left="2240" w:hanging="450"/>
        <w:spacing w:after="0"/>
        <w:tabs>
          <w:tab w:leader="none" w:pos="2240" w:val="left"/>
        </w:tabs>
        <w:numPr>
          <w:ilvl w:val="1"/>
          <w:numId w:val="46"/>
        </w:numPr>
        <w:rPr>
          <w:rFonts w:ascii="Arial" w:cs="Arial" w:eastAsia="Arial" w:hAnsi="Arial"/>
          <w:sz w:val="18"/>
          <w:szCs w:val="18"/>
          <w:color w:val="auto"/>
        </w:rPr>
      </w:pPr>
      <w:r>
        <w:rPr>
          <w:rFonts w:ascii="Arial" w:cs="Arial" w:eastAsia="Arial" w:hAnsi="Arial"/>
          <w:sz w:val="17"/>
          <w:szCs w:val="17"/>
          <w:color w:val="auto"/>
        </w:rPr>
        <w:t>no Standard of Conduct Determination is legally required as a condition to indemnification of Indemnitee hereunder; or</w:t>
      </w:r>
    </w:p>
    <w:p>
      <w:pPr>
        <w:spacing w:after="0" w:line="240" w:lineRule="exact"/>
        <w:rPr>
          <w:rFonts w:ascii="Arial" w:cs="Arial" w:eastAsia="Arial" w:hAnsi="Arial"/>
          <w:sz w:val="18"/>
          <w:szCs w:val="18"/>
          <w:color w:val="auto"/>
        </w:rPr>
      </w:pPr>
    </w:p>
    <w:p>
      <w:pPr>
        <w:ind w:left="2300" w:hanging="510"/>
        <w:spacing w:after="0"/>
        <w:tabs>
          <w:tab w:leader="none" w:pos="2300" w:val="left"/>
        </w:tabs>
        <w:numPr>
          <w:ilvl w:val="1"/>
          <w:numId w:val="46"/>
        </w:numPr>
        <w:rPr>
          <w:rFonts w:ascii="Arial" w:cs="Arial" w:eastAsia="Arial" w:hAnsi="Arial"/>
          <w:sz w:val="18"/>
          <w:szCs w:val="18"/>
          <w:color w:val="auto"/>
        </w:rPr>
      </w:pPr>
      <w:r>
        <w:rPr>
          <w:rFonts w:ascii="Arial" w:cs="Arial" w:eastAsia="Arial" w:hAnsi="Arial"/>
          <w:sz w:val="17"/>
          <w:szCs w:val="17"/>
          <w:color w:val="auto"/>
        </w:rPr>
        <w:t>Indemnitee has been determined or deemed pursuant to Section 10(b) or Section 10(c) to have satisfied the Standard of</w:t>
      </w:r>
    </w:p>
    <w:p>
      <w:pPr>
        <w:spacing w:after="0" w:line="4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Conduct Determination,</w:t>
      </w:r>
    </w:p>
    <w:p>
      <w:pPr>
        <w:spacing w:after="0" w:line="204" w:lineRule="exact"/>
        <w:rPr>
          <w:sz w:val="20"/>
          <w:szCs w:val="20"/>
          <w:color w:val="auto"/>
        </w:rPr>
      </w:pPr>
    </w:p>
    <w:p>
      <w:pPr>
        <w:ind w:firstLine="1791"/>
        <w:spacing w:after="0" w:line="300" w:lineRule="auto"/>
        <w:rPr>
          <w:sz w:val="20"/>
          <w:szCs w:val="20"/>
          <w:color w:val="auto"/>
        </w:rPr>
      </w:pPr>
      <w:r>
        <w:rPr>
          <w:rFonts w:ascii="Arial" w:cs="Arial" w:eastAsia="Arial" w:hAnsi="Arial"/>
          <w:sz w:val="18"/>
          <w:szCs w:val="18"/>
          <w:color w:val="auto"/>
        </w:rPr>
        <w:t>then the Company shall pay to Indemnitee, within twenty (20) calendar days after the later of (A) the Notification Date or (B) the earliest date on which the applicable criterion specified in clause (i), (ii) or (iii) is satisfied, an amount equal to such Losses.</w:t>
      </w:r>
    </w:p>
    <w:p>
      <w:pPr>
        <w:spacing w:after="0" w:line="42" w:lineRule="exact"/>
        <w:rPr>
          <w:sz w:val="20"/>
          <w:szCs w:val="20"/>
          <w:color w:val="auto"/>
        </w:rPr>
      </w:pPr>
    </w:p>
    <w:p>
      <w:pPr>
        <w:jc w:val="both"/>
        <w:ind w:firstLine="1193"/>
        <w:spacing w:after="0" w:line="293" w:lineRule="auto"/>
        <w:tabs>
          <w:tab w:leader="none" w:pos="1717" w:val="left"/>
        </w:tabs>
        <w:numPr>
          <w:ilvl w:val="0"/>
          <w:numId w:val="47"/>
        </w:numPr>
        <w:rPr>
          <w:rFonts w:ascii="Arial" w:cs="Arial" w:eastAsia="Arial" w:hAnsi="Arial"/>
          <w:sz w:val="18"/>
          <w:szCs w:val="18"/>
          <w:color w:val="auto"/>
        </w:rPr>
      </w:pPr>
      <w:r>
        <w:rPr>
          <w:rFonts w:ascii="Arial" w:cs="Arial" w:eastAsia="Arial" w:hAnsi="Arial"/>
          <w:sz w:val="17"/>
          <w:szCs w:val="17"/>
          <w:u w:val="single" w:color="auto"/>
          <w:color w:val="auto"/>
        </w:rPr>
        <w:t>Selection of Independent Counsel for Standard of Conduct Determination</w:t>
      </w:r>
      <w:r>
        <w:rPr>
          <w:rFonts w:ascii="Arial" w:cs="Arial" w:eastAsia="Arial" w:hAnsi="Arial"/>
          <w:sz w:val="17"/>
          <w:szCs w:val="17"/>
          <w:color w:val="auto"/>
        </w:rPr>
        <w:t>. If a Standard of Conduct Determination is to be made by Independent Counsel pursuant to Section 10(b)(i), the Independent Counsel shall be selected by the Board of Directors, and the Company shall give written notice to Indemnitee advising Indemnitee of the identity of the Independent Counsel so selected. If a Standard of Conduct Determination is to be made by the Independent Counsel pursuant to Section 10(b)(ii), the Independent Counsel shall be selected by Indemnitee, and Indemnitee shall give written notice to the Company advising it of the identity of the Independent Counsel so selected. In either case, Indemnitee or the Company, as applicable, may, within ten (10) calendar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Section 2, and the objection shall set forth with particularity the factual basis of such assertion. Absent a proper and timely objection, the individual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the introductory clause of this sentence and numbered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10(e) to make the Standard of Conduct Determination shall have been selected within twenty (20) calendar days after the Company gives its initial notice pursuant to the first sentence of this Section 10(e) or Indemnitee gives its initial notice pursuant to the second sentence of this Section 10(e), as the case may be, either the Company or Indemnitee may petition the Delaware Court to resolve any objection which shall have been made by the Company or Indemnitee to the other’s selection of Independent Counsel and/or to appoint as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63" w:right="239" w:bottom="1440" w:gutter="0" w:footer="0" w:header="0"/>
        </w:sectPr>
      </w:pPr>
    </w:p>
    <w:bookmarkStart w:id="109" w:name="page110"/>
    <w:bookmarkEnd w:id="109"/>
    <w:p>
      <w:pPr>
        <w:jc w:val="both"/>
        <w:spacing w:after="0" w:line="269" w:lineRule="auto"/>
        <w:rPr>
          <w:sz w:val="20"/>
          <w:szCs w:val="20"/>
          <w:color w:val="auto"/>
        </w:rPr>
      </w:pPr>
      <w:r>
        <w:rPr>
          <w:rFonts w:ascii="Arial" w:cs="Arial" w:eastAsia="Arial" w:hAnsi="Arial"/>
          <w:sz w:val="18"/>
          <w:szCs w:val="18"/>
          <w:color w:val="auto"/>
        </w:rPr>
        <w:t>Independent Counsel an individual or firm to be selected by the Court or such other person as the Court shall designate, and the individual or firm with respect to whom all objections are so resolved or the individual or firm so appointed will act as Independent Counsel. In all events, the Company shall pay all of the reasonable fees and expenses of the Independent Counsel incurred in connection with the Independent Counsel’s determination pursuant to Section 10(b) and shall fully indemnify and hold harmless such Independent Counsel against any and all expenses, claims, liabilities and damages arising out of or relating to this Agreement or its engagement pursuant hereto.</w:t>
      </w:r>
    </w:p>
    <w:p>
      <w:pPr>
        <w:spacing w:after="0" w:line="171" w:lineRule="exact"/>
        <w:rPr>
          <w:sz w:val="20"/>
          <w:szCs w:val="20"/>
          <w:color w:val="auto"/>
        </w:rPr>
      </w:pPr>
    </w:p>
    <w:p>
      <w:pPr>
        <w:ind w:left="1600" w:hanging="407"/>
        <w:spacing w:after="0"/>
        <w:tabs>
          <w:tab w:leader="none" w:pos="1600" w:val="left"/>
        </w:tabs>
        <w:numPr>
          <w:ilvl w:val="0"/>
          <w:numId w:val="48"/>
        </w:numPr>
        <w:rPr>
          <w:rFonts w:ascii="Arial" w:cs="Arial" w:eastAsia="Arial" w:hAnsi="Arial"/>
          <w:sz w:val="20"/>
          <w:szCs w:val="20"/>
          <w:color w:val="auto"/>
        </w:rPr>
      </w:pPr>
      <w:r>
        <w:rPr>
          <w:rFonts w:ascii="Arial" w:cs="Arial" w:eastAsia="Arial" w:hAnsi="Arial"/>
          <w:sz w:val="19"/>
          <w:szCs w:val="19"/>
          <w:u w:val="single" w:color="auto"/>
          <w:color w:val="auto"/>
        </w:rPr>
        <w:t>Presumptions and Defenses</w:t>
      </w:r>
      <w:r>
        <w:rPr>
          <w:rFonts w:ascii="Arial" w:cs="Arial" w:eastAsia="Arial" w:hAnsi="Arial"/>
          <w:sz w:val="19"/>
          <w:szCs w:val="19"/>
          <w:color w:val="auto"/>
        </w:rPr>
        <w:t>.</w:t>
      </w:r>
    </w:p>
    <w:p>
      <w:pPr>
        <w:spacing w:after="0" w:line="217" w:lineRule="exact"/>
        <w:rPr>
          <w:rFonts w:ascii="Arial" w:cs="Arial" w:eastAsia="Arial" w:hAnsi="Arial"/>
          <w:sz w:val="20"/>
          <w:szCs w:val="20"/>
          <w:color w:val="auto"/>
        </w:rPr>
      </w:pPr>
    </w:p>
    <w:p>
      <w:pPr>
        <w:jc w:val="both"/>
        <w:ind w:firstLine="1790"/>
        <w:spacing w:after="0" w:line="263" w:lineRule="auto"/>
        <w:tabs>
          <w:tab w:leader="none" w:pos="2219" w:val="left"/>
        </w:tabs>
        <w:numPr>
          <w:ilvl w:val="1"/>
          <w:numId w:val="48"/>
        </w:numPr>
        <w:rPr>
          <w:rFonts w:ascii="Arial" w:cs="Arial" w:eastAsia="Arial" w:hAnsi="Arial"/>
          <w:sz w:val="20"/>
          <w:szCs w:val="20"/>
          <w:color w:val="auto"/>
        </w:rPr>
      </w:pPr>
      <w:r>
        <w:rPr>
          <w:rFonts w:ascii="Arial" w:cs="Arial" w:eastAsia="Arial" w:hAnsi="Arial"/>
          <w:sz w:val="19"/>
          <w:szCs w:val="19"/>
          <w:u w:val="single" w:color="auto"/>
          <w:color w:val="auto"/>
        </w:rPr>
        <w:t>Indemnitee’s Entitlement to Indemnification</w:t>
      </w:r>
      <w:r>
        <w:rPr>
          <w:rFonts w:ascii="Arial" w:cs="Arial" w:eastAsia="Arial" w:hAnsi="Arial"/>
          <w:sz w:val="19"/>
          <w:szCs w:val="19"/>
          <w:color w:val="auto"/>
        </w:rPr>
        <w:t>. In making any Standard of Conduct Determination, the Person or Persons making such determination shall presume that Indemnitee has satisfied the applicable standard of conduct and is entitled to indemnification, and the Company shall have the burden of proof to overcome that presumption and establish that Indemnitee is not so entitled. Any Standard of Conduct Determination that is adverse to Indemnitee may be challenged by the Indemnitee in the Delaware Court. No determination by the Company (including by its directors or any Independent Counsel) that Indemnitee has not satisfied any applicable standard of conduct or failure by the Company to reach such a determination may be used as a defense to any legal proceedings brought by Indemnitee to secure indemnification or reimbursement or advance payment of Expenses by the Company hereunder or create a presumption that Indemnitee has not met any applicable standard of conduct.</w:t>
      </w:r>
    </w:p>
    <w:p>
      <w:pPr>
        <w:spacing w:after="0" w:line="173" w:lineRule="exact"/>
        <w:rPr>
          <w:rFonts w:ascii="Arial" w:cs="Arial" w:eastAsia="Arial" w:hAnsi="Arial"/>
          <w:sz w:val="20"/>
          <w:szCs w:val="20"/>
          <w:color w:val="auto"/>
        </w:rPr>
      </w:pPr>
    </w:p>
    <w:p>
      <w:pPr>
        <w:jc w:val="both"/>
        <w:ind w:firstLine="1790"/>
        <w:spacing w:after="0" w:line="278" w:lineRule="auto"/>
        <w:tabs>
          <w:tab w:leader="none" w:pos="2274" w:val="left"/>
        </w:tabs>
        <w:numPr>
          <w:ilvl w:val="1"/>
          <w:numId w:val="48"/>
        </w:numPr>
        <w:rPr>
          <w:rFonts w:ascii="Arial" w:cs="Arial" w:eastAsia="Arial" w:hAnsi="Arial"/>
          <w:sz w:val="19"/>
          <w:szCs w:val="19"/>
          <w:color w:val="auto"/>
        </w:rPr>
      </w:pPr>
      <w:r>
        <w:rPr>
          <w:rFonts w:ascii="Arial" w:cs="Arial" w:eastAsia="Arial" w:hAnsi="Arial"/>
          <w:sz w:val="18"/>
          <w:szCs w:val="18"/>
          <w:u w:val="single" w:color="auto"/>
          <w:color w:val="auto"/>
        </w:rPr>
        <w:t>Reliance as a Safe Harbor</w:t>
      </w:r>
      <w:r>
        <w:rPr>
          <w:rFonts w:ascii="Arial" w:cs="Arial" w:eastAsia="Arial" w:hAnsi="Arial"/>
          <w:sz w:val="18"/>
          <w:szCs w:val="18"/>
          <w:color w:val="auto"/>
        </w:rPr>
        <w:t>. For purposes of this Agreement, and 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166" w:lineRule="exact"/>
        <w:rPr>
          <w:rFonts w:ascii="Arial" w:cs="Arial" w:eastAsia="Arial" w:hAnsi="Arial"/>
          <w:sz w:val="19"/>
          <w:szCs w:val="19"/>
          <w:color w:val="auto"/>
        </w:rPr>
      </w:pPr>
    </w:p>
    <w:p>
      <w:pPr>
        <w:jc w:val="both"/>
        <w:ind w:firstLine="1790"/>
        <w:spacing w:after="0" w:line="267" w:lineRule="auto"/>
        <w:tabs>
          <w:tab w:leader="none" w:pos="2330" w:val="left"/>
        </w:tabs>
        <w:numPr>
          <w:ilvl w:val="1"/>
          <w:numId w:val="48"/>
        </w:numPr>
        <w:rPr>
          <w:rFonts w:ascii="Arial" w:cs="Arial" w:eastAsia="Arial" w:hAnsi="Arial"/>
          <w:sz w:val="20"/>
          <w:szCs w:val="20"/>
          <w:color w:val="auto"/>
        </w:rPr>
      </w:pPr>
      <w:r>
        <w:rPr>
          <w:rFonts w:ascii="Arial" w:cs="Arial" w:eastAsia="Arial" w:hAnsi="Arial"/>
          <w:sz w:val="19"/>
          <w:szCs w:val="19"/>
          <w:u w:val="single" w:color="auto"/>
          <w:color w:val="auto"/>
        </w:rPr>
        <w:t>No Other Presumptions</w:t>
      </w:r>
      <w:r>
        <w:rPr>
          <w:rFonts w:ascii="Arial" w:cs="Arial" w:eastAsia="Arial" w:hAnsi="Arial"/>
          <w:sz w:val="19"/>
          <w:szCs w:val="19"/>
          <w:color w:val="auto"/>
        </w:rPr>
        <w:t>. For purposes of this Agreement, the termination of any Claim by judgment, order, settlement (whether with or without court approval) or conviction, or upon a plea of nolo contendere or its equivalent, will not create a presumption that Indemnitee did not meet any applicable standard of conduct or have any particular belief, or that indemnification hereunder is otherwise not permitted.</w:t>
      </w:r>
    </w:p>
    <w:p>
      <w:pPr>
        <w:spacing w:after="0" w:line="171" w:lineRule="exact"/>
        <w:rPr>
          <w:rFonts w:ascii="Arial" w:cs="Arial" w:eastAsia="Arial" w:hAnsi="Arial"/>
          <w:sz w:val="20"/>
          <w:szCs w:val="20"/>
          <w:color w:val="auto"/>
        </w:rPr>
      </w:pPr>
    </w:p>
    <w:p>
      <w:pPr>
        <w:jc w:val="both"/>
        <w:ind w:firstLine="1790"/>
        <w:spacing w:after="0" w:line="283" w:lineRule="auto"/>
        <w:tabs>
          <w:tab w:leader="none" w:pos="2319" w:val="left"/>
        </w:tabs>
        <w:numPr>
          <w:ilvl w:val="1"/>
          <w:numId w:val="48"/>
        </w:numPr>
        <w:rPr>
          <w:rFonts w:ascii="Arial" w:cs="Arial" w:eastAsia="Arial" w:hAnsi="Arial"/>
          <w:sz w:val="19"/>
          <w:szCs w:val="19"/>
          <w:color w:val="auto"/>
        </w:rPr>
      </w:pPr>
      <w:r>
        <w:rPr>
          <w:rFonts w:ascii="Arial" w:cs="Arial" w:eastAsia="Arial" w:hAnsi="Arial"/>
          <w:sz w:val="18"/>
          <w:szCs w:val="18"/>
          <w:u w:val="single" w:color="auto"/>
          <w:color w:val="auto"/>
        </w:rPr>
        <w:t>Defense to Indemnification and Burden of Proof</w:t>
      </w:r>
      <w:r>
        <w:rPr>
          <w:rFonts w:ascii="Arial" w:cs="Arial" w:eastAsia="Arial" w:hAnsi="Arial"/>
          <w:sz w:val="18"/>
          <w:szCs w:val="18"/>
          <w:color w:val="auto"/>
        </w:rPr>
        <w:t>. It shall be a defense to any action brought by Indemnitee against the Company to enforce this Agreement (other than an action brought to enforce a claim for Losses incurred in defending against a Claim related to an Indemnifiable Event in advance of its final disposition) that it is not permissible under applicable law for the Company to indemnify Indemnitee for the amount claimed. In connection with any such action or any related Standard of Conduct Determination, the burden of proving such a defense or that the Indemnitee did not satisfy the applicable standard of conduct shall be on the Company.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63" w:right="239" w:bottom="1440" w:gutter="0" w:footer="0" w:header="0"/>
        </w:sectPr>
      </w:pPr>
    </w:p>
    <w:bookmarkStart w:id="110" w:name="page111"/>
    <w:bookmarkEnd w:id="110"/>
    <w:p>
      <w:pPr>
        <w:jc w:val="both"/>
        <w:ind w:firstLine="1790"/>
        <w:spacing w:after="0" w:line="264" w:lineRule="auto"/>
        <w:tabs>
          <w:tab w:leader="none" w:pos="2238" w:val="left"/>
        </w:tabs>
        <w:numPr>
          <w:ilvl w:val="2"/>
          <w:numId w:val="49"/>
        </w:numPr>
        <w:rPr>
          <w:rFonts w:ascii="Arial" w:cs="Arial" w:eastAsia="Arial" w:hAnsi="Arial"/>
          <w:sz w:val="20"/>
          <w:szCs w:val="20"/>
          <w:color w:val="auto"/>
        </w:rPr>
      </w:pPr>
      <w:r>
        <w:rPr>
          <w:rFonts w:ascii="Arial" w:cs="Arial" w:eastAsia="Arial" w:hAnsi="Arial"/>
          <w:sz w:val="19"/>
          <w:szCs w:val="19"/>
          <w:u w:val="single" w:color="auto"/>
          <w:color w:val="auto"/>
        </w:rPr>
        <w:t>Resolution of Claims</w:t>
      </w:r>
      <w:r>
        <w:rPr>
          <w:rFonts w:ascii="Arial" w:cs="Arial" w:eastAsia="Arial" w:hAnsi="Arial"/>
          <w:sz w:val="19"/>
          <w:szCs w:val="19"/>
          <w:color w:val="auto"/>
        </w:rPr>
        <w:t>. The Company acknowledges that a settlement or other disposition short of final judgment may be successful on the merits or otherwise for purposes of Section 10(a)(i) if it permits a party to avoid expense, delay, distraction, disruption and uncertainty. In the event that any Claim relating to an Indemnifiable Event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for purposes of Section 10(a)(i). The Company shall have the burden of proof to overcome this presumption.</w:t>
      </w:r>
    </w:p>
    <w:p>
      <w:pPr>
        <w:spacing w:after="0" w:line="162" w:lineRule="exact"/>
        <w:rPr>
          <w:rFonts w:ascii="Arial" w:cs="Arial" w:eastAsia="Arial" w:hAnsi="Arial"/>
          <w:sz w:val="20"/>
          <w:szCs w:val="20"/>
          <w:color w:val="auto"/>
        </w:rPr>
      </w:pPr>
    </w:p>
    <w:p>
      <w:pPr>
        <w:ind w:left="1040" w:hanging="444"/>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Exclusions from Indemnification</w:t>
      </w:r>
      <w:r>
        <w:rPr>
          <w:rFonts w:ascii="Arial" w:cs="Arial" w:eastAsia="Arial" w:hAnsi="Arial"/>
          <w:sz w:val="17"/>
          <w:szCs w:val="17"/>
          <w:color w:val="auto"/>
        </w:rPr>
        <w:t>. Notwithstanding anything in this Agreement to the contrary, the Company shall not be obligated to:</w:t>
      </w:r>
    </w:p>
    <w:p>
      <w:pPr>
        <w:spacing w:after="0" w:line="252" w:lineRule="exact"/>
        <w:rPr>
          <w:rFonts w:ascii="Arial" w:cs="Arial" w:eastAsia="Arial" w:hAnsi="Arial"/>
          <w:sz w:val="17"/>
          <w:szCs w:val="17"/>
          <w:color w:val="auto"/>
        </w:rPr>
      </w:pPr>
    </w:p>
    <w:p>
      <w:pPr>
        <w:ind w:firstLine="1193"/>
        <w:spacing w:after="0" w:line="315" w:lineRule="auto"/>
        <w:tabs>
          <w:tab w:leader="none" w:pos="1792" w:val="left"/>
        </w:tabs>
        <w:numPr>
          <w:ilvl w:val="1"/>
          <w:numId w:val="50"/>
        </w:numPr>
        <w:rPr>
          <w:rFonts w:ascii="Arial" w:cs="Arial" w:eastAsia="Arial" w:hAnsi="Arial"/>
          <w:sz w:val="19"/>
          <w:szCs w:val="19"/>
          <w:color w:val="auto"/>
        </w:rPr>
      </w:pPr>
      <w:r>
        <w:rPr>
          <w:rFonts w:ascii="Arial" w:cs="Arial" w:eastAsia="Arial" w:hAnsi="Arial"/>
          <w:sz w:val="18"/>
          <w:szCs w:val="18"/>
          <w:color w:val="auto"/>
        </w:rPr>
        <w:t>indemnify or advance funds to Indemnitee for Expenses or Losses with respect to proceedings initiated by Indemnitee, including any proceedings against the Company or its directors, officers, employees or other indemnitees and not by way of defense, except:</w:t>
      </w:r>
    </w:p>
    <w:p>
      <w:pPr>
        <w:spacing w:after="0" w:line="125" w:lineRule="exact"/>
        <w:rPr>
          <w:rFonts w:ascii="Arial" w:cs="Arial" w:eastAsia="Arial" w:hAnsi="Arial"/>
          <w:sz w:val="19"/>
          <w:szCs w:val="19"/>
          <w:color w:val="auto"/>
        </w:rPr>
      </w:pPr>
    </w:p>
    <w:p>
      <w:pPr>
        <w:ind w:firstLine="1790"/>
        <w:spacing w:after="0" w:line="286" w:lineRule="auto"/>
        <w:tabs>
          <w:tab w:leader="none" w:pos="2207" w:val="left"/>
        </w:tabs>
        <w:numPr>
          <w:ilvl w:val="2"/>
          <w:numId w:val="50"/>
        </w:numPr>
        <w:rPr>
          <w:rFonts w:ascii="Arial" w:cs="Arial" w:eastAsia="Arial" w:hAnsi="Arial"/>
          <w:sz w:val="20"/>
          <w:szCs w:val="20"/>
          <w:color w:val="auto"/>
        </w:rPr>
      </w:pPr>
      <w:r>
        <w:rPr>
          <w:rFonts w:ascii="Arial" w:cs="Arial" w:eastAsia="Arial" w:hAnsi="Arial"/>
          <w:sz w:val="19"/>
          <w:szCs w:val="19"/>
          <w:color w:val="auto"/>
        </w:rPr>
        <w:t>proceedings referenced in Section 5 above (unless a court of competent jurisdiction determines that each of the material assertions made by Indemnitee in such proceeding was not made in good faith or was frivolous); or</w:t>
      </w:r>
    </w:p>
    <w:p>
      <w:pPr>
        <w:spacing w:after="0" w:line="150" w:lineRule="exact"/>
        <w:rPr>
          <w:sz w:val="20"/>
          <w:szCs w:val="20"/>
          <w:color w:val="auto"/>
        </w:rPr>
      </w:pPr>
    </w:p>
    <w:p>
      <w:pPr>
        <w:ind w:left="2240" w:hanging="450"/>
        <w:spacing w:after="0"/>
        <w:tabs>
          <w:tab w:leader="none" w:pos="2240" w:val="left"/>
        </w:tabs>
        <w:numPr>
          <w:ilvl w:val="2"/>
          <w:numId w:val="51"/>
        </w:numPr>
        <w:rPr>
          <w:rFonts w:ascii="Arial" w:cs="Arial" w:eastAsia="Arial" w:hAnsi="Arial"/>
          <w:sz w:val="20"/>
          <w:szCs w:val="20"/>
          <w:color w:val="auto"/>
        </w:rPr>
      </w:pPr>
      <w:r>
        <w:rPr>
          <w:rFonts w:ascii="Arial" w:cs="Arial" w:eastAsia="Arial" w:hAnsi="Arial"/>
          <w:sz w:val="19"/>
          <w:szCs w:val="19"/>
          <w:color w:val="auto"/>
        </w:rPr>
        <w:t>where the Company has joined in or the Board has consented to the initiation of such proceedings.</w:t>
      </w:r>
    </w:p>
    <w:p>
      <w:pPr>
        <w:spacing w:after="0" w:line="217" w:lineRule="exact"/>
        <w:rPr>
          <w:rFonts w:ascii="Arial" w:cs="Arial" w:eastAsia="Arial" w:hAnsi="Arial"/>
          <w:sz w:val="20"/>
          <w:szCs w:val="20"/>
          <w:color w:val="auto"/>
        </w:rPr>
      </w:pPr>
    </w:p>
    <w:p>
      <w:pPr>
        <w:ind w:left="1660" w:hanging="467"/>
        <w:spacing w:after="0"/>
        <w:tabs>
          <w:tab w:leader="none" w:pos="1660" w:val="left"/>
        </w:tabs>
        <w:numPr>
          <w:ilvl w:val="1"/>
          <w:numId w:val="52"/>
        </w:numPr>
        <w:rPr>
          <w:rFonts w:ascii="Arial" w:cs="Arial" w:eastAsia="Arial" w:hAnsi="Arial"/>
          <w:sz w:val="18"/>
          <w:szCs w:val="18"/>
          <w:color w:val="auto"/>
        </w:rPr>
      </w:pPr>
      <w:r>
        <w:rPr>
          <w:rFonts w:ascii="Arial" w:cs="Arial" w:eastAsia="Arial" w:hAnsi="Arial"/>
          <w:sz w:val="17"/>
          <w:szCs w:val="17"/>
          <w:color w:val="auto"/>
        </w:rPr>
        <w:t>indemnify Indemnitee if a final decision by a court of competent jurisdiction determines that such indemnification is prohibited</w:t>
      </w:r>
    </w:p>
    <w:p>
      <w:pPr>
        <w:spacing w:after="0" w:line="4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by applicable law.</w:t>
      </w:r>
    </w:p>
    <w:p>
      <w:pPr>
        <w:spacing w:after="0" w:line="216" w:lineRule="exact"/>
        <w:rPr>
          <w:rFonts w:ascii="Arial" w:cs="Arial" w:eastAsia="Arial" w:hAnsi="Arial"/>
          <w:sz w:val="18"/>
          <w:szCs w:val="18"/>
          <w:color w:val="auto"/>
        </w:rPr>
      </w:pPr>
    </w:p>
    <w:p>
      <w:pPr>
        <w:ind w:firstLine="1193"/>
        <w:spacing w:after="0" w:line="286" w:lineRule="auto"/>
        <w:tabs>
          <w:tab w:leader="none" w:pos="1755" w:val="left"/>
        </w:tabs>
        <w:numPr>
          <w:ilvl w:val="1"/>
          <w:numId w:val="52"/>
        </w:numPr>
        <w:rPr>
          <w:rFonts w:ascii="Arial" w:cs="Arial" w:eastAsia="Arial" w:hAnsi="Arial"/>
          <w:sz w:val="20"/>
          <w:szCs w:val="20"/>
          <w:color w:val="auto"/>
        </w:rPr>
      </w:pPr>
      <w:r>
        <w:rPr>
          <w:rFonts w:ascii="Arial" w:cs="Arial" w:eastAsia="Arial" w:hAnsi="Arial"/>
          <w:sz w:val="19"/>
          <w:szCs w:val="19"/>
          <w:color w:val="auto"/>
        </w:rPr>
        <w:t>indemnify Indemnitee for the disgorgement of profits arising from the purchase or sale by Indemnitee of securities of the Company in violation of Section 16(b) of the Exchange Act, or any similar successor statute, state law or other law.</w:t>
      </w:r>
    </w:p>
    <w:p>
      <w:pPr>
        <w:spacing w:after="0" w:line="149" w:lineRule="exact"/>
        <w:rPr>
          <w:rFonts w:ascii="Arial" w:cs="Arial" w:eastAsia="Arial" w:hAnsi="Arial"/>
          <w:sz w:val="20"/>
          <w:szCs w:val="20"/>
          <w:color w:val="auto"/>
        </w:rPr>
      </w:pPr>
    </w:p>
    <w:p>
      <w:pPr>
        <w:jc w:val="both"/>
        <w:ind w:firstLine="1193"/>
        <w:spacing w:after="0" w:line="265" w:lineRule="auto"/>
        <w:tabs>
          <w:tab w:leader="none" w:pos="1704" w:val="left"/>
        </w:tabs>
        <w:numPr>
          <w:ilvl w:val="1"/>
          <w:numId w:val="52"/>
        </w:numPr>
        <w:rPr>
          <w:rFonts w:ascii="Arial" w:cs="Arial" w:eastAsia="Arial" w:hAnsi="Arial"/>
          <w:sz w:val="20"/>
          <w:szCs w:val="20"/>
          <w:color w:val="auto"/>
        </w:rPr>
      </w:pPr>
      <w:r>
        <w:rPr>
          <w:rFonts w:ascii="Arial" w:cs="Arial" w:eastAsia="Arial" w:hAnsi="Arial"/>
          <w:sz w:val="19"/>
          <w:szCs w:val="19"/>
          <w:color w:val="auto"/>
        </w:rPr>
        <w:t>indemnify or advance funds to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in connection with an accounting restatement of the Company or the payment to the Company of profits arising from the purchase or sale by Indemnitee of securities in violation of Section 306 of the Sarbanes-Oxley Act).</w:t>
      </w:r>
    </w:p>
    <w:p>
      <w:pPr>
        <w:spacing w:after="0" w:line="161" w:lineRule="exact"/>
        <w:rPr>
          <w:rFonts w:ascii="Arial" w:cs="Arial" w:eastAsia="Arial" w:hAnsi="Arial"/>
          <w:sz w:val="20"/>
          <w:szCs w:val="20"/>
          <w:color w:val="auto"/>
        </w:rPr>
      </w:pPr>
    </w:p>
    <w:p>
      <w:pPr>
        <w:jc w:val="both"/>
        <w:ind w:firstLine="596"/>
        <w:spacing w:after="0" w:line="252" w:lineRule="auto"/>
        <w:tabs>
          <w:tab w:leader="none" w:pos="1074"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Settlement of Claims</w:t>
      </w:r>
      <w:r>
        <w:rPr>
          <w:rFonts w:ascii="Arial" w:cs="Arial" w:eastAsia="Arial" w:hAnsi="Arial"/>
          <w:sz w:val="19"/>
          <w:szCs w:val="19"/>
          <w:color w:val="auto"/>
        </w:rPr>
        <w:t>. The Company shall not be liable to Indemnitee under this Agreement for any amounts paid in settlement of any threatened or pending Claim related to an Indemnifiable Event effected without the Company’s prior written consent, which shall not be unreasonably withheld. The Company shall not settle any Claim related to an Indemnifiable Event in any manner that would impose any Losses on the Indemnitee without the Indemnitee’s prior written consent. The Company shall not, without the prior written consent of Indemnitee, effect any settlement of any Claim relating to an Indemnifiable Event which the Indemnitee is or could have been a party unless such settlement solely involves the payment of money and includes a complete and unconditional release of the Indemnitee from all liability on all claims that are the subject matter of such Claim.</w:t>
      </w:r>
    </w:p>
    <w:p>
      <w:pPr>
        <w:spacing w:after="0" w:line="172" w:lineRule="exact"/>
        <w:rPr>
          <w:rFonts w:ascii="Arial" w:cs="Arial" w:eastAsia="Arial" w:hAnsi="Arial"/>
          <w:sz w:val="19"/>
          <w:szCs w:val="19"/>
          <w:color w:val="auto"/>
        </w:rPr>
      </w:pPr>
    </w:p>
    <w:p>
      <w:pPr>
        <w:ind w:firstLine="596"/>
        <w:spacing w:after="0" w:line="285" w:lineRule="auto"/>
        <w:tabs>
          <w:tab w:leader="none" w:pos="1173"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Duration</w:t>
      </w:r>
      <w:r>
        <w:rPr>
          <w:rFonts w:ascii="Arial" w:cs="Arial" w:eastAsia="Arial" w:hAnsi="Arial"/>
          <w:sz w:val="19"/>
          <w:szCs w:val="19"/>
          <w:color w:val="auto"/>
        </w:rPr>
        <w:t>. All agreements and obligations of the Company contained herein shall continue during the period that Indemnitee is a director, officer, employee or agent of the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575" w:right="239" w:bottom="1440" w:gutter="0" w:footer="0" w:header="0"/>
        </w:sectPr>
      </w:pPr>
    </w:p>
    <w:bookmarkStart w:id="111" w:name="page112"/>
    <w:bookmarkEnd w:id="111"/>
    <w:p>
      <w:pPr>
        <w:jc w:val="both"/>
        <w:ind w:left="1"/>
        <w:spacing w:after="0" w:line="252" w:lineRule="auto"/>
        <w:rPr>
          <w:sz w:val="20"/>
          <w:szCs w:val="20"/>
          <w:color w:val="auto"/>
        </w:rPr>
      </w:pPr>
      <w:r>
        <w:rPr>
          <w:rFonts w:ascii="Arial" w:cs="Arial" w:eastAsia="Arial" w:hAnsi="Arial"/>
          <w:sz w:val="19"/>
          <w:szCs w:val="19"/>
          <w:color w:val="auto"/>
        </w:rPr>
        <w:t>Company or any subsidiary of the Company (or is serving at the request of the Company as a director, officer, employee, member, trustee or agent of another Enterprise) and shall continue thereafter (i) so long as Indemnitee may be subject to any possible Claim relating to an Indemnifiable Event (including any rights of appeal thereto) and (ii)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spacing w:after="0" w:line="171" w:lineRule="exact"/>
        <w:rPr>
          <w:sz w:val="20"/>
          <w:szCs w:val="20"/>
          <w:color w:val="auto"/>
        </w:rPr>
      </w:pPr>
    </w:p>
    <w:p>
      <w:pPr>
        <w:jc w:val="both"/>
        <w:ind w:left="1" w:firstLine="596"/>
        <w:spacing w:after="0" w:line="292" w:lineRule="auto"/>
        <w:tabs>
          <w:tab w:leader="none" w:pos="1049"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Non-Exclusivity</w:t>
      </w:r>
      <w:r>
        <w:rPr>
          <w:rFonts w:ascii="Arial" w:cs="Arial" w:eastAsia="Arial" w:hAnsi="Arial"/>
          <w:sz w:val="17"/>
          <w:szCs w:val="17"/>
          <w:color w:val="auto"/>
        </w:rPr>
        <w:t>. The rights of Indemnitee hereunder will be in addition to any other rights Indemnitee may have under the Constituent Documents, the law of the State of Delaware, any other contract or otherwise (collectively, “</w:t>
      </w:r>
      <w:r>
        <w:rPr>
          <w:rFonts w:ascii="Arial" w:cs="Arial" w:eastAsia="Arial" w:hAnsi="Arial"/>
          <w:sz w:val="17"/>
          <w:szCs w:val="17"/>
          <w:b w:val="1"/>
          <w:bCs w:val="1"/>
          <w:color w:val="auto"/>
        </w:rPr>
        <w:t>Other Indemnity Provisions</w:t>
      </w:r>
      <w:r>
        <w:rPr>
          <w:rFonts w:ascii="Arial" w:cs="Arial" w:eastAsia="Arial" w:hAnsi="Arial"/>
          <w:sz w:val="17"/>
          <w:szCs w:val="17"/>
          <w:color w:val="auto"/>
        </w:rPr>
        <w:t>”); provided, however, that</w:t>
      </w:r>
    </w:p>
    <w:p>
      <w:pPr>
        <w:jc w:val="both"/>
        <w:ind w:left="1" w:hanging="1"/>
        <w:spacing w:after="0" w:line="247" w:lineRule="auto"/>
        <w:tabs>
          <w:tab w:leader="none" w:pos="264" w:val="left"/>
        </w:tabs>
        <w:numPr>
          <w:ilvl w:val="0"/>
          <w:numId w:val="55"/>
        </w:numPr>
        <w:rPr>
          <w:rFonts w:ascii="Arial" w:cs="Arial" w:eastAsia="Arial" w:hAnsi="Arial"/>
          <w:sz w:val="19"/>
          <w:szCs w:val="19"/>
          <w:color w:val="auto"/>
        </w:rPr>
      </w:pPr>
      <w:r>
        <w:rPr>
          <w:rFonts w:ascii="Arial" w:cs="Arial" w:eastAsia="Arial" w:hAnsi="Arial"/>
          <w:sz w:val="19"/>
          <w:szCs w:val="19"/>
          <w:color w:val="auto"/>
        </w:rPr>
        <w:t>to the extent that Indemnitee otherwise would have any greater right to indemnification under any Other Indemnity Provision, Indemnitee will be deemed to have such greater right hereunder and (b) to the extent that any change is made to any Other Indemnity Provision which permits any greater right to indemnification than that provided under this Agreement as of the date hereof, Indemnitee will be deemed to have such greater right hereunder. The assertion or employment of any right or remedy hereunder, or otherwise, shall not prevent the concurrent assertion or employment of any other right or remedy.</w:t>
      </w:r>
    </w:p>
    <w:p>
      <w:pPr>
        <w:spacing w:after="0" w:line="177" w:lineRule="exact"/>
        <w:rPr>
          <w:rFonts w:ascii="Arial" w:cs="Arial" w:eastAsia="Arial" w:hAnsi="Arial"/>
          <w:sz w:val="19"/>
          <w:szCs w:val="19"/>
          <w:color w:val="auto"/>
        </w:rPr>
      </w:pPr>
    </w:p>
    <w:p>
      <w:pPr>
        <w:jc w:val="both"/>
        <w:ind w:left="1" w:firstLine="596"/>
        <w:spacing w:after="0" w:line="265" w:lineRule="auto"/>
        <w:tabs>
          <w:tab w:leader="none" w:pos="1136"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Liability Insurance</w:t>
      </w:r>
      <w:r>
        <w:rPr>
          <w:rFonts w:ascii="Arial" w:cs="Arial" w:eastAsia="Arial" w:hAnsi="Arial"/>
          <w:sz w:val="18"/>
          <w:szCs w:val="18"/>
          <w:color w:val="auto"/>
        </w:rPr>
        <w:t>. For the duration of Indemnitee’s service as a director or officer of the Company, and thereafter for so long as Indemnitee shall be subject to any pending Claim relating to an Indemnifiable Event, the Company shall use commercially reasonable efforts (taking into account the scope and amount of coverage available relative to the cost thereof) to continue to maintain in effect policies of directors’ and officers’ liability insurance providing coverage that is at least substantially comparable in scope and amount to that provided by the Company’s current policies of directors’ and officers’ liability insurance. The insurance provided pursuant to this Section 15 shall be primary insurance to the Indemnitee for any Indemnifiable Event and/or Expense to which such insurance applies. In all policies of directors’ and officers’ liability insurance maintained by the Company, Indemnitee shall be named as an insured in such a manner as to provide Indemnitee the same rights and benefits as are provided to the most favorably insured of the Company’s directors, if Indemnitee is a director, or of the Company’s officers, if Indemnitee is an officer (and not a director) by such policy. Upon request, the Company will provide to Indemnitee copies of all directors’ and officers’ liability insurance applications, binders, policies, declarations, endorsements and other related materials.</w:t>
      </w:r>
    </w:p>
    <w:p>
      <w:pPr>
        <w:spacing w:after="0" w:line="164" w:lineRule="exact"/>
        <w:rPr>
          <w:rFonts w:ascii="Arial" w:cs="Arial" w:eastAsia="Arial" w:hAnsi="Arial"/>
          <w:sz w:val="18"/>
          <w:szCs w:val="18"/>
          <w:color w:val="auto"/>
        </w:rPr>
      </w:pPr>
    </w:p>
    <w:p>
      <w:pPr>
        <w:jc w:val="both"/>
        <w:ind w:left="1" w:firstLine="596"/>
        <w:spacing w:after="0" w:line="277" w:lineRule="auto"/>
        <w:tabs>
          <w:tab w:leader="none" w:pos="1062"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The Company shall not be liable under this Agreement to make any payment to Indemnitee in respect of any Losses to the extent Indemnitee has otherwise received payment under any insurance policy, the Constituent Documents, Other Indemnity Provisions or otherwise of the amounts otherwise (including from another Enterprise) indemnifiable by the Company hereunder; provided that the foregoing shall not affect the rights of Indemnitee or the Fund Indemnitors (as defined below) as set forth in Section 17.</w:t>
      </w:r>
    </w:p>
    <w:p>
      <w:pPr>
        <w:spacing w:after="0" w:line="151" w:lineRule="exact"/>
        <w:rPr>
          <w:rFonts w:ascii="Arial" w:cs="Arial" w:eastAsia="Arial" w:hAnsi="Arial"/>
          <w:sz w:val="18"/>
          <w:szCs w:val="18"/>
          <w:color w:val="auto"/>
        </w:rPr>
      </w:pPr>
    </w:p>
    <w:p>
      <w:pPr>
        <w:jc w:val="both"/>
        <w:ind w:left="1" w:firstLine="596"/>
        <w:spacing w:after="0" w:line="253" w:lineRule="auto"/>
        <w:tabs>
          <w:tab w:leader="none" w:pos="1186"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Primacy of Indemnification</w:t>
      </w:r>
      <w:r>
        <w:rPr>
          <w:rFonts w:ascii="Arial" w:cs="Arial" w:eastAsia="Arial" w:hAnsi="Arial"/>
          <w:sz w:val="19"/>
          <w:szCs w:val="19"/>
          <w:color w:val="auto"/>
        </w:rPr>
        <w:t>. The Company hereby acknowledges that Indemnitee has or may have in the future certain rights to indemnification, advancement of expenses and/or insurance provided by Investment Group of Santa Barbara and certain of its affiliates (collectively, the “</w:t>
      </w:r>
      <w:r>
        <w:rPr>
          <w:rFonts w:ascii="Arial" w:cs="Arial" w:eastAsia="Arial" w:hAnsi="Arial"/>
          <w:sz w:val="19"/>
          <w:szCs w:val="19"/>
          <w:b w:val="1"/>
          <w:bCs w:val="1"/>
          <w:color w:val="auto"/>
        </w:rPr>
        <w:t>Fund Indemnitors</w:t>
      </w:r>
      <w:r>
        <w:rPr>
          <w:rFonts w:ascii="Arial" w:cs="Arial" w:eastAsia="Arial" w:hAnsi="Arial"/>
          <w:sz w:val="19"/>
          <w:szCs w:val="19"/>
          <w:color w:val="auto"/>
        </w:rPr>
        <w:t>”).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(iii) that it shall be liable for the full amount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1"/>
          </w:cols>
          <w:pgMar w:left="239" w:top="563" w:right="239" w:bottom="1440" w:gutter="0" w:footer="0" w:header="0"/>
        </w:sectPr>
      </w:pPr>
    </w:p>
    <w:bookmarkStart w:id="112" w:name="page113"/>
    <w:bookmarkEnd w:id="112"/>
    <w:p>
      <w:pPr>
        <w:jc w:val="both"/>
        <w:spacing w:after="0" w:line="284" w:lineRule="auto"/>
        <w:rPr>
          <w:sz w:val="20"/>
          <w:szCs w:val="20"/>
          <w:color w:val="auto"/>
        </w:rPr>
      </w:pPr>
      <w:r>
        <w:rPr>
          <w:rFonts w:ascii="Arial" w:cs="Arial" w:eastAsia="Arial" w:hAnsi="Arial"/>
          <w:sz w:val="17"/>
          <w:szCs w:val="17"/>
          <w:color w:val="auto"/>
        </w:rPr>
        <w:t>of all Losses to the extent legally permitted and as required by the terms of this Agreement, the Constituent Documents and/or Other Indemnity Provisions, without regard to any rights Indemnitee may have against the Fund Indemnitors. The Company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17.</w:t>
      </w:r>
    </w:p>
    <w:p>
      <w:pPr>
        <w:spacing w:after="0" w:line="147" w:lineRule="exact"/>
        <w:rPr>
          <w:sz w:val="20"/>
          <w:szCs w:val="20"/>
          <w:color w:val="auto"/>
        </w:rPr>
      </w:pPr>
    </w:p>
    <w:p>
      <w:pPr>
        <w:jc w:val="both"/>
        <w:ind w:firstLine="596"/>
        <w:spacing w:after="0" w:line="259" w:lineRule="auto"/>
        <w:tabs>
          <w:tab w:leader="none" w:pos="1136"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Subrogation</w:t>
      </w:r>
      <w:r>
        <w:rPr>
          <w:rFonts w:ascii="Arial" w:cs="Arial" w:eastAsia="Arial" w:hAnsi="Arial"/>
          <w:sz w:val="19"/>
          <w:szCs w:val="19"/>
          <w:color w:val="auto"/>
        </w:rPr>
        <w:t>. In the event of payment to Indemnitee under this Agreement, the Company shall be subrogated to the extent of such payment to all of the rights of recovery of Indemnitee (other than against the Fund Indemnitors). Indemnitee shall execute all papers required and shall do everything that may be necessary to secure such rights, including the execution of such documents necessary to enable the Company effectively to bring suit to enforce such rights.</w:t>
      </w:r>
    </w:p>
    <w:p>
      <w:pPr>
        <w:spacing w:after="0" w:line="163" w:lineRule="exact"/>
        <w:rPr>
          <w:rFonts w:ascii="Arial" w:cs="Arial" w:eastAsia="Arial" w:hAnsi="Arial"/>
          <w:sz w:val="19"/>
          <w:szCs w:val="19"/>
          <w:color w:val="auto"/>
        </w:rPr>
      </w:pPr>
    </w:p>
    <w:p>
      <w:pPr>
        <w:jc w:val="both"/>
        <w:ind w:firstLine="596"/>
        <w:spacing w:after="0" w:line="255" w:lineRule="auto"/>
        <w:tabs>
          <w:tab w:leader="none" w:pos="1086"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Amendments; Waivers</w:t>
      </w:r>
      <w:r>
        <w:rPr>
          <w:rFonts w:ascii="Arial" w:cs="Arial" w:eastAsia="Arial" w:hAnsi="Arial"/>
          <w:sz w:val="19"/>
          <w:szCs w:val="19"/>
          <w:color w:val="auto"/>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169" w:lineRule="exact"/>
        <w:rPr>
          <w:rFonts w:ascii="Arial" w:cs="Arial" w:eastAsia="Arial" w:hAnsi="Arial"/>
          <w:sz w:val="19"/>
          <w:szCs w:val="19"/>
          <w:color w:val="auto"/>
        </w:rPr>
      </w:pPr>
    </w:p>
    <w:p>
      <w:pPr>
        <w:ind w:left="1040" w:hanging="444"/>
        <w:spacing w:after="0"/>
        <w:tabs>
          <w:tab w:leader="none" w:pos="104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Enforcement and Binding Effect</w:t>
      </w:r>
      <w:r>
        <w:rPr>
          <w:rFonts w:ascii="Arial" w:cs="Arial" w:eastAsia="Arial" w:hAnsi="Arial"/>
          <w:sz w:val="19"/>
          <w:szCs w:val="19"/>
          <w:color w:val="auto"/>
        </w:rPr>
        <w:t>.</w:t>
      </w:r>
    </w:p>
    <w:p>
      <w:pPr>
        <w:spacing w:after="0" w:line="229" w:lineRule="exact"/>
        <w:rPr>
          <w:rFonts w:ascii="Arial" w:cs="Arial" w:eastAsia="Arial" w:hAnsi="Arial"/>
          <w:sz w:val="19"/>
          <w:szCs w:val="19"/>
          <w:color w:val="auto"/>
        </w:rPr>
      </w:pPr>
    </w:p>
    <w:p>
      <w:pPr>
        <w:jc w:val="both"/>
        <w:ind w:firstLine="1193"/>
        <w:spacing w:after="0" w:line="272" w:lineRule="auto"/>
        <w:tabs>
          <w:tab w:leader="none" w:pos="1643" w:val="left"/>
        </w:tabs>
        <w:numPr>
          <w:ilvl w:val="1"/>
          <w:numId w:val="56"/>
        </w:numPr>
        <w:rPr>
          <w:rFonts w:ascii="Arial" w:cs="Arial" w:eastAsia="Arial" w:hAnsi="Arial"/>
          <w:sz w:val="20"/>
          <w:szCs w:val="20"/>
          <w:color w:val="auto"/>
        </w:rPr>
      </w:pPr>
      <w:r>
        <w:rPr>
          <w:rFonts w:ascii="Arial" w:cs="Arial" w:eastAsia="Arial" w:hAnsi="Arial"/>
          <w:sz w:val="19"/>
          <w:szCs w:val="19"/>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spacing w:after="0" w:line="164" w:lineRule="exact"/>
        <w:rPr>
          <w:rFonts w:ascii="Arial" w:cs="Arial" w:eastAsia="Arial" w:hAnsi="Arial"/>
          <w:sz w:val="20"/>
          <w:szCs w:val="20"/>
          <w:color w:val="auto"/>
        </w:rPr>
      </w:pPr>
    </w:p>
    <w:p>
      <w:pPr>
        <w:jc w:val="both"/>
        <w:ind w:firstLine="1193"/>
        <w:spacing w:after="0" w:line="293" w:lineRule="auto"/>
        <w:tabs>
          <w:tab w:leader="none" w:pos="1666" w:val="left"/>
        </w:tabs>
        <w:numPr>
          <w:ilvl w:val="1"/>
          <w:numId w:val="56"/>
        </w:numPr>
        <w:rPr>
          <w:rFonts w:ascii="Arial" w:cs="Arial" w:eastAsia="Arial" w:hAnsi="Arial"/>
          <w:sz w:val="19"/>
          <w:szCs w:val="19"/>
          <w:color w:val="auto"/>
        </w:rPr>
      </w:pPr>
      <w:r>
        <w:rPr>
          <w:rFonts w:ascii="Arial" w:cs="Arial" w:eastAsia="Arial" w:hAnsi="Arial"/>
          <w:sz w:val="18"/>
          <w:szCs w:val="18"/>
          <w:color w:val="auto"/>
        </w:rPr>
        <w:t>Without limiting any of the rights of Indemnitee under any Other Indemnity Provisions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8" w:lineRule="exact"/>
        <w:rPr>
          <w:rFonts w:ascii="Arial" w:cs="Arial" w:eastAsia="Arial" w:hAnsi="Arial"/>
          <w:sz w:val="19"/>
          <w:szCs w:val="19"/>
          <w:color w:val="auto"/>
        </w:rPr>
      </w:pPr>
    </w:p>
    <w:p>
      <w:pPr>
        <w:jc w:val="both"/>
        <w:ind w:firstLine="1193"/>
        <w:spacing w:after="0" w:line="301" w:lineRule="auto"/>
        <w:tabs>
          <w:tab w:leader="none" w:pos="1655" w:val="left"/>
        </w:tabs>
        <w:numPr>
          <w:ilvl w:val="1"/>
          <w:numId w:val="56"/>
        </w:numPr>
        <w:rPr>
          <w:rFonts w:ascii="Arial" w:cs="Arial" w:eastAsia="Arial" w:hAnsi="Arial"/>
          <w:sz w:val="18"/>
          <w:szCs w:val="18"/>
          <w:color w:val="auto"/>
        </w:rPr>
      </w:pPr>
      <w:r>
        <w:rPr>
          <w:rFonts w:ascii="Arial" w:cs="Arial" w:eastAsia="Arial" w:hAnsi="Arial"/>
          <w:sz w:val="17"/>
          <w:szCs w:val="17"/>
          <w:color w:val="auto"/>
        </w:rPr>
        <w:t>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substances satisfactory to Indemnitee, expressly to assume and agree to perform this Agreement in the same manner and to the same extent that the Company would be required to perform if no such succession had taken place.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563" w:right="239" w:bottom="1440" w:gutter="0" w:footer="0" w:header="0"/>
        </w:sectPr>
      </w:pPr>
    </w:p>
    <w:bookmarkStart w:id="113" w:name="page114"/>
    <w:bookmarkEnd w:id="113"/>
    <w:p>
      <w:pPr>
        <w:jc w:val="both"/>
        <w:ind w:left="1" w:firstLine="596"/>
        <w:spacing w:after="0" w:line="253" w:lineRule="auto"/>
        <w:tabs>
          <w:tab w:leader="none" w:pos="1074"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shall be severable in the event that any of the provisions hereof (including any portion thereof) are held by a court of competent jurisdiction to be invalid, illegal, void or otherwise unenforceable, and the remaining provisions shall remain enforceable to the fullest extent permitted by law.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2" w:lineRule="exact"/>
        <w:rPr>
          <w:rFonts w:ascii="Arial" w:cs="Arial" w:eastAsia="Arial" w:hAnsi="Arial"/>
          <w:sz w:val="19"/>
          <w:szCs w:val="19"/>
          <w:color w:val="auto"/>
        </w:rPr>
      </w:pPr>
    </w:p>
    <w:p>
      <w:pPr>
        <w:ind w:left="1" w:firstLine="596"/>
        <w:spacing w:after="0" w:line="285" w:lineRule="auto"/>
        <w:tabs>
          <w:tab w:leader="none" w:pos="1049"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and other communications hereunder shall be in writing and shall be deemed to have been duly given if delivered by hand, against receipt, or mailed, by postage prepaid, certified or registered mail:</w:t>
      </w:r>
    </w:p>
    <w:p>
      <w:pPr>
        <w:spacing w:after="0" w:line="152" w:lineRule="exact"/>
        <w:rPr>
          <w:rFonts w:ascii="Arial" w:cs="Arial" w:eastAsia="Arial" w:hAnsi="Arial"/>
          <w:sz w:val="19"/>
          <w:szCs w:val="19"/>
          <w:color w:val="auto"/>
        </w:rPr>
      </w:pPr>
    </w:p>
    <w:p>
      <w:pPr>
        <w:ind w:left="1621" w:hanging="427"/>
        <w:spacing w:after="0"/>
        <w:tabs>
          <w:tab w:leader="none" w:pos="1621" w:val="left"/>
        </w:tabs>
        <w:numPr>
          <w:ilvl w:val="1"/>
          <w:numId w:val="57"/>
        </w:numPr>
        <w:rPr>
          <w:rFonts w:ascii="Arial" w:cs="Arial" w:eastAsia="Arial" w:hAnsi="Arial"/>
          <w:sz w:val="20"/>
          <w:szCs w:val="20"/>
          <w:color w:val="auto"/>
        </w:rPr>
      </w:pPr>
      <w:r>
        <w:rPr>
          <w:rFonts w:ascii="Arial" w:cs="Arial" w:eastAsia="Arial" w:hAnsi="Arial"/>
          <w:sz w:val="19"/>
          <w:szCs w:val="19"/>
          <w:color w:val="auto"/>
        </w:rPr>
        <w:t>if to Indemnitee, to the address set forth on the signature page hereto.</w:t>
      </w:r>
    </w:p>
    <w:p>
      <w:pPr>
        <w:spacing w:after="0" w:line="217" w:lineRule="exact"/>
        <w:rPr>
          <w:rFonts w:ascii="Arial" w:cs="Arial" w:eastAsia="Arial" w:hAnsi="Arial"/>
          <w:sz w:val="20"/>
          <w:szCs w:val="20"/>
          <w:color w:val="auto"/>
        </w:rPr>
      </w:pPr>
    </w:p>
    <w:p>
      <w:pPr>
        <w:ind w:left="1641" w:hanging="447"/>
        <w:spacing w:after="0"/>
        <w:tabs>
          <w:tab w:leader="none" w:pos="1641" w:val="left"/>
        </w:tabs>
        <w:numPr>
          <w:ilvl w:val="1"/>
          <w:numId w:val="57"/>
        </w:numPr>
        <w:rPr>
          <w:rFonts w:ascii="Arial" w:cs="Arial" w:eastAsia="Arial" w:hAnsi="Arial"/>
          <w:sz w:val="20"/>
          <w:szCs w:val="20"/>
          <w:color w:val="auto"/>
        </w:rPr>
      </w:pPr>
      <w:r>
        <w:rPr>
          <w:rFonts w:ascii="Arial" w:cs="Arial" w:eastAsia="Arial" w:hAnsi="Arial"/>
          <w:sz w:val="19"/>
          <w:szCs w:val="19"/>
          <w:color w:val="auto"/>
        </w:rPr>
        <w:t>if to the Company, to:</w:t>
      </w:r>
    </w:p>
    <w:p>
      <w:pPr>
        <w:spacing w:after="0" w:line="205" w:lineRule="exact"/>
        <w:rPr>
          <w:sz w:val="20"/>
          <w:szCs w:val="20"/>
          <w:color w:val="auto"/>
        </w:rPr>
      </w:pPr>
    </w:p>
    <w:p>
      <w:pPr>
        <w:ind w:left="2381"/>
        <w:spacing w:after="0"/>
        <w:rPr>
          <w:sz w:val="20"/>
          <w:szCs w:val="20"/>
          <w:color w:val="auto"/>
        </w:rPr>
      </w:pPr>
      <w:r>
        <w:rPr>
          <w:rFonts w:ascii="Arial" w:cs="Arial" w:eastAsia="Arial" w:hAnsi="Arial"/>
          <w:sz w:val="19"/>
          <w:szCs w:val="19"/>
          <w:color w:val="auto"/>
        </w:rPr>
        <w:t>AppFolio, Inc.</w:t>
      </w:r>
    </w:p>
    <w:p>
      <w:pPr>
        <w:spacing w:after="0" w:line="21" w:lineRule="exact"/>
        <w:rPr>
          <w:sz w:val="20"/>
          <w:szCs w:val="20"/>
          <w:color w:val="auto"/>
        </w:rPr>
      </w:pPr>
    </w:p>
    <w:p>
      <w:pPr>
        <w:ind w:left="2381"/>
        <w:spacing w:after="0"/>
        <w:rPr>
          <w:sz w:val="20"/>
          <w:szCs w:val="20"/>
          <w:color w:val="auto"/>
        </w:rPr>
      </w:pPr>
      <w:r>
        <w:rPr>
          <w:rFonts w:ascii="Arial" w:cs="Arial" w:eastAsia="Arial" w:hAnsi="Arial"/>
          <w:sz w:val="19"/>
          <w:szCs w:val="19"/>
          <w:color w:val="auto"/>
        </w:rPr>
        <w:t>Attn: Matt Mazza, General Counsel</w:t>
      </w:r>
    </w:p>
    <w:p>
      <w:pPr>
        <w:spacing w:after="0" w:line="5" w:lineRule="exact"/>
        <w:rPr>
          <w:sz w:val="20"/>
          <w:szCs w:val="20"/>
          <w:color w:val="auto"/>
        </w:rPr>
      </w:pPr>
    </w:p>
    <w:p>
      <w:pPr>
        <w:ind w:left="2381"/>
        <w:spacing w:after="0"/>
        <w:rPr>
          <w:sz w:val="20"/>
          <w:szCs w:val="20"/>
          <w:color w:val="auto"/>
        </w:rPr>
      </w:pPr>
      <w:r>
        <w:rPr>
          <w:rFonts w:ascii="Arial" w:cs="Arial" w:eastAsia="Arial" w:hAnsi="Arial"/>
          <w:sz w:val="19"/>
          <w:szCs w:val="19"/>
          <w:color w:val="auto"/>
        </w:rPr>
        <w:t>50 Castilian Drive</w:t>
      </w:r>
    </w:p>
    <w:p>
      <w:pPr>
        <w:spacing w:after="0" w:line="5" w:lineRule="exact"/>
        <w:rPr>
          <w:sz w:val="20"/>
          <w:szCs w:val="20"/>
          <w:color w:val="auto"/>
        </w:rPr>
      </w:pPr>
    </w:p>
    <w:p>
      <w:pPr>
        <w:ind w:left="2381"/>
        <w:spacing w:after="0"/>
        <w:rPr>
          <w:sz w:val="20"/>
          <w:szCs w:val="20"/>
          <w:color w:val="auto"/>
        </w:rPr>
      </w:pPr>
      <w:r>
        <w:rPr>
          <w:rFonts w:ascii="Arial" w:cs="Arial" w:eastAsia="Arial" w:hAnsi="Arial"/>
          <w:sz w:val="19"/>
          <w:szCs w:val="19"/>
          <w:color w:val="auto"/>
        </w:rPr>
        <w:t>Goleta, California 93117</w:t>
      </w:r>
    </w:p>
    <w:p>
      <w:pPr>
        <w:spacing w:after="0" w:line="188" w:lineRule="exact"/>
        <w:rPr>
          <w:sz w:val="20"/>
          <w:szCs w:val="20"/>
          <w:color w:val="auto"/>
        </w:rPr>
      </w:pPr>
    </w:p>
    <w:p>
      <w:pPr>
        <w:ind w:left="1" w:firstLine="597"/>
        <w:spacing w:after="0" w:line="271" w:lineRule="auto"/>
        <w:rPr>
          <w:sz w:val="20"/>
          <w:szCs w:val="20"/>
          <w:color w:val="auto"/>
        </w:rPr>
      </w:pPr>
      <w:r>
        <w:rPr>
          <w:rFonts w:ascii="Arial" w:cs="Arial" w:eastAsia="Arial" w:hAnsi="Arial"/>
          <w:sz w:val="19"/>
          <w:szCs w:val="19"/>
          <w:color w:val="auto"/>
        </w:rPr>
        <w:t>Notice of change of address shall be effective only when given in accordance with this Section. All notices complying with this Section shall be deemed to have been received on the date of hand delivery or on the third business day after mailing.</w:t>
      </w:r>
    </w:p>
    <w:p>
      <w:pPr>
        <w:spacing w:after="0" w:line="153" w:lineRule="exact"/>
        <w:rPr>
          <w:sz w:val="20"/>
          <w:szCs w:val="20"/>
          <w:color w:val="auto"/>
        </w:rPr>
      </w:pPr>
    </w:p>
    <w:p>
      <w:pPr>
        <w:jc w:val="both"/>
        <w:ind w:left="1" w:firstLine="596"/>
        <w:spacing w:after="0" w:line="281" w:lineRule="auto"/>
        <w:tabs>
          <w:tab w:leader="none" w:pos="1062"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Governing Law and Forum</w:t>
      </w:r>
      <w:r>
        <w:rPr>
          <w:rFonts w:ascii="Arial" w:cs="Arial" w:eastAsia="Arial" w:hAnsi="Arial"/>
          <w:sz w:val="17"/>
          <w:szCs w:val="17"/>
          <w:color w:val="auto"/>
        </w:rPr>
        <w:t>. This Agreement shall be governed by and construed and enforced in accordance with the laws of the State of Delaware applicable to contracts made and to be performed in such state without giving effect to its principles of conflicts of laws. The Company and Indemnitee hereby irrevocably and unconditionally: (a) agree that any action or proceeding arising out of or in connection with this Agreement shall be brought only in the Delaware Court and not in any other state or federal court in the United States or any other country, (b) consent to submit to the exclusive jurisdiction of the Delaware Court for purposes of any action or proceeding arising out of or in connection with this Agreement and</w:t>
      </w:r>
    </w:p>
    <w:p>
      <w:pPr>
        <w:spacing w:after="0" w:line="3" w:lineRule="exact"/>
        <w:rPr>
          <w:rFonts w:ascii="Arial" w:cs="Arial" w:eastAsia="Arial" w:hAnsi="Arial"/>
          <w:sz w:val="17"/>
          <w:szCs w:val="17"/>
          <w:color w:val="auto"/>
        </w:rPr>
      </w:pPr>
    </w:p>
    <w:p>
      <w:pPr>
        <w:ind w:left="1" w:hanging="1"/>
        <w:spacing w:after="0" w:line="254" w:lineRule="auto"/>
        <w:tabs>
          <w:tab w:leader="none" w:pos="283" w:val="left"/>
        </w:tabs>
        <w:numPr>
          <w:ilvl w:val="0"/>
          <w:numId w:val="59"/>
        </w:numPr>
        <w:rPr>
          <w:rFonts w:ascii="Arial" w:cs="Arial" w:eastAsia="Arial" w:hAnsi="Arial"/>
          <w:sz w:val="19"/>
          <w:szCs w:val="19"/>
          <w:color w:val="auto"/>
        </w:rPr>
      </w:pPr>
      <w:r>
        <w:rPr>
          <w:rFonts w:ascii="Arial" w:cs="Arial" w:eastAsia="Arial" w:hAnsi="Arial"/>
          <w:sz w:val="19"/>
          <w:szCs w:val="19"/>
          <w:color w:val="auto"/>
        </w:rPr>
        <w:t>waive, and agree not to plead or make, any claim that the Delaware Court lacks venue or that any such action or proceeding brought in the Delaware Court has been brought in an improper or inconvenient forum.</w:t>
      </w:r>
    </w:p>
    <w:p>
      <w:pPr>
        <w:spacing w:after="0" w:line="168" w:lineRule="exact"/>
        <w:rPr>
          <w:rFonts w:ascii="Arial" w:cs="Arial" w:eastAsia="Arial" w:hAnsi="Arial"/>
          <w:sz w:val="19"/>
          <w:szCs w:val="19"/>
          <w:color w:val="auto"/>
        </w:rPr>
      </w:pPr>
    </w:p>
    <w:p>
      <w:pPr>
        <w:ind w:left="1" w:firstLine="596"/>
        <w:spacing w:after="0" w:line="285" w:lineRule="auto"/>
        <w:tabs>
          <w:tab w:leader="none" w:pos="1062"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the sections and paragraphs of this Agreement are inserted for convenience only and shall not be deemed to constitute part of this Agreement or to affect the construction or interpretation thereof.</w:t>
      </w:r>
    </w:p>
    <w:p>
      <w:pPr>
        <w:spacing w:after="0" w:line="140" w:lineRule="exact"/>
        <w:rPr>
          <w:rFonts w:ascii="Arial" w:cs="Arial" w:eastAsia="Arial" w:hAnsi="Arial"/>
          <w:sz w:val="19"/>
          <w:szCs w:val="19"/>
          <w:color w:val="auto"/>
        </w:rPr>
      </w:pPr>
    </w:p>
    <w:p>
      <w:pPr>
        <w:ind w:left="1" w:firstLine="596"/>
        <w:spacing w:after="0" w:line="285" w:lineRule="auto"/>
        <w:tabs>
          <w:tab w:leader="none" w:pos="1087"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each of which shall for all purposes be deemed to be an original, but all of which together shall constitute one and the same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1"/>
          </w:cols>
          <w:pgMar w:left="239" w:top="563" w:right="239" w:bottom="1440" w:gutter="0" w:footer="0" w:header="0"/>
        </w:sectPr>
      </w:pPr>
    </w:p>
    <w:bookmarkStart w:id="114" w:name="page115"/>
    <w:bookmarkEnd w:id="114"/>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019"/>
          </w:cols>
          <w:pgMar w:left="1440" w:top="1440" w:right="1440"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9"/>
          <w:szCs w:val="19"/>
          <w:b w:val="1"/>
          <w:bCs w:val="1"/>
          <w:color w:val="auto"/>
        </w:rPr>
        <w:t>COMPANY:</w:t>
      </w:r>
    </w:p>
    <w:p>
      <w:pPr>
        <w:spacing w:after="0" w:line="204" w:lineRule="exact"/>
        <w:rPr>
          <w:sz w:val="20"/>
          <w:szCs w:val="20"/>
          <w:color w:val="auto"/>
        </w:rPr>
      </w:pPr>
    </w:p>
    <w:p>
      <w:pPr>
        <w:ind w:left="2980"/>
        <w:spacing w:after="0"/>
        <w:rPr>
          <w:sz w:val="20"/>
          <w:szCs w:val="20"/>
          <w:color w:val="auto"/>
        </w:rPr>
      </w:pPr>
      <w:r>
        <w:rPr>
          <w:rFonts w:ascii="Arial" w:cs="Arial" w:eastAsia="Arial" w:hAnsi="Arial"/>
          <w:sz w:val="19"/>
          <w:szCs w:val="19"/>
          <w:b w:val="1"/>
          <w:bCs w:val="1"/>
          <w:color w:val="auto"/>
        </w:rPr>
        <w:t>APPFOLIO, INC.</w:t>
      </w:r>
    </w:p>
    <w:p>
      <w:pPr>
        <w:spacing w:after="0" w:line="200" w:lineRule="exact"/>
        <w:rPr>
          <w:sz w:val="20"/>
          <w:szCs w:val="20"/>
          <w:color w:val="auto"/>
        </w:rPr>
      </w:pPr>
    </w:p>
    <w:p>
      <w:pPr>
        <w:spacing w:after="0" w:line="209" w:lineRule="exact"/>
        <w:rPr>
          <w:sz w:val="20"/>
          <w:szCs w:val="20"/>
          <w:color w:val="auto"/>
        </w:rPr>
      </w:pPr>
    </w:p>
    <w:p>
      <w:pPr>
        <w:ind w:left="29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-12065</wp:posOffset>
            </wp:positionV>
            <wp:extent cx="12128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184" w:lineRule="exact"/>
        <w:rPr>
          <w:sz w:val="20"/>
          <w:szCs w:val="20"/>
          <w:color w:val="auto"/>
        </w:rPr>
      </w:pPr>
    </w:p>
    <w:p>
      <w:pPr>
        <w:ind w:left="298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-12065</wp:posOffset>
            </wp:positionV>
            <wp:extent cx="12128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184" w:lineRule="exact"/>
        <w:rPr>
          <w:sz w:val="20"/>
          <w:szCs w:val="20"/>
          <w:color w:val="auto"/>
        </w:rPr>
      </w:pPr>
    </w:p>
    <w:p>
      <w:pPr>
        <w:ind w:left="2980"/>
        <w:spacing w:after="0"/>
        <w:rPr>
          <w:sz w:val="20"/>
          <w:szCs w:val="20"/>
          <w:color w:val="auto"/>
        </w:rPr>
      </w:pPr>
      <w:r>
        <w:rPr>
          <w:rFonts w:ascii="Arial" w:cs="Arial" w:eastAsia="Arial" w:hAnsi="Arial"/>
          <w:sz w:val="19"/>
          <w:szCs w:val="19"/>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2077720</wp:posOffset>
            </wp:positionH>
            <wp:positionV relativeFrom="paragraph">
              <wp:posOffset>-12065</wp:posOffset>
            </wp:positionV>
            <wp:extent cx="12128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377" w:lineRule="exact"/>
        <w:rPr>
          <w:sz w:val="20"/>
          <w:szCs w:val="20"/>
          <w:color w:val="auto"/>
        </w:rPr>
      </w:pPr>
    </w:p>
    <w:p>
      <w:pPr>
        <w:ind w:left="2980"/>
        <w:spacing w:after="0"/>
        <w:rPr>
          <w:sz w:val="20"/>
          <w:szCs w:val="20"/>
          <w:color w:val="auto"/>
        </w:rPr>
      </w:pPr>
      <w:r>
        <w:rPr>
          <w:rFonts w:ascii="Arial" w:cs="Arial" w:eastAsia="Arial" w:hAnsi="Arial"/>
          <w:sz w:val="19"/>
          <w:szCs w:val="19"/>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6820535</wp:posOffset>
            </wp:positionH>
            <wp:positionV relativeFrom="paragraph">
              <wp:posOffset>543560</wp:posOffset>
            </wp:positionV>
            <wp:extent cx="11366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extLst>
                        <a:ext uri="{28A0092B-C50C-407E-A947-70E740481C1C}"/>
                      </a:extLst>
                    </a:blip>
                    <a:srcRect/>
                    <a:stretch>
                      <a:fillRect/>
                    </a:stretch>
                  </pic:blipFill>
                  <pic:spPr bwMode="auto">
                    <a:xfrm>
                      <a:off x="0" y="0"/>
                      <a:ext cx="113665" cy="762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938530</wp:posOffset>
            </wp:positionV>
            <wp:extent cx="11366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4">
                      <a:extLst>
                        <a:ext uri="{28A0092B-C50C-407E-A947-70E740481C1C}"/>
                      </a:extLst>
                    </a:blip>
                    <a:srcRect/>
                    <a:stretch>
                      <a:fillRect/>
                    </a:stretch>
                  </pic:blipFill>
                  <pic:spPr bwMode="auto">
                    <a:xfrm>
                      <a:off x="0" y="0"/>
                      <a:ext cx="1136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(Print Name)</w:t>
      </w:r>
    </w:p>
    <w:p>
      <w:pPr>
        <w:spacing w:after="0" w:line="204" w:lineRule="exact"/>
        <w:rPr>
          <w:sz w:val="20"/>
          <w:szCs w:val="20"/>
          <w:color w:val="auto"/>
        </w:rPr>
      </w:pPr>
    </w:p>
    <w:p>
      <w:pPr>
        <w:ind w:left="2980"/>
        <w:spacing w:after="0"/>
        <w:tabs>
          <w:tab w:leader="none" w:pos="3840" w:val="left"/>
        </w:tabs>
        <w:rPr>
          <w:sz w:val="20"/>
          <w:szCs w:val="20"/>
          <w:color w:val="auto"/>
        </w:rPr>
      </w:pPr>
      <w:r>
        <w:rPr>
          <w:rFonts w:ascii="Arial" w:cs="Arial" w:eastAsia="Arial" w:hAnsi="Arial"/>
          <w:sz w:val="19"/>
          <w:szCs w:val="19"/>
          <w:b w:val="1"/>
          <w:bCs w:val="1"/>
          <w:i w:val="1"/>
          <w:iCs w:val="1"/>
          <w:color w:val="auto"/>
        </w:rPr>
        <w:t>Address:</w:t>
      </w:r>
      <w:r>
        <w:rPr>
          <w:sz w:val="20"/>
          <w:szCs w:val="20"/>
          <w:color w:val="auto"/>
        </w:rPr>
        <w:tab/>
      </w:r>
      <w:r>
        <w:rPr>
          <w:rFonts w:ascii="Arial" w:cs="Arial" w:eastAsia="Arial" w:hAnsi="Arial"/>
          <w:sz w:val="17"/>
          <w:szCs w:val="17"/>
          <w:b w:val="1"/>
          <w:bCs w:val="1"/>
          <w:i w:val="1"/>
          <w:iCs w:val="1"/>
          <w:color w:val="auto"/>
        </w:rPr>
        <w:t>50 Castilian Drive</w:t>
      </w:r>
    </w:p>
    <w:p>
      <w:pPr>
        <w:spacing w:after="0" w:line="21" w:lineRule="exact"/>
        <w:rPr>
          <w:sz w:val="20"/>
          <w:szCs w:val="20"/>
          <w:color w:val="auto"/>
        </w:rPr>
      </w:pPr>
    </w:p>
    <w:p>
      <w:pPr>
        <w:jc w:val="right"/>
        <w:ind w:right="779"/>
        <w:spacing w:after="0"/>
        <w:rPr>
          <w:sz w:val="20"/>
          <w:szCs w:val="20"/>
          <w:color w:val="auto"/>
        </w:rPr>
      </w:pPr>
      <w:r>
        <w:rPr>
          <w:rFonts w:ascii="Arial" w:cs="Arial" w:eastAsia="Arial" w:hAnsi="Arial"/>
          <w:sz w:val="19"/>
          <w:szCs w:val="19"/>
          <w:b w:val="1"/>
          <w:bCs w:val="1"/>
          <w:i w:val="1"/>
          <w:iCs w:val="1"/>
          <w:color w:val="auto"/>
        </w:rPr>
        <w:t>Goleta, CA 93117</w:t>
      </w:r>
    </w:p>
    <w:p>
      <w:pPr>
        <w:spacing w:after="0" w:line="200" w:lineRule="exact"/>
        <w:rPr>
          <w:sz w:val="20"/>
          <w:szCs w:val="20"/>
          <w:color w:val="auto"/>
        </w:rPr>
      </w:pP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7"/>
          <w:szCs w:val="17"/>
          <w:i w:val="1"/>
          <w:iCs w:val="1"/>
          <w:color w:val="auto"/>
        </w:rPr>
        <w:t>[Signature Page to Indemnification Agreement]</w:t>
      </w:r>
    </w:p>
    <w:p>
      <w:pPr>
        <w:sectPr>
          <w:pgSz w:w="11900" w:h="16838" w:orient="portrait"/>
          <w:cols w:equalWidth="0" w:num="1">
            <w:col w:w="9619"/>
          </w:cols>
          <w:pgMar w:left="840" w:top="563"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341"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auto"/>
        </w:rPr>
        <w:t>List of 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4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4260" w:type="dxa"/>
            <w:vAlign w:val="bottom"/>
            <w:gridSpan w:val="2"/>
          </w:tcPr>
          <w:p>
            <w:pPr>
              <w:jc w:val="right"/>
              <w:spacing w:after="0"/>
              <w:rPr>
                <w:sz w:val="20"/>
                <w:szCs w:val="20"/>
                <w:color w:val="auto"/>
              </w:rPr>
            </w:pPr>
            <w:r>
              <w:rPr>
                <w:rFonts w:ascii="Arial" w:cs="Arial" w:eastAsia="Arial" w:hAnsi="Arial"/>
                <w:sz w:val="17"/>
                <w:szCs w:val="17"/>
                <w:color w:val="auto"/>
              </w:rPr>
              <w:t>Jurisdiction</w:t>
            </w:r>
          </w:p>
        </w:tc>
      </w:tr>
      <w:tr>
        <w:trPr>
          <w:trHeight w:val="20"/>
        </w:trPr>
        <w:tc>
          <w:tcPr>
            <w:tcW w:w="70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66"/>
        </w:trPr>
        <w:tc>
          <w:tcPr>
            <w:tcW w:w="6140" w:type="dxa"/>
            <w:vAlign w:val="bottom"/>
            <w:gridSpan w:val="2"/>
          </w:tcPr>
          <w:p>
            <w:pPr>
              <w:spacing w:after="0"/>
              <w:rPr>
                <w:sz w:val="20"/>
                <w:szCs w:val="20"/>
                <w:color w:val="auto"/>
              </w:rPr>
            </w:pPr>
            <w:r>
              <w:rPr>
                <w:rFonts w:ascii="Arial" w:cs="Arial" w:eastAsia="Arial" w:hAnsi="Arial"/>
                <w:sz w:val="17"/>
                <w:szCs w:val="17"/>
                <w:color w:val="auto"/>
              </w:rPr>
              <w:t>AppFolio Utility Management, Inc.</w:t>
            </w:r>
          </w:p>
        </w:tc>
        <w:tc>
          <w:tcPr>
            <w:tcW w:w="3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California</w:t>
            </w:r>
          </w:p>
        </w:tc>
      </w:tr>
      <w:tr>
        <w:trPr>
          <w:trHeight w:val="249"/>
        </w:trPr>
        <w:tc>
          <w:tcPr>
            <w:tcW w:w="6140" w:type="dxa"/>
            <w:vAlign w:val="bottom"/>
            <w:gridSpan w:val="2"/>
          </w:tcPr>
          <w:p>
            <w:pPr>
              <w:spacing w:after="0"/>
              <w:rPr>
                <w:sz w:val="20"/>
                <w:szCs w:val="20"/>
                <w:color w:val="auto"/>
              </w:rPr>
            </w:pPr>
            <w:r>
              <w:rPr>
                <w:rFonts w:ascii="Arial" w:cs="Arial" w:eastAsia="Arial" w:hAnsi="Arial"/>
                <w:sz w:val="17"/>
                <w:szCs w:val="17"/>
                <w:color w:val="auto"/>
              </w:rPr>
              <w:t>AppFolio Investment Management, Inc.</w:t>
            </w:r>
          </w:p>
        </w:tc>
        <w:tc>
          <w:tcPr>
            <w:tcW w:w="3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California</w:t>
            </w:r>
          </w:p>
        </w:tc>
      </w:tr>
      <w:tr>
        <w:trPr>
          <w:trHeight w:val="249"/>
        </w:trPr>
        <w:tc>
          <w:tcPr>
            <w:tcW w:w="6140" w:type="dxa"/>
            <w:vAlign w:val="bottom"/>
            <w:gridSpan w:val="2"/>
          </w:tcPr>
          <w:p>
            <w:pPr>
              <w:spacing w:after="0"/>
              <w:rPr>
                <w:sz w:val="20"/>
                <w:szCs w:val="20"/>
                <w:color w:val="auto"/>
              </w:rPr>
            </w:pPr>
            <w:r>
              <w:rPr>
                <w:rFonts w:ascii="Arial" w:cs="Arial" w:eastAsia="Arial" w:hAnsi="Arial"/>
                <w:sz w:val="17"/>
                <w:szCs w:val="17"/>
                <w:color w:val="auto"/>
              </w:rPr>
              <w:t>Dynasty Marketplace, Inc.</w:t>
            </w:r>
          </w:p>
        </w:tc>
        <w:tc>
          <w:tcPr>
            <w:tcW w:w="3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Delaware</w:t>
            </w:r>
          </w:p>
        </w:tc>
      </w:tr>
      <w:tr>
        <w:trPr>
          <w:trHeight w:val="249"/>
        </w:trPr>
        <w:tc>
          <w:tcPr>
            <w:tcW w:w="6140" w:type="dxa"/>
            <w:vAlign w:val="bottom"/>
            <w:gridSpan w:val="2"/>
          </w:tcPr>
          <w:p>
            <w:pPr>
              <w:spacing w:after="0"/>
              <w:rPr>
                <w:sz w:val="20"/>
                <w:szCs w:val="20"/>
                <w:color w:val="auto"/>
              </w:rPr>
            </w:pPr>
            <w:r>
              <w:rPr>
                <w:rFonts w:ascii="Arial" w:cs="Arial" w:eastAsia="Arial" w:hAnsi="Arial"/>
                <w:sz w:val="17"/>
                <w:szCs w:val="17"/>
                <w:color w:val="auto"/>
              </w:rPr>
              <w:t>Mesa Insurance Solutions, Inc.</w:t>
            </w:r>
          </w:p>
        </w:tc>
        <w:tc>
          <w:tcPr>
            <w:tcW w:w="3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California</w:t>
            </w:r>
          </w:p>
        </w:tc>
      </w:tr>
      <w:tr>
        <w:trPr>
          <w:trHeight w:val="249"/>
        </w:trPr>
        <w:tc>
          <w:tcPr>
            <w:tcW w:w="6140" w:type="dxa"/>
            <w:vAlign w:val="bottom"/>
            <w:gridSpan w:val="2"/>
          </w:tcPr>
          <w:p>
            <w:pPr>
              <w:spacing w:after="0"/>
              <w:rPr>
                <w:sz w:val="20"/>
                <w:szCs w:val="20"/>
                <w:color w:val="auto"/>
              </w:rPr>
            </w:pPr>
            <w:r>
              <w:rPr>
                <w:rFonts w:ascii="Arial" w:cs="Arial" w:eastAsia="Arial" w:hAnsi="Arial"/>
                <w:sz w:val="17"/>
                <w:szCs w:val="17"/>
                <w:color w:val="auto"/>
              </w:rPr>
              <w:t>MyCase, Inc.</w:t>
            </w:r>
          </w:p>
        </w:tc>
        <w:tc>
          <w:tcPr>
            <w:tcW w:w="3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California</w:t>
            </w:r>
          </w:p>
        </w:tc>
      </w:tr>
      <w:tr>
        <w:trPr>
          <w:trHeight w:val="249"/>
        </w:trPr>
        <w:tc>
          <w:tcPr>
            <w:tcW w:w="6140" w:type="dxa"/>
            <w:vAlign w:val="bottom"/>
            <w:gridSpan w:val="2"/>
          </w:tcPr>
          <w:p>
            <w:pPr>
              <w:spacing w:after="0"/>
              <w:rPr>
                <w:sz w:val="20"/>
                <w:szCs w:val="20"/>
                <w:color w:val="auto"/>
              </w:rPr>
            </w:pPr>
            <w:r>
              <w:rPr>
                <w:rFonts w:ascii="Arial" w:cs="Arial" w:eastAsia="Arial" w:hAnsi="Arial"/>
                <w:sz w:val="17"/>
                <w:szCs w:val="17"/>
                <w:color w:val="auto"/>
              </w:rPr>
              <w:t>RentLinx LLC</w:t>
            </w:r>
          </w:p>
        </w:tc>
        <w:tc>
          <w:tcPr>
            <w:tcW w:w="3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Michigan</w:t>
            </w:r>
          </w:p>
        </w:tc>
      </w:tr>
      <w:tr>
        <w:trPr>
          <w:trHeight w:val="249"/>
        </w:trPr>
        <w:tc>
          <w:tcPr>
            <w:tcW w:w="6140" w:type="dxa"/>
            <w:vAlign w:val="bottom"/>
            <w:gridSpan w:val="2"/>
          </w:tcPr>
          <w:p>
            <w:pPr>
              <w:spacing w:after="0"/>
              <w:rPr>
                <w:sz w:val="20"/>
                <w:szCs w:val="20"/>
                <w:color w:val="auto"/>
              </w:rPr>
            </w:pPr>
            <w:r>
              <w:rPr>
                <w:rFonts w:ascii="Arial" w:cs="Arial" w:eastAsia="Arial" w:hAnsi="Arial"/>
                <w:sz w:val="17"/>
                <w:szCs w:val="17"/>
                <w:color w:val="auto"/>
              </w:rPr>
              <w:t>Terra Mar Insurance Company, Inc.</w:t>
            </w:r>
          </w:p>
        </w:tc>
        <w:tc>
          <w:tcPr>
            <w:tcW w:w="3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Hawaii</w:t>
            </w:r>
          </w:p>
        </w:tc>
      </w:tr>
    </w:tbl>
    <w:p>
      <w:pPr>
        <w:sectPr>
          <w:pgSz w:w="11900" w:h="16838" w:orient="portrait"/>
          <w:cols w:equalWidth="0" w:num="1">
            <w:col w:w="10900"/>
          </w:cols>
          <w:pgMar w:left="760" w:top="98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auto"/>
        </w:rPr>
        <w:t>Exhibit 23.1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30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hereby consent to the incorporation by reference in the Registration Statements on Form S-8 (No. 333-229970, No.333-223231, No. 333-216274, No. 333-209792, and No. 333-206179) of AppFolio, Inc. of our report dated March 2, 2020 relating to the financial statements and the effectiveness of internal control over financial reporting, which appears in this Form 10-K.</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March 2, 2020</w:t>
      </w:r>
    </w:p>
    <w:p>
      <w:pPr>
        <w:sectPr>
          <w:pgSz w:w="11900" w:h="16838" w:orient="portrait"/>
          <w:cols w:equalWidth="0" w:num="1">
            <w:col w:w="11420"/>
          </w:cols>
          <w:pgMar w:left="240" w:top="5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auto"/>
        </w:rPr>
        <w:t>EXHIBIT 31.1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 Jason Randall, certify that:</w:t>
      </w:r>
    </w:p>
    <w:p>
      <w:pPr>
        <w:spacing w:after="0" w:line="153" w:lineRule="exact"/>
        <w:rPr>
          <w:sz w:val="20"/>
          <w:szCs w:val="20"/>
          <w:color w:val="auto"/>
        </w:rPr>
      </w:pPr>
    </w:p>
    <w:p>
      <w:pPr>
        <w:ind w:left="1160" w:hanging="1136"/>
        <w:spacing w:after="0"/>
        <w:tabs>
          <w:tab w:leader="none" w:pos="1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AppFolio, Inc.;</w:t>
      </w:r>
    </w:p>
    <w:p>
      <w:pPr>
        <w:spacing w:after="0" w:line="177" w:lineRule="exact"/>
        <w:rPr>
          <w:rFonts w:ascii="Arial" w:cs="Arial" w:eastAsia="Arial" w:hAnsi="Arial"/>
          <w:sz w:val="17"/>
          <w:szCs w:val="17"/>
          <w:color w:val="auto"/>
        </w:rPr>
      </w:pPr>
    </w:p>
    <w:p>
      <w:pPr>
        <w:ind w:left="1160" w:right="20" w:hanging="1136"/>
        <w:spacing w:after="0" w:line="331" w:lineRule="auto"/>
        <w:tabs>
          <w:tab w:leader="none" w:pos="11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5"/>
          <w:szCs w:val="15"/>
          <w:color w:val="auto"/>
        </w:rPr>
      </w:pPr>
    </w:p>
    <w:p>
      <w:pPr>
        <w:ind w:left="1160" w:right="20" w:hanging="1136"/>
        <w:spacing w:after="0" w:line="264" w:lineRule="auto"/>
        <w:tabs>
          <w:tab w:leader="none" w:pos="1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7"/>
          <w:szCs w:val="17"/>
          <w:color w:val="auto"/>
        </w:rPr>
      </w:pPr>
    </w:p>
    <w:p>
      <w:pPr>
        <w:jc w:val="both"/>
        <w:ind w:left="1160" w:right="20" w:hanging="1136"/>
        <w:spacing w:after="0" w:line="254" w:lineRule="auto"/>
        <w:tabs>
          <w:tab w:leader="none" w:pos="1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50" w:lineRule="exact"/>
        <w:rPr>
          <w:rFonts w:ascii="Arial" w:cs="Arial" w:eastAsia="Arial" w:hAnsi="Arial"/>
          <w:sz w:val="17"/>
          <w:szCs w:val="17"/>
          <w:color w:val="auto"/>
        </w:rPr>
      </w:pPr>
    </w:p>
    <w:p>
      <w:pPr>
        <w:jc w:val="both"/>
        <w:ind w:left="2320" w:right="20" w:hanging="567"/>
        <w:spacing w:after="0" w:line="277" w:lineRule="auto"/>
        <w:tabs>
          <w:tab w:leader="none" w:pos="2320" w:val="left"/>
        </w:tabs>
        <w:numPr>
          <w:ilvl w:val="2"/>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6"/>
          <w:szCs w:val="16"/>
          <w:color w:val="auto"/>
        </w:rPr>
      </w:pPr>
    </w:p>
    <w:p>
      <w:pPr>
        <w:ind w:left="2320" w:right="60" w:hanging="567"/>
        <w:spacing w:after="0" w:line="254" w:lineRule="auto"/>
        <w:tabs>
          <w:tab w:leader="none" w:pos="2320" w:val="left"/>
        </w:tabs>
        <w:numPr>
          <w:ilvl w:val="2"/>
          <w:numId w:val="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9" w:lineRule="exact"/>
        <w:rPr>
          <w:rFonts w:ascii="Arial" w:cs="Arial" w:eastAsia="Arial" w:hAnsi="Arial"/>
          <w:sz w:val="17"/>
          <w:szCs w:val="17"/>
          <w:color w:val="auto"/>
        </w:rPr>
      </w:pPr>
    </w:p>
    <w:p>
      <w:pPr>
        <w:ind w:left="2320" w:right="40" w:hanging="567"/>
        <w:spacing w:after="0" w:line="331" w:lineRule="auto"/>
        <w:tabs>
          <w:tab w:leader="none" w:pos="2320" w:val="left"/>
        </w:tabs>
        <w:numPr>
          <w:ilvl w:val="2"/>
          <w:numId w:val="6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5"/>
          <w:szCs w:val="15"/>
          <w:color w:val="auto"/>
        </w:rPr>
      </w:pPr>
    </w:p>
    <w:p>
      <w:pPr>
        <w:jc w:val="both"/>
        <w:ind w:left="2320" w:right="40" w:hanging="567"/>
        <w:spacing w:after="0" w:line="254" w:lineRule="auto"/>
        <w:tabs>
          <w:tab w:leader="none" w:pos="2320" w:val="left"/>
        </w:tabs>
        <w:numPr>
          <w:ilvl w:val="2"/>
          <w:numId w:val="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1160" w:right="20" w:hanging="1136"/>
        <w:spacing w:after="0" w:line="295" w:lineRule="auto"/>
        <w:tabs>
          <w:tab w:leader="none" w:pos="11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6"/>
          <w:szCs w:val="16"/>
          <w:color w:val="auto"/>
        </w:rPr>
      </w:pPr>
    </w:p>
    <w:p>
      <w:pPr>
        <w:ind w:left="2320" w:right="20" w:hanging="579"/>
        <w:spacing w:after="0" w:line="331" w:lineRule="auto"/>
        <w:tabs>
          <w:tab w:leader="none" w:pos="2320" w:val="left"/>
        </w:tabs>
        <w:numPr>
          <w:ilvl w:val="1"/>
          <w:numId w:val="6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5"/>
          <w:szCs w:val="15"/>
          <w:color w:val="auto"/>
        </w:rPr>
      </w:pPr>
    </w:p>
    <w:p>
      <w:pPr>
        <w:ind w:left="2320" w:right="20" w:hanging="579"/>
        <w:spacing w:after="0" w:line="264" w:lineRule="auto"/>
        <w:tabs>
          <w:tab w:leader="none" w:pos="23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41" w:lineRule="exact"/>
        <w:rPr>
          <w:sz w:val="20"/>
          <w:szCs w:val="20"/>
          <w:color w:val="auto"/>
        </w:rPr>
      </w:pPr>
    </w:p>
    <w:p>
      <w:pPr>
        <w:ind w:left="20"/>
        <w:spacing w:after="0"/>
        <w:tabs>
          <w:tab w:leader="none" w:pos="680" w:val="left"/>
          <w:tab w:leader="none" w:pos="59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March 2, 2020</w:t>
      </w:r>
      <w:r>
        <w:rPr>
          <w:sz w:val="20"/>
          <w:szCs w:val="20"/>
          <w:color w:val="auto"/>
        </w:rPr>
        <w:tab/>
      </w:r>
      <w:r>
        <w:rPr>
          <w:rFonts w:ascii="Arial" w:cs="Arial" w:eastAsia="Arial" w:hAnsi="Arial"/>
          <w:sz w:val="13"/>
          <w:szCs w:val="13"/>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26035</wp:posOffset>
            </wp:positionV>
            <wp:extent cx="34671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5">
                      <a:extLst>
                        <a:ext uri="{28A0092B-C50C-407E-A947-70E740481C1C}"/>
                      </a:extLst>
                    </a:blip>
                    <a:srcRect/>
                    <a:stretch>
                      <a:fillRect/>
                    </a:stretch>
                  </pic:blipFill>
                  <pic:spPr bwMode="auto">
                    <a:xfrm>
                      <a:off x="0" y="0"/>
                      <a:ext cx="3467100" cy="7620"/>
                    </a:xfrm>
                    <a:prstGeom prst="rect">
                      <a:avLst/>
                    </a:prstGeom>
                    <a:noFill/>
                  </pic:spPr>
                </pic:pic>
              </a:graphicData>
            </a:graphic>
          </wp:anchor>
        </w:drawing>
      </w:r>
    </w:p>
    <w:p>
      <w:pPr>
        <w:spacing w:after="0" w:line="4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Jason Randall</w:t>
      </w:r>
    </w:p>
    <w:p>
      <w:pPr>
        <w:spacing w:after="0" w:line="5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23"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7"/>
          <w:szCs w:val="17"/>
          <w:b w:val="1"/>
          <w:bCs w:val="1"/>
          <w:color w:val="auto"/>
        </w:rPr>
        <w:t>EXHIBIT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I, Ida Kane, certify that:</w:t>
      </w:r>
    </w:p>
    <w:p>
      <w:pPr>
        <w:spacing w:after="0" w:line="153" w:lineRule="exact"/>
        <w:rPr>
          <w:sz w:val="20"/>
          <w:szCs w:val="20"/>
          <w:color w:val="auto"/>
        </w:rPr>
      </w:pPr>
    </w:p>
    <w:p>
      <w:pPr>
        <w:ind w:left="1160" w:hanging="1136"/>
        <w:spacing w:after="0"/>
        <w:tabs>
          <w:tab w:leader="none" w:pos="11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AppFolio, Inc.;</w:t>
      </w:r>
    </w:p>
    <w:p>
      <w:pPr>
        <w:spacing w:after="0" w:line="177" w:lineRule="exact"/>
        <w:rPr>
          <w:rFonts w:ascii="Arial" w:cs="Arial" w:eastAsia="Arial" w:hAnsi="Arial"/>
          <w:sz w:val="17"/>
          <w:szCs w:val="17"/>
          <w:color w:val="auto"/>
        </w:rPr>
      </w:pPr>
    </w:p>
    <w:p>
      <w:pPr>
        <w:ind w:left="1160" w:right="20" w:hanging="1136"/>
        <w:spacing w:after="0" w:line="331" w:lineRule="auto"/>
        <w:tabs>
          <w:tab w:leader="none" w:pos="11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5"/>
          <w:szCs w:val="15"/>
          <w:color w:val="auto"/>
        </w:rPr>
      </w:pPr>
    </w:p>
    <w:p>
      <w:pPr>
        <w:ind w:left="1160" w:right="20" w:hanging="1136"/>
        <w:spacing w:after="0" w:line="264" w:lineRule="auto"/>
        <w:tabs>
          <w:tab w:leader="none" w:pos="11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7"/>
          <w:szCs w:val="17"/>
          <w:color w:val="auto"/>
        </w:rPr>
      </w:pPr>
    </w:p>
    <w:p>
      <w:pPr>
        <w:jc w:val="both"/>
        <w:ind w:left="1160" w:right="20" w:hanging="1136"/>
        <w:spacing w:after="0" w:line="254" w:lineRule="auto"/>
        <w:tabs>
          <w:tab w:leader="none" w:pos="11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200" w:lineRule="exact"/>
        <w:rPr>
          <w:rFonts w:ascii="Arial" w:cs="Arial" w:eastAsia="Arial" w:hAnsi="Arial"/>
          <w:sz w:val="17"/>
          <w:szCs w:val="17"/>
          <w:color w:val="auto"/>
        </w:rPr>
      </w:pPr>
    </w:p>
    <w:p>
      <w:pPr>
        <w:spacing w:after="0" w:line="348" w:lineRule="exact"/>
        <w:rPr>
          <w:rFonts w:ascii="Arial" w:cs="Arial" w:eastAsia="Arial" w:hAnsi="Arial"/>
          <w:sz w:val="17"/>
          <w:szCs w:val="17"/>
          <w:color w:val="auto"/>
        </w:rPr>
      </w:pPr>
    </w:p>
    <w:p>
      <w:pPr>
        <w:jc w:val="both"/>
        <w:ind w:left="2320" w:right="20" w:hanging="579"/>
        <w:spacing w:after="0" w:line="277" w:lineRule="auto"/>
        <w:tabs>
          <w:tab w:leader="none" w:pos="23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6"/>
          <w:szCs w:val="16"/>
          <w:color w:val="auto"/>
        </w:rPr>
      </w:pPr>
    </w:p>
    <w:p>
      <w:pPr>
        <w:ind w:left="2320" w:right="60" w:hanging="579"/>
        <w:spacing w:after="0" w:line="254" w:lineRule="auto"/>
        <w:tabs>
          <w:tab w:leader="none" w:pos="23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49" w:lineRule="exact"/>
        <w:rPr>
          <w:rFonts w:ascii="Arial" w:cs="Arial" w:eastAsia="Arial" w:hAnsi="Arial"/>
          <w:sz w:val="17"/>
          <w:szCs w:val="17"/>
          <w:color w:val="auto"/>
        </w:rPr>
      </w:pPr>
    </w:p>
    <w:p>
      <w:pPr>
        <w:ind w:left="2320" w:right="20" w:hanging="579"/>
        <w:spacing w:after="0" w:line="331" w:lineRule="auto"/>
        <w:tabs>
          <w:tab w:leader="none" w:pos="2320" w:val="left"/>
        </w:tabs>
        <w:numPr>
          <w:ilvl w:val="1"/>
          <w:numId w:val="6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5"/>
          <w:szCs w:val="15"/>
          <w:color w:val="auto"/>
        </w:rPr>
      </w:pPr>
    </w:p>
    <w:p>
      <w:pPr>
        <w:jc w:val="both"/>
        <w:ind w:left="2320" w:right="20" w:hanging="579"/>
        <w:spacing w:after="0" w:line="254" w:lineRule="auto"/>
        <w:tabs>
          <w:tab w:leader="none" w:pos="23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1160" w:right="20" w:hanging="1136"/>
        <w:spacing w:after="0" w:line="295" w:lineRule="auto"/>
        <w:tabs>
          <w:tab w:leader="none" w:pos="11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6"/>
          <w:szCs w:val="16"/>
          <w:color w:val="auto"/>
        </w:rPr>
      </w:pPr>
    </w:p>
    <w:p>
      <w:pPr>
        <w:ind w:left="2420" w:right="20" w:hanging="679"/>
        <w:spacing w:after="0" w:line="331" w:lineRule="auto"/>
        <w:tabs>
          <w:tab w:leader="none" w:pos="2420" w:val="left"/>
        </w:tabs>
        <w:numPr>
          <w:ilvl w:val="1"/>
          <w:numId w:val="6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5"/>
          <w:szCs w:val="15"/>
          <w:color w:val="auto"/>
        </w:rPr>
      </w:pPr>
    </w:p>
    <w:p>
      <w:pPr>
        <w:ind w:left="2540" w:right="20" w:hanging="799"/>
        <w:spacing w:after="0" w:line="264" w:lineRule="auto"/>
        <w:tabs>
          <w:tab w:leader="none" w:pos="25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tabs>
          <w:tab w:leader="none" w:pos="700" w:val="left"/>
          <w:tab w:leader="none" w:pos="59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March 2, 2020</w:t>
      </w:r>
      <w:r>
        <w:rPr>
          <w:sz w:val="20"/>
          <w:szCs w:val="20"/>
          <w:color w:val="auto"/>
        </w:rPr>
        <w:tab/>
      </w:r>
      <w:r>
        <w:rPr>
          <w:rFonts w:ascii="Arial" w:cs="Arial" w:eastAsia="Arial" w:hAnsi="Arial"/>
          <w:sz w:val="13"/>
          <w:szCs w:val="13"/>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26035</wp:posOffset>
            </wp:positionV>
            <wp:extent cx="348234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3482340" cy="7620"/>
                    </a:xfrm>
                    <a:prstGeom prst="rect">
                      <a:avLst/>
                    </a:prstGeom>
                    <a:noFill/>
                  </pic:spPr>
                </pic:pic>
              </a:graphicData>
            </a:graphic>
          </wp:anchor>
        </w:drawing>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Ida Kane</w:t>
      </w:r>
    </w:p>
    <w:p>
      <w:pPr>
        <w:spacing w:after="0" w:line="5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23"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OF CHIEF EXECUTIVE OFFICER AND CHIEF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90" w:lineRule="exact"/>
        <w:rPr>
          <w:sz w:val="20"/>
          <w:szCs w:val="20"/>
          <w:color w:val="auto"/>
        </w:rPr>
      </w:pPr>
    </w:p>
    <w:p>
      <w:pPr>
        <w:ind w:left="601"/>
        <w:spacing w:after="0"/>
        <w:rPr>
          <w:sz w:val="20"/>
          <w:szCs w:val="20"/>
          <w:color w:val="auto"/>
        </w:rPr>
      </w:pPr>
      <w:r>
        <w:rPr>
          <w:rFonts w:ascii="Arial" w:cs="Arial" w:eastAsia="Arial" w:hAnsi="Arial"/>
          <w:sz w:val="16"/>
          <w:szCs w:val="16"/>
          <w:color w:val="auto"/>
        </w:rPr>
        <w:t>The following certifications are hereby made in connection with the Annual Report on Form 10-K of AppFolio, Inc. (the “Company”) for the period ended</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7"/>
          <w:szCs w:val="17"/>
          <w:color w:val="auto"/>
        </w:rPr>
        <w:t>December 31, 2019, as filed with the Securities and Exchange Commission on the date hereof (the “Report”):</w:t>
      </w:r>
    </w:p>
    <w:p>
      <w:pPr>
        <w:spacing w:after="0" w:line="190" w:lineRule="exact"/>
        <w:rPr>
          <w:sz w:val="20"/>
          <w:szCs w:val="20"/>
          <w:color w:val="auto"/>
        </w:rPr>
      </w:pPr>
    </w:p>
    <w:p>
      <w:pPr>
        <w:jc w:val="both"/>
        <w:ind w:left="1" w:firstLine="597"/>
        <w:spacing w:after="0" w:line="250" w:lineRule="auto"/>
        <w:rPr>
          <w:sz w:val="20"/>
          <w:szCs w:val="20"/>
          <w:color w:val="auto"/>
        </w:rPr>
      </w:pPr>
      <w:r>
        <w:rPr>
          <w:rFonts w:ascii="Arial" w:cs="Arial" w:eastAsia="Arial" w:hAnsi="Arial"/>
          <w:sz w:val="17"/>
          <w:szCs w:val="17"/>
          <w:color w:val="auto"/>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131" w:lineRule="exact"/>
        <w:rPr>
          <w:sz w:val="20"/>
          <w:szCs w:val="20"/>
          <w:color w:val="auto"/>
        </w:rPr>
      </w:pPr>
    </w:p>
    <w:p>
      <w:pPr>
        <w:ind w:left="21"/>
        <w:spacing w:after="0"/>
        <w:tabs>
          <w:tab w:leader="none" w:pos="920" w:val="left"/>
          <w:tab w:leader="none" w:pos="5280" w:val="left"/>
          <w:tab w:leader="none" w:pos="58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March 2,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3"/>
          <w:szCs w:val="13"/>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26035</wp:posOffset>
            </wp:positionV>
            <wp:extent cx="35534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3553460" cy="7620"/>
                    </a:xfrm>
                    <a:prstGeom prst="rect">
                      <a:avLst/>
                    </a:prstGeom>
                    <a:noFill/>
                  </pic:spPr>
                </pic:pic>
              </a:graphicData>
            </a:graphic>
          </wp:anchor>
        </w:drawing>
      </w:r>
    </w:p>
    <w:p>
      <w:pPr>
        <w:spacing w:after="0" w:line="46" w:lineRule="exact"/>
        <w:rPr>
          <w:sz w:val="20"/>
          <w:szCs w:val="20"/>
          <w:color w:val="auto"/>
        </w:rPr>
      </w:pPr>
    </w:p>
    <w:p>
      <w:pPr>
        <w:ind w:left="5861"/>
        <w:spacing w:after="0"/>
        <w:rPr>
          <w:sz w:val="20"/>
          <w:szCs w:val="20"/>
          <w:color w:val="auto"/>
        </w:rPr>
      </w:pPr>
      <w:r>
        <w:rPr>
          <w:rFonts w:ascii="Arial" w:cs="Arial" w:eastAsia="Arial" w:hAnsi="Arial"/>
          <w:sz w:val="17"/>
          <w:szCs w:val="17"/>
          <w:color w:val="auto"/>
        </w:rPr>
        <w:t>Jason Randall</w:t>
      </w:r>
    </w:p>
    <w:p>
      <w:pPr>
        <w:spacing w:after="0" w:line="53" w:lineRule="exact"/>
        <w:rPr>
          <w:sz w:val="20"/>
          <w:szCs w:val="20"/>
          <w:color w:val="auto"/>
        </w:rPr>
      </w:pPr>
    </w:p>
    <w:p>
      <w:pPr>
        <w:ind w:left="5861"/>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226" w:lineRule="exact"/>
        <w:rPr>
          <w:sz w:val="20"/>
          <w:szCs w:val="20"/>
          <w:color w:val="auto"/>
        </w:rPr>
      </w:pPr>
    </w:p>
    <w:p>
      <w:pPr>
        <w:jc w:val="both"/>
        <w:ind w:left="1" w:firstLine="597"/>
        <w:spacing w:after="0" w:line="285" w:lineRule="auto"/>
        <w:rPr>
          <w:sz w:val="20"/>
          <w:szCs w:val="20"/>
          <w:color w:val="auto"/>
        </w:rPr>
      </w:pPr>
      <w:r>
        <w:rPr>
          <w:rFonts w:ascii="Arial" w:cs="Arial" w:eastAsia="Arial" w:hAnsi="Arial"/>
          <w:sz w:val="15"/>
          <w:szCs w:val="15"/>
          <w:color w:val="auto"/>
        </w:rPr>
        <w:t>I, Ida Kane,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w:t>
      </w:r>
    </w:p>
    <w:p>
      <w:pPr>
        <w:spacing w:after="0" w:line="1" w:lineRule="exact"/>
        <w:rPr>
          <w:sz w:val="20"/>
          <w:szCs w:val="20"/>
          <w:color w:val="auto"/>
        </w:rPr>
      </w:pPr>
    </w:p>
    <w:p>
      <w:pPr>
        <w:ind w:left="1" w:hanging="1"/>
        <w:spacing w:after="0" w:line="248" w:lineRule="auto"/>
        <w:tabs>
          <w:tab w:leader="none" w:pos="25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as of the dates and for the periods presented.</w:t>
      </w:r>
    </w:p>
    <w:p>
      <w:pPr>
        <w:spacing w:after="0" w:line="379" w:lineRule="exact"/>
        <w:rPr>
          <w:sz w:val="20"/>
          <w:szCs w:val="20"/>
          <w:color w:val="auto"/>
        </w:rPr>
      </w:pPr>
    </w:p>
    <w:p>
      <w:pPr>
        <w:ind w:left="21"/>
        <w:spacing w:after="0"/>
        <w:tabs>
          <w:tab w:leader="none" w:pos="920" w:val="left"/>
          <w:tab w:leader="none" w:pos="5280" w:val="left"/>
          <w:tab w:leader="none" w:pos="58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March 2,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3"/>
          <w:szCs w:val="13"/>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26035</wp:posOffset>
            </wp:positionV>
            <wp:extent cx="355346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3553460" cy="7620"/>
                    </a:xfrm>
                    <a:prstGeom prst="rect">
                      <a:avLst/>
                    </a:prstGeom>
                    <a:noFill/>
                  </pic:spPr>
                </pic:pic>
              </a:graphicData>
            </a:graphic>
          </wp:anchor>
        </w:drawing>
      </w:r>
    </w:p>
    <w:p>
      <w:pPr>
        <w:spacing w:after="0" w:line="46" w:lineRule="exact"/>
        <w:rPr>
          <w:sz w:val="20"/>
          <w:szCs w:val="20"/>
          <w:color w:val="auto"/>
        </w:rPr>
      </w:pPr>
    </w:p>
    <w:p>
      <w:pPr>
        <w:ind w:left="5861"/>
        <w:spacing w:after="0"/>
        <w:rPr>
          <w:sz w:val="20"/>
          <w:szCs w:val="20"/>
          <w:color w:val="auto"/>
        </w:rPr>
      </w:pPr>
      <w:r>
        <w:rPr>
          <w:rFonts w:ascii="Arial" w:cs="Arial" w:eastAsia="Arial" w:hAnsi="Arial"/>
          <w:sz w:val="17"/>
          <w:szCs w:val="17"/>
          <w:color w:val="auto"/>
        </w:rPr>
        <w:t>Ida Kane</w:t>
      </w:r>
    </w:p>
    <w:p>
      <w:pPr>
        <w:spacing w:after="0" w:line="53" w:lineRule="exact"/>
        <w:rPr>
          <w:sz w:val="20"/>
          <w:szCs w:val="20"/>
          <w:color w:val="auto"/>
        </w:rPr>
      </w:pPr>
    </w:p>
    <w:p>
      <w:pPr>
        <w:ind w:left="5861"/>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1"/>
      </w:cols>
      <w:pgMar w:left="239" w:top="3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1."/>
      <w:numFmt w:val="decimal"/>
      <w:start w:val="3"/>
    </w:lvl>
  </w:abstractNum>
  <w:abstractNum w:abstractNumId="25">
    <w:nsid w:val="725A06FB"/>
    <w:multiLevelType w:val="hybridMultilevel"/>
    <w:lvl w:ilvl="0">
      <w:lvlJc w:val="left"/>
      <w:lvlText w:val="%1."/>
      <w:numFmt w:val="decimal"/>
      <w:start w:val="4"/>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2"/>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1."/>
      <w:numFmt w:val="upperLetter"/>
      <w:start w:val="1"/>
    </w:lvl>
  </w:abstractNum>
  <w:abstractNum w:abstractNumId="37">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
    <w:nsid w:val="3DC240FB"/>
    <w:multiLevelType w:val="hybridMultilevel"/>
    <w:lvl w:ilvl="0">
      <w:lvlJc w:val="left"/>
      <w:lvlText w:val="%1"/>
      <w:numFmt w:val="lowerLetter"/>
      <w:start w:val="1"/>
    </w:lvl>
    <w:lvl w:ilvl="1">
      <w:lvlJc w:val="left"/>
      <w:lvlText w:val="(%2)"/>
      <w:numFmt w:val="lowerRoman"/>
      <w:start w:val="3"/>
    </w:lvl>
  </w:abstractNum>
  <w:abstractNum w:abstractNumId="39">
    <w:nsid w:val="1BA026FA"/>
    <w:multiLevelType w:val="hybridMultilevel"/>
    <w:lvl w:ilvl="0">
      <w:lvlJc w:val="left"/>
      <w:lvlText w:val="(%1)"/>
      <w:numFmt w:val="lowerLetter"/>
      <w:start w:val="6"/>
    </w:lvl>
    <w:lvl w:ilvl="1">
      <w:lvlJc w:val="left"/>
      <w:lvlText w:val="(%2)"/>
      <w:numFmt w:val="lowerRoman"/>
      <w:start w:val="1"/>
    </w:lvl>
  </w:abstractNum>
  <w:abstractNum w:abstractNumId="40">
    <w:nsid w:val="79A1DEAA"/>
    <w:multiLevelType w:val="hybridMultilevel"/>
    <w:lvl w:ilvl="0">
      <w:lvlJc w:val="left"/>
      <w:lvlText w:val="(%1)"/>
      <w:numFmt w:val="lowerLetter"/>
      <w:start w:val="16"/>
    </w:lvl>
  </w:abstractNum>
  <w:abstractNum w:abstractNumId="41">
    <w:nsid w:val="75C6C33A"/>
    <w:multiLevelType w:val="hybridMultilevel"/>
    <w:lvl w:ilvl="0">
      <w:lvlJc w:val="left"/>
      <w:lvlText w:val="%1."/>
      <w:numFmt w:val="decimal"/>
      <w:start w:val="3"/>
    </w:lvl>
  </w:abstractNum>
  <w:abstractNum w:abstractNumId="42">
    <w:nsid w:val="12E685FB"/>
    <w:multiLevelType w:val="hybridMultilevel"/>
    <w:lvl w:ilvl="0">
      <w:lvlJc w:val="left"/>
      <w:lvlText w:val="%1."/>
      <w:numFmt w:val="decimal"/>
      <w:start w:val="8"/>
    </w:lvl>
    <w:lvl w:ilvl="1">
      <w:lvlJc w:val="left"/>
      <w:lvlText w:val="(%2)"/>
      <w:numFmt w:val="lowerLetter"/>
      <w:start w:val="1"/>
    </w:lvl>
  </w:abstractNum>
  <w:abstractNum w:abstractNumId="43">
    <w:nsid w:val="70C6A52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4">
    <w:nsid w:val="520EEDD1"/>
    <w:multiLevelType w:val="hybridMultilevel"/>
    <w:lvl w:ilvl="0">
      <w:lvlJc w:val="left"/>
      <w:lvlText w:val="(%1)"/>
      <w:numFmt w:val="lowerLetter"/>
      <w:start w:val="3"/>
    </w:lvl>
  </w:abstractNum>
  <w:abstractNum w:abstractNumId="45">
    <w:nsid w:val="374A3FE6"/>
    <w:multiLevelType w:val="hybridMultilevel"/>
    <w:lvl w:ilvl="0">
      <w:lvlJc w:val="left"/>
      <w:lvlText w:val="(%1)"/>
      <w:numFmt w:val="lowerLetter"/>
      <w:start w:val="4"/>
    </w:lvl>
    <w:lvl w:ilvl="1">
      <w:lvlJc w:val="left"/>
      <w:lvlText w:val="(%2)"/>
      <w:numFmt w:val="lowerRoman"/>
      <w:start w:val="1"/>
    </w:lvl>
  </w:abstractNum>
  <w:abstractNum w:abstractNumId="46">
    <w:nsid w:val="4F4EF005"/>
    <w:multiLevelType w:val="hybridMultilevel"/>
    <w:lvl w:ilvl="0">
      <w:lvlJc w:val="left"/>
      <w:lvlText w:val="(%1)"/>
      <w:numFmt w:val="lowerLetter"/>
      <w:start w:val="5"/>
    </w:lvl>
  </w:abstractNum>
  <w:abstractNum w:abstractNumId="47">
    <w:nsid w:val="23F9C13C"/>
    <w:multiLevelType w:val="hybridMultilevel"/>
    <w:lvl w:ilvl="0">
      <w:lvlJc w:val="left"/>
      <w:lvlText w:val="(%1)"/>
      <w:numFmt w:val="lowerLetter"/>
      <w:start w:val="6"/>
    </w:lvl>
    <w:lvl w:ilvl="1">
      <w:lvlJc w:val="left"/>
      <w:lvlText w:val="(%2)"/>
      <w:numFmt w:val="lowerRoman"/>
      <w:start w:val="1"/>
    </w:lvl>
  </w:abstractNum>
  <w:abstractNum w:abstractNumId="48">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49">
    <w:nsid w:val="275AC794"/>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50">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1">
    <w:nsid w:val="1CF10FD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2">
    <w:nsid w:val="180115BE"/>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53">
    <w:nsid w:val="235BA861"/>
    <w:multiLevelType w:val="hybridMultilevel"/>
    <w:lvl w:ilvl="0">
      <w:lvlJc w:val="left"/>
      <w:lvlText w:val="%1"/>
      <w:numFmt w:val="lowerLetter"/>
      <w:start w:val="1"/>
    </w:lvl>
    <w:lvl w:ilvl="1">
      <w:lvlJc w:val="left"/>
      <w:lvlText w:val="%2."/>
      <w:numFmt w:val="decimal"/>
      <w:start w:val="14"/>
    </w:lvl>
  </w:abstractNum>
  <w:abstractNum w:abstractNumId="54">
    <w:nsid w:val="47398C89"/>
    <w:multiLevelType w:val="hybridMultilevel"/>
    <w:lvl w:ilvl="0">
      <w:lvlJc w:val="left"/>
      <w:lvlText w:val="(%1)"/>
      <w:numFmt w:val="lowerLetter"/>
      <w:start w:val="1"/>
    </w:lvl>
    <w:lvl w:ilvl="1">
      <w:lvlJc w:val="left"/>
      <w:lvlText w:val="%2."/>
      <w:numFmt w:val="decimal"/>
      <w:start w:val="15"/>
    </w:lvl>
  </w:abstractNum>
  <w:abstractNum w:abstractNumId="55">
    <w:nsid w:val="354FE9F9"/>
    <w:multiLevelType w:val="hybridMultilevel"/>
    <w:lvl w:ilvl="0">
      <w:lvlJc w:val="left"/>
      <w:lvlText w:val="%1."/>
      <w:numFmt w:val="decimal"/>
      <w:start w:val="18"/>
    </w:lvl>
    <w:lvl w:ilvl="1">
      <w:lvlJc w:val="left"/>
      <w:lvlText w:val="(%2)"/>
      <w:numFmt w:val="lowerLetter"/>
      <w:start w:val="1"/>
    </w:lvl>
  </w:abstractNum>
  <w:abstractNum w:abstractNumId="56">
    <w:nsid w:val="15B5AF5C"/>
    <w:multiLevelType w:val="hybridMultilevel"/>
    <w:lvl w:ilvl="0">
      <w:lvlJc w:val="left"/>
      <w:lvlText w:val="%1."/>
      <w:numFmt w:val="decimal"/>
      <w:start w:val="21"/>
    </w:lvl>
    <w:lvl w:ilvl="1">
      <w:lvlJc w:val="left"/>
      <w:lvlText w:val="(%2)"/>
      <w:numFmt w:val="lowerLetter"/>
      <w:start w:val="1"/>
    </w:lvl>
  </w:abstractNum>
  <w:abstractNum w:abstractNumId="57">
    <w:nsid w:val="741226BB"/>
    <w:multiLevelType w:val="hybridMultilevel"/>
    <w:lvl w:ilvl="0">
      <w:lvlJc w:val="left"/>
      <w:lvlText w:val="%1"/>
      <w:numFmt w:val="lowerLetter"/>
      <w:start w:val="1"/>
    </w:lvl>
    <w:lvl w:ilvl="1">
      <w:lvlJc w:val="left"/>
      <w:lvlText w:val="%2."/>
      <w:numFmt w:val="decimal"/>
      <w:start w:val="23"/>
    </w:lvl>
  </w:abstractNum>
  <w:abstractNum w:abstractNumId="58">
    <w:nsid w:val="D34B6A8"/>
    <w:multiLevelType w:val="hybridMultilevel"/>
    <w:lvl w:ilvl="0">
      <w:lvlJc w:val="left"/>
      <w:lvlText w:val="(%1)"/>
      <w:numFmt w:val="lowerLetter"/>
      <w:start w:val="3"/>
    </w:lvl>
    <w:lvl w:ilvl="1">
      <w:lvlJc w:val="left"/>
      <w:lvlText w:val="%2."/>
      <w:numFmt w:val="decimal"/>
      <w:start w:val="24"/>
    </w:lvl>
  </w:abstractNum>
  <w:abstractNum w:abstractNumId="59">
    <w:nsid w:val="10233C9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69" Type="http://schemas.openxmlformats.org/officeDocument/2006/relationships/image" Target="media/image39.png"/><Relationship Id="rId70" Type="http://schemas.openxmlformats.org/officeDocument/2006/relationships/image" Target="media/image40.png"/><Relationship Id="rId71" Type="http://schemas.openxmlformats.org/officeDocument/2006/relationships/image" Target="media/image41.png"/><Relationship Id="rId72" Type="http://schemas.openxmlformats.org/officeDocument/2006/relationships/image" Target="media/image42.png"/><Relationship Id="rId73" Type="http://schemas.openxmlformats.org/officeDocument/2006/relationships/image" Target="media/image43.png"/><Relationship Id="rId74" Type="http://schemas.openxmlformats.org/officeDocument/2006/relationships/image" Target="media/image44.png"/><Relationship Id="rId75" Type="http://schemas.openxmlformats.org/officeDocument/2006/relationships/image" Target="media/image45.png"/><Relationship Id="rId76"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46" Type="http://schemas.openxmlformats.org/officeDocument/2006/relationships/hyperlink" Target="http://www.sec.gov/Archives/edgar/data/1433195/000143319518000051/exhibit21assetpurchaseagre.htm" TargetMode="External"/><Relationship Id="rId47" Type="http://schemas.openxmlformats.org/officeDocument/2006/relationships/hyperlink" Target="http://www.sec.gov/Archives/edgar/data/1433195/000143319519000005/a21mergeragreement.htm" TargetMode="External"/><Relationship Id="rId48" Type="http://schemas.openxmlformats.org/officeDocument/2006/relationships/hyperlink" Target="http://www.sec.gov/Archives/edgar/data/1433195/000143319515000003/exhibit3163015.htm" TargetMode="External"/><Relationship Id="rId49" Type="http://schemas.openxmlformats.org/officeDocument/2006/relationships/hyperlink" Target="http://www.sec.gov/Archives/edgar/data/1433195/000143319515000003/exhibit3263015.htm" TargetMode="External"/><Relationship Id="rId50" Type="http://schemas.openxmlformats.org/officeDocument/2006/relationships/hyperlink" Target="http://www.sec.gov/Archives/edgar/data/1433195/000119312515213095/d907976dex41.htm" TargetMode="External"/><Relationship Id="rId51" Type="http://schemas.openxmlformats.org/officeDocument/2006/relationships/hyperlink" Target="http://www.sec.gov/Archives/edgar/data/1433195/000119312515213095/d907976dex42.htm" TargetMode="External"/><Relationship Id="rId52" Type="http://schemas.openxmlformats.org/officeDocument/2006/relationships/hyperlink" Target="http://www.sec.gov/Archives/edgar/data/1433195/000119312515213095/d907976dex101.htm" TargetMode="External"/><Relationship Id="rId53" Type="http://schemas.openxmlformats.org/officeDocument/2006/relationships/hyperlink" Target="http://www.sec.gov/Archives/edgar/data/1433195/000143319517000010/exhibit102fourthamendmentt.htm" TargetMode="External"/><Relationship Id="rId54" Type="http://schemas.openxmlformats.org/officeDocument/2006/relationships/hyperlink" Target="http://www.sec.gov/Archives/edgar/data/1433195/000119312515213095/d907976dex102.htm" TargetMode="External"/><Relationship Id="rId55" Type="http://schemas.openxmlformats.org/officeDocument/2006/relationships/hyperlink" Target="http://www.sec.gov/Archives/edgar/data/1433195/000143319515000009/exhibit10293015.htm" TargetMode="External"/><Relationship Id="rId56" Type="http://schemas.openxmlformats.org/officeDocument/2006/relationships/hyperlink" Target="http://www.sec.gov/Archives/edgar/data/1433195/000143319516000016/exhibit1042ndleaseamendmen.htm" TargetMode="External"/><Relationship Id="rId57" Type="http://schemas.openxmlformats.org/officeDocument/2006/relationships/hyperlink" Target="http://www.sec.gov/Archives/edgar/data/1433195/000143319518000048/exhibit10170castilianlease.htm" TargetMode="External"/><Relationship Id="rId58" Type="http://schemas.openxmlformats.org/officeDocument/2006/relationships/hyperlink" Target="http://www.sec.gov/Archives/edgar/data/1433195/000143319518000048/exhibit102thirdamendmentto.htm" TargetMode="External"/><Relationship Id="rId59" Type="http://schemas.openxmlformats.org/officeDocument/2006/relationships/hyperlink" Target="http://www.sec.gov/Archives/edgar/data/1433195/000143319519000016/a20180929appfolioweworkm.htm" TargetMode="External"/><Relationship Id="rId60" Type="http://schemas.openxmlformats.org/officeDocument/2006/relationships/hyperlink" Target="http://www.sec.gov/Archives/edgar/data/1433195/000119312515213095/d907976dex103.htm" TargetMode="External"/><Relationship Id="rId61" Type="http://schemas.openxmlformats.org/officeDocument/2006/relationships/hyperlink" Target="http://www.sec.gov/Archives/edgar/data/1433195/000119312515213095/d907976dex104.htm" TargetMode="External"/><Relationship Id="rId62" Type="http://schemas.openxmlformats.org/officeDocument/2006/relationships/hyperlink" Target="http://www.sec.gov/Archives/edgar/data/1433195/000119312515213095/d907976dex105.htm" TargetMode="External"/><Relationship Id="rId63" Type="http://schemas.openxmlformats.org/officeDocument/2006/relationships/hyperlink" Target="http://www.sec.gov/Archives/edgar/data/1433195/000143319518000011/exhibit109-longxtermcashin.htm" TargetMode="External"/><Relationship Id="rId64" Type="http://schemas.openxmlformats.org/officeDocument/2006/relationships/hyperlink" Target="http://www.sec.gov/Archives/edgar/data/1433195/000143319518000011/exhibit1010-longxtermcashi.htm" TargetMode="External"/><Relationship Id="rId65" Type="http://schemas.openxmlformats.org/officeDocument/2006/relationships/hyperlink" Target="http://www.sec.gov/Archives/edgar/data/1433195/000119312515191809/d907976dex107.htm" TargetMode="External"/><Relationship Id="rId66" Type="http://schemas.openxmlformats.org/officeDocument/2006/relationships/hyperlink" Target="http://www.sec.gov/Archives/edgar/data/1433195/000143319515000009/exhibit10193015.htm" TargetMode="External"/><Relationship Id="rId67" Type="http://schemas.openxmlformats.org/officeDocument/2006/relationships/hyperlink" Target="http://www.sec.gov/Archives/edgar/data/1433195/000143319519000016/a123118exhibit1017.htm" TargetMode="External"/><Relationship Id="rId68" Type="http://schemas.openxmlformats.org/officeDocument/2006/relationships/hyperlink" Target="http://www.sec.gov/Archives/edgar/data/1433195/000143319517000044/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2020-03-02T15:09:20Z</dcterms:created>
  <dcterms:modified xsi:type="dcterms:W3CDTF">2020-03-02T15:09:20Z</dcterms:modified>
</cp:coreProperties>
</file>