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66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1285" w:lineRule="exact"/>
        <w:rPr>
          <w:sz w:val="24"/>
          <w:szCs w:val="24"/>
          <w:color w:val="auto"/>
        </w:rPr>
      </w:pPr>
    </w:p>
    <w:p>
      <w:pPr>
        <w:sectPr>
          <w:pgSz w:w="11900" w:h="1690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Trigg William Shane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CASTILIAN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APPFOLIO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APPF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907" w:orient="portrait"/>
          <w:cols w:equalWidth="0" w:num="3">
            <w:col w:w="3200" w:space="720"/>
            <w:col w:w="3095" w:space="720"/>
            <w:col w:w="3345"/>
          </w:cols>
          <w:pgMar w:left="460" w:top="219" w:right="359" w:bottom="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93117</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BARBARA</w:t>
            </w: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60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604"/>
              <w:spacing w:after="0"/>
              <w:rPr>
                <w:sz w:val="20"/>
                <w:szCs w:val="20"/>
                <w:color w:val="auto"/>
              </w:rPr>
            </w:pPr>
            <w:r>
              <w:rPr>
                <w:rFonts w:ascii="Times New Roman" w:cs="Times New Roman" w:eastAsia="Times New Roman" w:hAnsi="Times New Roman"/>
                <w:sz w:val="17"/>
                <w:szCs w:val="17"/>
                <w:color w:val="0000FF"/>
              </w:rPr>
              <w:t>11/10/2025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538</w:t>
            </w:r>
            <w:r>
              <w:rPr>
                <w:rFonts w:ascii="Times New Roman" w:cs="Times New Roman" w:eastAsia="Times New Roman" w:hAnsi="Times New Roman"/>
                <w:sz w:val="11"/>
                <w:szCs w:val="11"/>
                <w:color w:val="008000"/>
                <w:w w:val="81"/>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59,018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604"/>
              <w:spacing w:after="0"/>
              <w:rPr>
                <w:sz w:val="20"/>
                <w:szCs w:val="20"/>
                <w:color w:val="auto"/>
              </w:rPr>
            </w:pPr>
            <w:r>
              <w:rPr>
                <w:rFonts w:ascii="Times New Roman" w:cs="Times New Roman" w:eastAsia="Times New Roman" w:hAnsi="Times New Roman"/>
                <w:sz w:val="17"/>
                <w:szCs w:val="17"/>
                <w:color w:val="0000FF"/>
              </w:rPr>
              <w:t>11/10/2025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1,709</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57,309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604"/>
              <w:spacing w:after="0"/>
              <w:rPr>
                <w:sz w:val="20"/>
                <w:szCs w:val="20"/>
                <w:color w:val="auto"/>
              </w:rPr>
            </w:pPr>
            <w:r>
              <w:rPr>
                <w:rFonts w:ascii="Times New Roman" w:cs="Times New Roman" w:eastAsia="Times New Roman" w:hAnsi="Times New Roman"/>
                <w:sz w:val="17"/>
                <w:szCs w:val="17"/>
                <w:color w:val="0000FF"/>
              </w:rPr>
              <w:t>11/10/2025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219</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57,090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604"/>
              <w:spacing w:after="0"/>
              <w:rPr>
                <w:sz w:val="20"/>
                <w:szCs w:val="20"/>
                <w:color w:val="auto"/>
              </w:rPr>
            </w:pPr>
            <w:r>
              <w:rPr>
                <w:rFonts w:ascii="Times New Roman" w:cs="Times New Roman" w:eastAsia="Times New Roman" w:hAnsi="Times New Roman"/>
                <w:sz w:val="17"/>
                <w:szCs w:val="17"/>
                <w:color w:val="0000FF"/>
              </w:rPr>
              <w:t>11/10/2025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795</w:t>
            </w:r>
            <w:r>
              <w:rPr>
                <w:rFonts w:ascii="Times New Roman" w:cs="Times New Roman" w:eastAsia="Times New Roman" w:hAnsi="Times New Roman"/>
                <w:sz w:val="11"/>
                <w:szCs w:val="11"/>
                <w:color w:val="008000"/>
                <w:w w:val="81"/>
              </w:rPr>
              <w:t>(4)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56,295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604"/>
              <w:spacing w:after="0"/>
              <w:rPr>
                <w:sz w:val="20"/>
                <w:szCs w:val="20"/>
                <w:color w:val="auto"/>
              </w:rPr>
            </w:pPr>
            <w:r>
              <w:rPr>
                <w:rFonts w:ascii="Times New Roman" w:cs="Times New Roman" w:eastAsia="Times New Roman" w:hAnsi="Times New Roman"/>
                <w:sz w:val="17"/>
                <w:szCs w:val="17"/>
                <w:color w:val="0000FF"/>
              </w:rPr>
              <w:t>11/10/2025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377</w:t>
            </w:r>
            <w:r>
              <w:rPr>
                <w:rFonts w:ascii="Times New Roman" w:cs="Times New Roman" w:eastAsia="Times New Roman" w:hAnsi="Times New Roman"/>
                <w:sz w:val="11"/>
                <w:szCs w:val="11"/>
                <w:color w:val="008000"/>
                <w:w w:val="81"/>
              </w:rPr>
              <w:t>(5)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55,918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604"/>
              <w:spacing w:after="0"/>
              <w:rPr>
                <w:sz w:val="20"/>
                <w:szCs w:val="20"/>
                <w:color w:val="auto"/>
              </w:rPr>
            </w:pPr>
            <w:r>
              <w:rPr>
                <w:rFonts w:ascii="Times New Roman" w:cs="Times New Roman" w:eastAsia="Times New Roman" w:hAnsi="Times New Roman"/>
                <w:sz w:val="17"/>
                <w:szCs w:val="17"/>
                <w:color w:val="0000FF"/>
              </w:rPr>
              <w:t>11/10/2025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238</w:t>
            </w:r>
            <w:r>
              <w:rPr>
                <w:rFonts w:ascii="Times New Roman" w:cs="Times New Roman" w:eastAsia="Times New Roman" w:hAnsi="Times New Roman"/>
                <w:sz w:val="11"/>
                <w:szCs w:val="11"/>
                <w:color w:val="008000"/>
                <w:w w:val="81"/>
              </w:rPr>
              <w:t>(6)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55,680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604"/>
              <w:spacing w:after="0"/>
              <w:rPr>
                <w:sz w:val="20"/>
                <w:szCs w:val="20"/>
                <w:color w:val="auto"/>
              </w:rPr>
            </w:pPr>
            <w:r>
              <w:rPr>
                <w:rFonts w:ascii="Times New Roman" w:cs="Times New Roman" w:eastAsia="Times New Roman" w:hAnsi="Times New Roman"/>
                <w:sz w:val="17"/>
                <w:szCs w:val="17"/>
                <w:color w:val="0000FF"/>
              </w:rPr>
              <w:t>11/10/2025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203</w:t>
            </w:r>
            <w:r>
              <w:rPr>
                <w:rFonts w:ascii="Times New Roman" w:cs="Times New Roman" w:eastAsia="Times New Roman" w:hAnsi="Times New Roman"/>
                <w:sz w:val="11"/>
                <w:szCs w:val="11"/>
                <w:color w:val="008000"/>
                <w:w w:val="81"/>
              </w:rPr>
              <w:t>(7)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55,477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performance-based restricted stock units ("PSUs") previously granted to the Reporting Person on January 24,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PSUs previously granted to the Reporting Person on January 25,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time-based restricted stock units ("RSUs") previously granted to the Reporting Person on January 24,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January 24,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March 1,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December 13, 2021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January 29, 2025 pursuant to the Issuer's 2025 Omnibus Plan.</w:t>
      </w:r>
    </w:p>
    <w:p>
      <w:pPr>
        <w:sectPr>
          <w:pgSz w:w="11900" w:h="16907" w:orient="portrait"/>
          <w:cols w:equalWidth="0" w:num="1">
            <w:col w:w="11080"/>
          </w:cols>
          <w:pgMar w:left="460" w:top="219" w:right="359" w:bottom="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ind w:right="1500"/>
        <w:spacing w:after="0" w:line="294" w:lineRule="auto"/>
        <w:rPr>
          <w:sz w:val="20"/>
          <w:szCs w:val="20"/>
          <w:color w:val="auto"/>
        </w:rPr>
      </w:pPr>
      <w:r>
        <w:rPr>
          <w:rFonts w:ascii="Times New Roman" w:cs="Times New Roman" w:eastAsia="Times New Roman" w:hAnsi="Times New Roman"/>
          <w:sz w:val="17"/>
          <w:szCs w:val="17"/>
          <w:color w:val="0000FF"/>
        </w:rPr>
        <w:t>/s/ Evan Pickering, as Attorney-in-Fact, for William 11/12/2025 Shane Trigg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-184150</wp:posOffset>
            </wp:positionV>
            <wp:extent cx="953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-48895</wp:posOffset>
            </wp:positionV>
            <wp:extent cx="1892935" cy="144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144145"/>
                    </a:xfrm>
                    <a:prstGeom prst="rect">
                      <a:avLst/>
                    </a:prstGeom>
                    <a:noFill/>
                  </pic:spPr>
                </pic:pic>
              </a:graphicData>
            </a:graphic>
          </wp:anchor>
        </w:drawing>
      </w:r>
    </w:p>
    <w:p>
      <w:pPr>
        <w:spacing w:after="0" w:line="196" w:lineRule="exact"/>
        <w:rPr>
          <w:sz w:val="24"/>
          <w:szCs w:val="24"/>
          <w:color w:val="auto"/>
        </w:rPr>
      </w:pPr>
    </w:p>
    <w:p>
      <w:pPr>
        <w:spacing w:after="0"/>
        <w:tabs>
          <w:tab w:leader="none" w:pos="21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7" w:orient="portrait"/>
          <w:cols w:equalWidth="0" w:num="2">
            <w:col w:w="6140" w:space="440"/>
            <w:col w:w="450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7400" TargetMode="External"/><Relationship Id="rId14" Type="http://schemas.openxmlformats.org/officeDocument/2006/relationships/hyperlink" Target="http://www.sec.gov/cgi-bin/browse-edgar?action=getcompany&amp;CIK=0001433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2025-11-12T18:33:55Z</dcterms:created>
  <dcterms:modified xsi:type="dcterms:W3CDTF">2025-11-12T18:33:55Z</dcterms:modified>
</cp:coreProperties>
</file>