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283"/>
        <w:jc w:val="left"/>
        <w:rPr/>
      </w:pPr>
      <w:r>
        <w:rPr/>
      </w:r>
    </w:p>
    <w:p>
      <w:pPr>
        <w:pStyle w:val="TextBody"/>
        <w:bidi w:val="0"/>
        <w:spacing w:lineRule="auto" w:line="288" w:before="0" w:after="40"/>
        <w:jc w:val="center"/>
        <w:rPr/>
      </w:pPr>
      <w:r>
        <w:rPr>
          <w:color w:val="000000"/>
        </w:rPr>
        <w:t> </w:t>
      </w: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(Mark one)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March 31, 2026.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 to ________.</w:t>
      </w:r>
    </w:p>
    <w:p>
      <w:pPr>
        <w:pStyle w:val="TextBody"/>
        <w:bidi w:val="0"/>
        <w:spacing w:before="100" w:after="100"/>
        <w:jc w:val="left"/>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001-37468 </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AppFolio, Inc. </w:t>
      </w:r>
    </w:p>
    <w:p>
      <w:pPr>
        <w:pStyle w:val="TextBody"/>
        <w:bidi w:val="0"/>
        <w:spacing w:lineRule="auto" w:line="288" w:before="0" w:after="0"/>
        <w:jc w:val="center"/>
        <w:rPr>
          <w:rFonts w:ascii="Times New Roman;serif" w:hAnsi="Times New Roman;serif"/>
          <w:b/>
          <w:i/>
          <w:color w:val="000000"/>
          <w:sz w:val="18"/>
        </w:rPr>
      </w:pPr>
      <w:r>
        <w:rPr>
          <w:rFonts w:ascii="Times New Roman;serif" w:hAnsi="Times New Roman;serif"/>
          <w:b/>
          <w:i/>
          <w:color w:val="000000"/>
          <w:sz w:val="18"/>
        </w:rPr>
        <w:t>(Exact name of registrant as specified in its charter)</w:t>
      </w:r>
    </w:p>
    <w:tbl>
      <w:tblPr>
        <w:tblW w:w="6821" w:type="dxa"/>
        <w:jc w:val="center"/>
        <w:tblInd w:w="0" w:type="dxa"/>
        <w:tblLayout w:type="fixed"/>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26-0359894</w:t>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(I.R.S. Employer Identification No.)</w:t>
            </w:r>
          </w:p>
        </w:tc>
      </w:tr>
      <w:tr>
        <w:trPr/>
        <w:tc>
          <w:tcPr>
            <w:tcW w:w="682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70 Castilian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93117</w:t>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Santa Barbara,</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(Zip Code)</w:t>
            </w:r>
          </w:p>
        </w:tc>
      </w:tr>
    </w:tbl>
    <w:p>
      <w:pPr>
        <w:pStyle w:val="TextBody"/>
        <w:bidi w:val="0"/>
        <w:spacing w:lineRule="auto" w:line="288" w:before="80" w:after="180"/>
        <w:jc w:val="center"/>
        <w:rPr/>
      </w:pPr>
      <w:r>
        <w:rPr>
          <w:color w:val="000000"/>
        </w:rPr>
        <w:t> </w:t>
      </w:r>
      <w:r>
        <w:rPr>
          <w:rFonts w:ascii="Times New Roman;serif" w:hAnsi="Times New Roman;serif"/>
          <w:b/>
          <w:color w:val="000000"/>
          <w:sz w:val="18"/>
        </w:rPr>
        <w:t xml:space="preserve">(805) 364-6093 </w:t>
      </w:r>
    </w:p>
    <w:p>
      <w:pPr>
        <w:pStyle w:val="TextBody"/>
        <w:bidi w:val="0"/>
        <w:spacing w:lineRule="auto" w:line="417" w:before="180" w:after="180"/>
        <w:jc w:val="center"/>
        <w:rPr>
          <w:rFonts w:ascii="Times New Roman;serif" w:hAnsi="Times New Roman;serif"/>
          <w:b/>
          <w:i/>
          <w:color w:val="000000"/>
          <w:sz w:val="18"/>
        </w:rPr>
      </w:pPr>
      <w:r>
        <w:rPr>
          <w:rFonts w:ascii="Times New Roman;serif" w:hAnsi="Times New Roman;serif"/>
          <w:b/>
          <w:i/>
          <w:color w:val="000000"/>
          <w:sz w:val="18"/>
        </w:rPr>
        <w:t>(Registrant’s telephone number, including area code)</w:t>
      </w:r>
    </w:p>
    <w:p>
      <w:pPr>
        <w:pStyle w:val="TextBody"/>
        <w:bidi w:val="0"/>
        <w:spacing w:lineRule="auto" w:line="288" w:before="180" w:after="18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180" w:after="180"/>
        <w:jc w:val="center"/>
        <w:rPr>
          <w:rFonts w:ascii="Times New Roman;serif" w:hAnsi="Times New Roman;serif"/>
          <w:b/>
          <w:i/>
          <w:color w:val="000000"/>
          <w:sz w:val="18"/>
        </w:rPr>
      </w:pPr>
      <w:r>
        <w:rPr>
          <w:rFonts w:ascii="Times New Roman;serif" w:hAnsi="Times New Roman;serif"/>
          <w:b/>
          <w:i/>
          <w:color w:val="000000"/>
          <w:sz w:val="18"/>
        </w:rPr>
        <w:t>(Former name, former address and former fiscal year, if changed since last report)</w:t>
      </w:r>
    </w:p>
    <w:p>
      <w:pPr>
        <w:pStyle w:val="TextBody"/>
        <w:bidi w:val="0"/>
        <w:spacing w:lineRule="auto" w:line="288" w:before="18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977" w:type="dxa"/>
        <w:jc w:val="center"/>
        <w:tblInd w:w="0" w:type="dxa"/>
        <w:tblLayout w:type="fixed"/>
        <w:tblCellMar>
          <w:top w:w="28" w:type="dxa"/>
          <w:left w:w="28" w:type="dxa"/>
          <w:bottom w:w="28" w:type="dxa"/>
          <w:right w:w="28" w:type="dxa"/>
        </w:tblCellMar>
      </w:tblPr>
      <w:tblGrid>
        <w:gridCol w:w="1133"/>
        <w:gridCol w:w="997"/>
        <w:gridCol w:w="1004"/>
        <w:gridCol w:w="454"/>
        <w:gridCol w:w="454"/>
        <w:gridCol w:w="456"/>
        <w:gridCol w:w="1019"/>
        <w:gridCol w:w="1019"/>
        <w:gridCol w:w="1441"/>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$0.0001 par value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APPF</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88" w:before="0" w:after="10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00" w:after="10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100" w:after="20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45"/>
        <w:gridCol w:w="145"/>
        <w:gridCol w:w="146"/>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April 16, 2026, the number of shares of the registrant’s Class A common stock outstanding was 24,028,908 and the number of shares of the registrant’s Class B common stock outstanding was 11,329,625.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2"/>
        <w:gridCol w:w="2866"/>
        <w:gridCol w:w="2879"/>
        <w:gridCol w:w="109"/>
        <w:gridCol w:w="109"/>
        <w:gridCol w:w="109"/>
        <w:gridCol w:w="254"/>
        <w:gridCol w:w="254"/>
        <w:gridCol w:w="363"/>
      </w:tblGrid>
      <w:tr>
        <w:trPr/>
        <w:tc>
          <w:tcPr>
            <w:tcW w:w="3262"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9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10">
              <w:r>
                <w:rPr>
                  <w:rStyle w:val="InternetLink"/>
                  <w:rFonts w:ascii="Times New Roman;serif" w:hAnsi="Times New Roman;serif"/>
                  <w:b w:val="false"/>
                  <w:color w:val="0000FF"/>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a970dd57da8d4a3182173321a5e6c4be_10">
              <w:r>
                <w:rPr>
                  <w:rStyle w:val="InternetLink"/>
                  <w:rFonts w:ascii="Times New Roman;serif" w:hAnsi="Times New Roman;serif"/>
                  <w:b w:val="false"/>
                  <w:color w:val="0000FF"/>
                  <w:sz w:val="20"/>
                  <w:u w:val="single"/>
                </w:rPr>
                <w:t>1</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13">
              <w:r>
                <w:rPr>
                  <w:rStyle w:val="InternetLink"/>
                  <w:rFonts w:ascii="Times New Roman;serif" w:hAnsi="Times New Roman;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13">
              <w:r>
                <w:rPr>
                  <w:rStyle w:val="InternetLink"/>
                  <w:rFonts w:ascii="Times New Roman;serif" w:hAnsi="Times New Roman;serif"/>
                  <w:b w:val="false"/>
                  <w:color w:val="0000FF"/>
                  <w:sz w:val="20"/>
                  <w:u w:val="single"/>
                </w:rPr>
                <w:t>2</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13">
              <w:r>
                <w:rPr>
                  <w:rStyle w:val="InternetLink"/>
                  <w:rFonts w:ascii="Times New Roman;serif" w:hAnsi="Times New Roman;serif"/>
                  <w:b w:val="false"/>
                  <w:color w:val="0000FF"/>
                  <w:sz w:val="20"/>
                  <w:u w:val="single"/>
                </w:rPr>
                <w:t>Item 1.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13">
              <w:r>
                <w:rPr>
                  <w:rStyle w:val="InternetLink"/>
                  <w:rFonts w:ascii="Times New Roman;serif" w:hAnsi="Times New Roman;serif"/>
                  <w:b w:val="false"/>
                  <w:color w:val="0000FF"/>
                  <w:sz w:val="20"/>
                  <w:u w:val="single"/>
                </w:rPr>
                <w:t>2</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16">
              <w:r>
                <w:rPr>
                  <w:rStyle w:val="InternetLink"/>
                  <w:rFonts w:ascii="Times New Roman;serif" w:hAnsi="Times New Roman;serif"/>
                  <w:b w:val="false"/>
                  <w:color w:val="000080"/>
                  <w:sz w:val="20"/>
                  <w:u w:val="single"/>
                </w:rPr>
                <w:t xml:space="preserve">Condensed Consolidated Balance Sheets as of </w:t>
              </w:r>
            </w:hyperlink>
            <w:hyperlink w:anchor="ia970dd57da8d4a3182173321a5e6c4be_16">
              <w:r>
                <w:rPr>
                  <w:rStyle w:val="InternetLink"/>
                  <w:rFonts w:ascii="Times New Roman;serif" w:hAnsi="Times New Roman;serif"/>
                  <w:b w:val="false"/>
                  <w:color w:val="000080"/>
                  <w:sz w:val="20"/>
                  <w:u w:val="single"/>
                </w:rPr>
                <w:t>March 31, 202</w:t>
              </w:r>
            </w:hyperlink>
            <w:hyperlink w:anchor="ia970dd57da8d4a3182173321a5e6c4be_16">
              <w:r>
                <w:rPr>
                  <w:rStyle w:val="InternetLink"/>
                  <w:rFonts w:ascii="Times New Roman;serif" w:hAnsi="Times New Roman;serif"/>
                  <w:b w:val="false"/>
                  <w:color w:val="000080"/>
                  <w:sz w:val="20"/>
                  <w:u w:val="single"/>
                </w:rPr>
                <w:t>6</w:t>
              </w:r>
            </w:hyperlink>
            <w:hyperlink w:anchor="ia970dd57da8d4a3182173321a5e6c4be_16">
              <w:r>
                <w:rPr>
                  <w:rStyle w:val="InternetLink"/>
                  <w:rFonts w:ascii="Times New Roman;serif" w:hAnsi="Times New Roman;serif"/>
                  <w:b w:val="false"/>
                  <w:color w:val="000080"/>
                  <w:sz w:val="20"/>
                  <w:u w:val="single"/>
                </w:rPr>
                <w:t xml:space="preserve"> and December 31, 20</w:t>
              </w:r>
            </w:hyperlink>
            <w:hyperlink w:anchor="ia970dd57da8d4a3182173321a5e6c4be_16">
              <w:r>
                <w:rPr>
                  <w:rStyle w:val="InternetLink"/>
                  <w:rFonts w:ascii="Times New Roman;serif" w:hAnsi="Times New Roman;serif"/>
                  <w:b w:val="false"/>
                  <w:color w:val="000080"/>
                  <w:sz w:val="20"/>
                  <w:u w:val="single"/>
                </w:rPr>
                <w:t>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16">
              <w:r>
                <w:rPr>
                  <w:rStyle w:val="InternetLink"/>
                  <w:rFonts w:ascii="Times New Roman;serif" w:hAnsi="Times New Roman;serif"/>
                  <w:b w:val="false"/>
                  <w:color w:val="0000FF"/>
                  <w:sz w:val="20"/>
                  <w:u w:val="single"/>
                </w:rPr>
                <w:t>2</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19">
              <w:r>
                <w:rPr>
                  <w:rStyle w:val="InternetLink"/>
                  <w:rFonts w:ascii="Times New Roman;serif" w:hAnsi="Times New Roman;serif"/>
                  <w:b w:val="false"/>
                  <w:color w:val="000080"/>
                  <w:sz w:val="20"/>
                  <w:u w:val="single"/>
                </w:rPr>
                <w:t>Condensed Consolidated Statements of Operations for the Three</w:t>
              </w:r>
            </w:hyperlink>
            <w:hyperlink w:anchor="ia970dd57da8d4a3182173321a5e6c4be_19">
              <w:r>
                <w:rPr>
                  <w:rStyle w:val="InternetLink"/>
                  <w:rFonts w:ascii="Times New Roman;serif" w:hAnsi="Times New Roman;serif"/>
                  <w:b w:val="false"/>
                  <w:color w:val="000080"/>
                  <w:sz w:val="20"/>
                  <w:u w:val="single"/>
                </w:rPr>
                <w:t xml:space="preserve"> </w:t>
              </w:r>
            </w:hyperlink>
            <w:hyperlink w:anchor="ia970dd57da8d4a3182173321a5e6c4be_19">
              <w:r>
                <w:rPr>
                  <w:rStyle w:val="InternetLink"/>
                  <w:rFonts w:ascii="Times New Roman;serif" w:hAnsi="Times New Roman;serif"/>
                  <w:b w:val="false"/>
                  <w:color w:val="000080"/>
                  <w:sz w:val="20"/>
                  <w:u w:val="single"/>
                </w:rPr>
                <w:t xml:space="preserve">Months Ended </w:t>
              </w:r>
            </w:hyperlink>
            <w:hyperlink w:anchor="ia970dd57da8d4a3182173321a5e6c4be_19">
              <w:r>
                <w:rPr>
                  <w:rStyle w:val="InternetLink"/>
                  <w:rFonts w:ascii="Times New Roman;serif" w:hAnsi="Times New Roman;serif"/>
                  <w:b w:val="false"/>
                  <w:color w:val="000080"/>
                  <w:sz w:val="20"/>
                  <w:u w:val="single"/>
                </w:rPr>
                <w:t>March 31</w:t>
              </w:r>
            </w:hyperlink>
            <w:hyperlink w:anchor="ia970dd57da8d4a3182173321a5e6c4be_19">
              <w:r>
                <w:rPr>
                  <w:rStyle w:val="InternetLink"/>
                  <w:rFonts w:ascii="Times New Roman;serif" w:hAnsi="Times New Roman;serif"/>
                  <w:b w:val="false"/>
                  <w:color w:val="000080"/>
                  <w:sz w:val="20"/>
                  <w:u w:val="single"/>
                </w:rPr>
                <w:t>, 202</w:t>
              </w:r>
            </w:hyperlink>
            <w:hyperlink w:anchor="ia970dd57da8d4a3182173321a5e6c4be_19">
              <w:r>
                <w:rPr>
                  <w:rStyle w:val="InternetLink"/>
                  <w:rFonts w:ascii="Times New Roman;serif" w:hAnsi="Times New Roman;serif"/>
                  <w:b w:val="false"/>
                  <w:color w:val="000080"/>
                  <w:sz w:val="20"/>
                  <w:u w:val="single"/>
                </w:rPr>
                <w:t>6</w:t>
              </w:r>
            </w:hyperlink>
            <w:hyperlink w:anchor="ia970dd57da8d4a3182173321a5e6c4be_19">
              <w:r>
                <w:rPr>
                  <w:rStyle w:val="InternetLink"/>
                  <w:rFonts w:ascii="Times New Roman;serif" w:hAnsi="Times New Roman;serif"/>
                  <w:b w:val="false"/>
                  <w:color w:val="000080"/>
                  <w:sz w:val="20"/>
                  <w:u w:val="single"/>
                </w:rPr>
                <w:t xml:space="preserve"> and 20</w:t>
              </w:r>
            </w:hyperlink>
            <w:hyperlink w:anchor="ia970dd57da8d4a3182173321a5e6c4be_19">
              <w:r>
                <w:rPr>
                  <w:rStyle w:val="InternetLink"/>
                  <w:rFonts w:ascii="Times New Roman;serif" w:hAnsi="Times New Roman;serif"/>
                  <w:b w:val="false"/>
                  <w:color w:val="000080"/>
                  <w:sz w:val="20"/>
                  <w:u w:val="single"/>
                </w:rPr>
                <w:t>2</w:t>
              </w:r>
            </w:hyperlink>
            <w:hyperlink w:anchor="ia970dd57da8d4a3182173321a5e6c4be_19">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19">
              <w:r>
                <w:rPr>
                  <w:rStyle w:val="InternetLink"/>
                  <w:rFonts w:ascii="Times New Roman;serif" w:hAnsi="Times New Roman;serif"/>
                  <w:b w:val="false"/>
                  <w:color w:val="0000FF"/>
                  <w:sz w:val="20"/>
                  <w:u w:val="single"/>
                </w:rPr>
                <w:t>3</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22">
              <w:r>
                <w:rPr>
                  <w:rStyle w:val="InternetLink"/>
                  <w:rFonts w:ascii="Times New Roman;serif" w:hAnsi="Times New Roman;serif"/>
                  <w:b w:val="false"/>
                  <w:color w:val="000080"/>
                  <w:sz w:val="20"/>
                  <w:u w:val="single"/>
                </w:rPr>
                <w:t>Condensed Consolidated Statements of Comprehensive Income</w:t>
              </w:r>
            </w:hyperlink>
            <w:hyperlink w:anchor="ia970dd57da8d4a3182173321a5e6c4be_22">
              <w:r>
                <w:rPr>
                  <w:rStyle w:val="InternetLink"/>
                  <w:rFonts w:ascii="Times New Roman;serif" w:hAnsi="Times New Roman;serif"/>
                  <w:b w:val="false"/>
                  <w:color w:val="000080"/>
                  <w:sz w:val="20"/>
                  <w:u w:val="single"/>
                </w:rPr>
                <w:t xml:space="preserve"> for the </w:t>
              </w:r>
            </w:hyperlink>
            <w:hyperlink w:anchor="ia970dd57da8d4a3182173321a5e6c4be_19">
              <w:r>
                <w:rPr>
                  <w:rStyle w:val="InternetLink"/>
                  <w:rFonts w:ascii="Times New Roman;serif" w:hAnsi="Times New Roman;serif"/>
                  <w:b w:val="false"/>
                  <w:color w:val="000080"/>
                  <w:sz w:val="20"/>
                  <w:u w:val="single"/>
                </w:rPr>
                <w:t>Three</w:t>
              </w:r>
            </w:hyperlink>
            <w:hyperlink w:anchor="ia970dd57da8d4a3182173321a5e6c4be_19">
              <w:r>
                <w:rPr>
                  <w:rStyle w:val="InternetLink"/>
                  <w:rFonts w:ascii="Times New Roman;serif" w:hAnsi="Times New Roman;serif"/>
                  <w:b w:val="false"/>
                  <w:color w:val="000080"/>
                  <w:sz w:val="20"/>
                  <w:u w:val="single"/>
                </w:rPr>
                <w:t xml:space="preserve"> Months Ended </w:t>
              </w:r>
            </w:hyperlink>
            <w:hyperlink w:anchor="ia970dd57da8d4a3182173321a5e6c4be_19">
              <w:r>
                <w:rPr>
                  <w:rStyle w:val="InternetLink"/>
                  <w:rFonts w:ascii="Times New Roman;serif" w:hAnsi="Times New Roman;serif"/>
                  <w:b w:val="false"/>
                  <w:color w:val="000080"/>
                  <w:sz w:val="20"/>
                  <w:u w:val="single"/>
                </w:rPr>
                <w:t>March 31, 202</w:t>
              </w:r>
            </w:hyperlink>
            <w:hyperlink w:anchor="ia970dd57da8d4a3182173321a5e6c4be_19">
              <w:r>
                <w:rPr>
                  <w:rStyle w:val="InternetLink"/>
                  <w:rFonts w:ascii="Times New Roman;serif" w:hAnsi="Times New Roman;serif"/>
                  <w:b w:val="false"/>
                  <w:color w:val="000080"/>
                  <w:sz w:val="20"/>
                  <w:u w:val="single"/>
                </w:rPr>
                <w:t>6</w:t>
              </w:r>
            </w:hyperlink>
            <w:hyperlink w:anchor="ia970dd57da8d4a3182173321a5e6c4be_19">
              <w:r>
                <w:rPr>
                  <w:rStyle w:val="InternetLink"/>
                  <w:rFonts w:ascii="Times New Roman;serif" w:hAnsi="Times New Roman;serif"/>
                  <w:b w:val="false"/>
                  <w:color w:val="000080"/>
                  <w:sz w:val="20"/>
                  <w:u w:val="single"/>
                </w:rPr>
                <w:t xml:space="preserve"> and 20</w:t>
              </w:r>
            </w:hyperlink>
            <w:hyperlink w:anchor="ia970dd57da8d4a3182173321a5e6c4be_19">
              <w:r>
                <w:rPr>
                  <w:rStyle w:val="InternetLink"/>
                  <w:rFonts w:ascii="Times New Roman;serif" w:hAnsi="Times New Roman;serif"/>
                  <w:b w:val="false"/>
                  <w:color w:val="000080"/>
                  <w:sz w:val="20"/>
                  <w:u w:val="single"/>
                </w:rPr>
                <w:t>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22">
              <w:r>
                <w:rPr>
                  <w:rStyle w:val="InternetLink"/>
                  <w:rFonts w:ascii="Times New Roman;serif" w:hAnsi="Times New Roman;serif"/>
                  <w:b w:val="false"/>
                  <w:color w:val="0000FF"/>
                  <w:sz w:val="20"/>
                  <w:u w:val="single"/>
                </w:rPr>
                <w:t>4</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25">
              <w:r>
                <w:rPr>
                  <w:rStyle w:val="InternetLink"/>
                  <w:rFonts w:ascii="Times New Roman;serif" w:hAnsi="Times New Roman;serif"/>
                  <w:b w:val="false"/>
                  <w:color w:val="000080"/>
                  <w:sz w:val="20"/>
                  <w:u w:val="single"/>
                </w:rPr>
                <w:t xml:space="preserve">Condensed Consolidated Statements of Stockholders' Equity for the </w:t>
              </w:r>
            </w:hyperlink>
            <w:hyperlink w:anchor="ia970dd57da8d4a3182173321a5e6c4be_25">
              <w:r>
                <w:rPr>
                  <w:rStyle w:val="InternetLink"/>
                  <w:rFonts w:ascii="Times New Roman;serif" w:hAnsi="Times New Roman;serif"/>
                  <w:b w:val="false"/>
                  <w:color w:val="000080"/>
                  <w:sz w:val="20"/>
                  <w:u w:val="single"/>
                </w:rPr>
                <w:t>Three</w:t>
              </w:r>
            </w:hyperlink>
            <w:hyperlink w:anchor="ia970dd57da8d4a3182173321a5e6c4be_25">
              <w:r>
                <w:rPr>
                  <w:rStyle w:val="InternetLink"/>
                  <w:rFonts w:ascii="Times New Roman;serif" w:hAnsi="Times New Roman;serif"/>
                  <w:b w:val="false"/>
                  <w:color w:val="000080"/>
                  <w:sz w:val="20"/>
                  <w:u w:val="single"/>
                </w:rPr>
                <w:t xml:space="preserve"> Months Ended </w:t>
              </w:r>
            </w:hyperlink>
            <w:hyperlink w:anchor="ia970dd57da8d4a3182173321a5e6c4be_25">
              <w:r>
                <w:rPr>
                  <w:rStyle w:val="InternetLink"/>
                  <w:rFonts w:ascii="Times New Roman;serif" w:hAnsi="Times New Roman;serif"/>
                  <w:b w:val="false"/>
                  <w:color w:val="000080"/>
                  <w:sz w:val="20"/>
                  <w:u w:val="single"/>
                </w:rPr>
                <w:t>March 31, 2026</w:t>
              </w:r>
            </w:hyperlink>
            <w:hyperlink w:anchor="ia970dd57da8d4a3182173321a5e6c4be_25">
              <w:r>
                <w:rPr>
                  <w:rStyle w:val="InternetLink"/>
                  <w:rFonts w:ascii="Times New Roman;serif" w:hAnsi="Times New Roman;serif"/>
                  <w:b w:val="false"/>
                  <w:color w:val="000080"/>
                  <w:sz w:val="20"/>
                  <w:u w:val="single"/>
                </w:rPr>
                <w:t xml:space="preserve"> and 20</w:t>
              </w:r>
            </w:hyperlink>
            <w:hyperlink w:anchor="ia970dd57da8d4a3182173321a5e6c4be_25">
              <w:r>
                <w:rPr>
                  <w:rStyle w:val="InternetLink"/>
                  <w:rFonts w:ascii="Times New Roman;serif" w:hAnsi="Times New Roman;serif"/>
                  <w:b w:val="false"/>
                  <w:color w:val="000080"/>
                  <w:sz w:val="20"/>
                  <w:u w:val="single"/>
                </w:rPr>
                <w:t>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25">
              <w:r>
                <w:rPr>
                  <w:rStyle w:val="InternetLink"/>
                  <w:rFonts w:ascii="Times New Roman;serif" w:hAnsi="Times New Roman;serif"/>
                  <w:b w:val="false"/>
                  <w:color w:val="0000FF"/>
                  <w:sz w:val="20"/>
                  <w:u w:val="single"/>
                </w:rPr>
                <w:t>5</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28">
              <w:r>
                <w:rPr>
                  <w:rStyle w:val="InternetLink"/>
                  <w:rFonts w:ascii="Times New Roman;serif" w:hAnsi="Times New Roman;serif"/>
                  <w:b w:val="false"/>
                  <w:color w:val="000080"/>
                  <w:sz w:val="20"/>
                  <w:u w:val="single"/>
                </w:rPr>
                <w:t xml:space="preserve">Condensed Consolidated Statements of Cash Flows for the </w:t>
              </w:r>
            </w:hyperlink>
            <w:hyperlink w:anchor="ia970dd57da8d4a3182173321a5e6c4be_28">
              <w:r>
                <w:rPr>
                  <w:rStyle w:val="InternetLink"/>
                  <w:rFonts w:ascii="Times New Roman;serif" w:hAnsi="Times New Roman;serif"/>
                  <w:b w:val="false"/>
                  <w:color w:val="000080"/>
                  <w:sz w:val="20"/>
                  <w:u w:val="single"/>
                </w:rPr>
                <w:t>Three</w:t>
              </w:r>
            </w:hyperlink>
            <w:hyperlink w:anchor="ia970dd57da8d4a3182173321a5e6c4be_28">
              <w:r>
                <w:rPr>
                  <w:rStyle w:val="InternetLink"/>
                  <w:rFonts w:ascii="Times New Roman;serif" w:hAnsi="Times New Roman;serif"/>
                  <w:b w:val="false"/>
                  <w:color w:val="000080"/>
                  <w:sz w:val="20"/>
                  <w:u w:val="single"/>
                </w:rPr>
                <w:t xml:space="preserve"> Months Ended </w:t>
              </w:r>
            </w:hyperlink>
            <w:hyperlink w:anchor="ia970dd57da8d4a3182173321a5e6c4be_28">
              <w:r>
                <w:rPr>
                  <w:rStyle w:val="InternetLink"/>
                  <w:rFonts w:ascii="Times New Roman;serif" w:hAnsi="Times New Roman;serif"/>
                  <w:b w:val="false"/>
                  <w:color w:val="000080"/>
                  <w:sz w:val="20"/>
                  <w:u w:val="single"/>
                </w:rPr>
                <w:t>March 31, 2026</w:t>
              </w:r>
            </w:hyperlink>
            <w:hyperlink w:anchor="ia970dd57da8d4a3182173321a5e6c4be_28">
              <w:r>
                <w:rPr>
                  <w:rStyle w:val="InternetLink"/>
                  <w:rFonts w:ascii="Times New Roman;serif" w:hAnsi="Times New Roman;serif"/>
                  <w:b w:val="false"/>
                  <w:color w:val="000080"/>
                  <w:sz w:val="20"/>
                  <w:u w:val="single"/>
                </w:rPr>
                <w:t xml:space="preserve"> and 20</w:t>
              </w:r>
            </w:hyperlink>
            <w:hyperlink w:anchor="ia970dd57da8d4a3182173321a5e6c4be_28">
              <w:r>
                <w:rPr>
                  <w:rStyle w:val="InternetLink"/>
                  <w:rFonts w:ascii="Times New Roman;serif" w:hAnsi="Times New Roman;serif"/>
                  <w:b w:val="false"/>
                  <w:color w:val="000080"/>
                  <w:sz w:val="20"/>
                  <w:u w:val="single"/>
                </w:rPr>
                <w:t>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28">
              <w:r>
                <w:rPr>
                  <w:rStyle w:val="InternetLink"/>
                  <w:rFonts w:ascii="Times New Roman;serif" w:hAnsi="Times New Roman;serif"/>
                  <w:b w:val="false"/>
                  <w:color w:val="0000FF"/>
                  <w:sz w:val="20"/>
                  <w:u w:val="single"/>
                </w:rPr>
                <w:t>6</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31">
              <w:r>
                <w:rPr>
                  <w:rStyle w:val="InternetLink"/>
                  <w:rFonts w:ascii="Times New Roman;serif" w:hAnsi="Times New Roman;serif"/>
                  <w:b w:val="false"/>
                  <w:color w:val="0000FF"/>
                  <w:sz w:val="20"/>
                  <w:u w:val="single"/>
                </w:rPr>
                <w:t>Notes to Condensed Consolidated Unaudited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31">
              <w:r>
                <w:rPr>
                  <w:rStyle w:val="InternetLink"/>
                  <w:rFonts w:ascii="Times New Roman;serif" w:hAnsi="Times New Roman;serif"/>
                  <w:b w:val="false"/>
                  <w:color w:val="0000FF"/>
                  <w:sz w:val="20"/>
                  <w:u w:val="single"/>
                </w:rPr>
                <w:t>7</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6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67">
              <w:r>
                <w:rPr>
                  <w:rStyle w:val="InternetLink"/>
                  <w:rFonts w:ascii="Times New Roman;serif" w:hAnsi="Times New Roman;serif"/>
                  <w:b w:val="false"/>
                  <w:color w:val="0000FF"/>
                  <w:sz w:val="20"/>
                  <w:u w:val="single"/>
                </w:rPr>
                <w:t>16</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85">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85">
              <w:r>
                <w:rPr>
                  <w:rStyle w:val="InternetLink"/>
                  <w:rFonts w:ascii="Times New Roman;serif" w:hAnsi="Times New Roman;serif"/>
                  <w:b w:val="false"/>
                  <w:color w:val="0000FF"/>
                  <w:sz w:val="20"/>
                  <w:u w:val="single"/>
                </w:rPr>
                <w:t>22</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88">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88">
              <w:r>
                <w:rPr>
                  <w:rStyle w:val="InternetLink"/>
                  <w:rFonts w:ascii="Times New Roman;serif" w:hAnsi="Times New Roman;serif"/>
                  <w:b w:val="false"/>
                  <w:color w:val="0000FF"/>
                  <w:sz w:val="20"/>
                  <w:u w:val="single"/>
                </w:rPr>
                <w:t>23</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91">
              <w:r>
                <w:rPr>
                  <w:rStyle w:val="InternetLink"/>
                  <w:rFonts w:ascii="Times New Roman;serif" w:hAnsi="Times New Roman;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91">
              <w:r>
                <w:rPr>
                  <w:rStyle w:val="InternetLink"/>
                  <w:rFonts w:ascii="Times New Roman;serif" w:hAnsi="Times New Roman;serif"/>
                  <w:b w:val="false"/>
                  <w:color w:val="0000FF"/>
                  <w:sz w:val="20"/>
                  <w:u w:val="single"/>
                </w:rPr>
                <w:t>24</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94">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94">
              <w:r>
                <w:rPr>
                  <w:rStyle w:val="InternetLink"/>
                  <w:rFonts w:ascii="Times New Roman;serif" w:hAnsi="Times New Roman;serif"/>
                  <w:b w:val="false"/>
                  <w:color w:val="0000FF"/>
                  <w:sz w:val="20"/>
                  <w:u w:val="single"/>
                </w:rPr>
                <w:t>24</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97">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97">
              <w:r>
                <w:rPr>
                  <w:rStyle w:val="InternetLink"/>
                  <w:rFonts w:ascii="Times New Roman;serif" w:hAnsi="Times New Roman;serif"/>
                  <w:b w:val="false"/>
                  <w:color w:val="0000FF"/>
                  <w:sz w:val="20"/>
                  <w:u w:val="single"/>
                </w:rPr>
                <w:t>24</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112">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112">
              <w:r>
                <w:rPr>
                  <w:rStyle w:val="InternetLink"/>
                  <w:rFonts w:ascii="Times New Roman;serif" w:hAnsi="Times New Roman;serif"/>
                  <w:b w:val="false"/>
                  <w:color w:val="0000FF"/>
                  <w:sz w:val="20"/>
                  <w:u w:val="single"/>
                </w:rPr>
                <w:t>24</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550475a38b490891651060594ee98d_857">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100">
              <w:r>
                <w:rPr>
                  <w:rStyle w:val="InternetLink"/>
                  <w:rFonts w:ascii="Times New Roman;serif" w:hAnsi="Times New Roman;serif"/>
                  <w:b w:val="false"/>
                  <w:color w:val="0000FF"/>
                  <w:sz w:val="20"/>
                  <w:u w:val="single"/>
                </w:rPr>
                <w:t>24</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106">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70dd57da8d4a3182173321a5e6c4be_106">
              <w:r>
                <w:rPr>
                  <w:rStyle w:val="InternetLink"/>
                  <w:rFonts w:ascii="Times New Roman;serif" w:hAnsi="Times New Roman;serif"/>
                  <w:b w:val="false"/>
                  <w:color w:val="0000FF"/>
                  <w:sz w:val="20"/>
                  <w:u w:val="single"/>
                </w:rPr>
                <w:t>25</w:t>
              </w:r>
            </w:hyperlink>
          </w:p>
        </w:tc>
      </w:tr>
      <w:tr>
        <w:trPr/>
        <w:tc>
          <w:tcPr>
            <w:tcW w:w="9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70dd57da8d4a3182173321a5e6c4be_109">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This Quarterly Report on Form 10-Q for the fiscal quarter ended March 31, 2026 (this "Quarterly Report"), contains forward-looking statements within the meaning of the federal securities laws, including the Private Securities Litigation Reform Act of 1995 (the “PSLRA”), which statements involve substantial risks and uncertainties. The forward-looking statements made in this Quarterly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w:t>
      </w:r>
      <w:r>
        <w:rPr>
          <w:rFonts w:ascii="Times New Roman;serif" w:hAnsi="Times New Roman;serif"/>
          <w:b w:val="false"/>
          <w:color w:val="000000"/>
          <w:sz w:val="20"/>
          <w:shd w:fill="FFFFFF" w:val="clear"/>
        </w:rPr>
        <w:t>Forward-looking statements include all statements that are not statements of historical fact.</w:t>
      </w:r>
      <w:r>
        <w:rPr>
          <w:color w:val="1E2430"/>
          <w:shd w:fill="FFFFFF" w:val="clear"/>
        </w:rPr>
        <w:t xml:space="preserve"> </w:t>
      </w:r>
      <w:r>
        <w:rPr>
          <w:rFonts w:ascii="Times New Roman;serif" w:hAnsi="Times New Roman;serif"/>
          <w:b w:val="false"/>
          <w:color w:val="000000"/>
          <w:sz w:val="20"/>
        </w:rPr>
        <w:t>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future products and services, growth in the size of our business and number of customers, strategic plans and objectives, the benefits or performance of our strategic investments,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 entitled "Management's Discussion and Analysis of Financial Condition and Results of Operations" in this Quarterly Report and "Risk Factors" in our Annual Report on Form 10-K for the fiscal year ended December 31, 2025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bidi w:val="0"/>
        <w:spacing w:before="60" w:after="12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6464" w:type="dxa"/>
        <w:jc w:val="center"/>
        <w:tblInd w:w="0" w:type="dxa"/>
        <w:tblLayout w:type="fixed"/>
        <w:tblCellMar>
          <w:top w:w="28" w:type="dxa"/>
          <w:left w:w="28" w:type="dxa"/>
          <w:bottom w:w="28" w:type="dxa"/>
          <w:right w:w="28" w:type="dxa"/>
        </w:tblCellMar>
      </w:tblPr>
      <w:tblGrid>
        <w:gridCol w:w="1298"/>
        <w:gridCol w:w="1137"/>
        <w:gridCol w:w="1149"/>
        <w:gridCol w:w="109"/>
        <w:gridCol w:w="109"/>
        <w:gridCol w:w="109"/>
        <w:gridCol w:w="196"/>
        <w:gridCol w:w="736"/>
        <w:gridCol w:w="109"/>
        <w:gridCol w:w="109"/>
        <w:gridCol w:w="109"/>
        <w:gridCol w:w="109"/>
        <w:gridCol w:w="214"/>
        <w:gridCol w:w="803"/>
        <w:gridCol w:w="168"/>
      </w:tblGrid>
      <w:tr>
        <w:trPr/>
        <w:tc>
          <w:tcPr>
            <w:tcW w:w="1298"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688,967 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106,847 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146,388 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284,054 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(172,480)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542,579 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688,967 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before="60" w:after="283"/>
        <w:jc w:val="center"/>
        <w:rPr/>
      </w:pPr>
      <w:r>
        <w:rPr/>
      </w:r>
    </w:p>
    <w:p>
      <w:pPr>
        <w:pStyle w:val="TextBody"/>
        <w:bidi w:val="0"/>
        <w:spacing w:lineRule="auto" w:line="288" w:before="60" w:after="283"/>
        <w:jc w:val="center"/>
        <w:rPr>
          <w:color w:val="000000"/>
        </w:rPr>
      </w:pPr>
      <w:r>
        <w:rPr>
          <w:color w:val="000000"/>
        </w:rPr>
        <w:t> </w:t>
      </w:r>
    </w:p>
    <w:tbl>
      <w:tblPr>
        <w:tblW w:w="8305" w:type="dxa"/>
        <w:jc w:val="left"/>
        <w:tblInd w:w="0" w:type="dxa"/>
        <w:tblLayout w:type="fixed"/>
        <w:tblCellMar>
          <w:top w:w="28" w:type="dxa"/>
          <w:left w:w="28" w:type="dxa"/>
          <w:bottom w:w="28" w:type="dxa"/>
          <w:right w:w="28" w:type="dxa"/>
        </w:tblCellMar>
      </w:tblPr>
      <w:tblGrid>
        <w:gridCol w:w="1877"/>
        <w:gridCol w:w="1659"/>
        <w:gridCol w:w="1669"/>
        <w:gridCol w:w="211"/>
        <w:gridCol w:w="826"/>
        <w:gridCol w:w="109"/>
        <w:gridCol w:w="109"/>
        <w:gridCol w:w="109"/>
        <w:gridCol w:w="109"/>
        <w:gridCol w:w="211"/>
        <w:gridCol w:w="826"/>
        <w:gridCol w:w="109"/>
        <w:gridCol w:w="109"/>
        <w:gridCol w:w="109"/>
        <w:gridCol w:w="109"/>
        <w:gridCol w:w="154"/>
      </w:tblGrid>
      <w:tr>
        <w:trPr/>
        <w:tc>
          <w:tcPr>
            <w:tcW w:w="1877"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 (exclusive of depreciation and amortization)</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product development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stock-based compensation expense as follows:</w:t>
      </w:r>
    </w:p>
    <w:tbl>
      <w:tblPr>
        <w:tblW w:w="9542" w:type="dxa"/>
        <w:jc w:val="left"/>
        <w:tblInd w:w="0" w:type="dxa"/>
        <w:tblLayout w:type="fixed"/>
        <w:tblCellMar>
          <w:top w:w="28" w:type="dxa"/>
          <w:left w:w="28" w:type="dxa"/>
          <w:bottom w:w="28" w:type="dxa"/>
          <w:right w:w="28" w:type="dxa"/>
        </w:tblCellMar>
      </w:tblPr>
      <w:tblGrid>
        <w:gridCol w:w="2332"/>
        <w:gridCol w:w="2046"/>
        <w:gridCol w:w="2056"/>
        <w:gridCol w:w="211"/>
        <w:gridCol w:w="721"/>
        <w:gridCol w:w="109"/>
        <w:gridCol w:w="109"/>
        <w:gridCol w:w="109"/>
        <w:gridCol w:w="109"/>
        <w:gridCol w:w="211"/>
        <w:gridCol w:w="721"/>
        <w:gridCol w:w="109"/>
        <w:gridCol w:w="109"/>
        <w:gridCol w:w="109"/>
        <w:gridCol w:w="109"/>
        <w:gridCol w:w="109"/>
        <w:gridCol w:w="109"/>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included in costs and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60" w:after="283"/>
        <w:jc w:val="left"/>
        <w:rPr/>
      </w:pPr>
      <w:r>
        <w:rPr/>
      </w:r>
    </w:p>
    <w:p>
      <w:pPr>
        <w:pStyle w:val="TextBody"/>
        <w:bidi w:val="0"/>
        <w:spacing w:before="0" w:after="0"/>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tbl>
      <w:tblPr>
        <w:tblW w:w="8455" w:type="dxa"/>
        <w:jc w:val="center"/>
        <w:tblInd w:w="0" w:type="dxa"/>
        <w:tblLayout w:type="fixed"/>
        <w:tblCellMar>
          <w:top w:w="28" w:type="dxa"/>
          <w:left w:w="28" w:type="dxa"/>
          <w:bottom w:w="28" w:type="dxa"/>
          <w:right w:w="28" w:type="dxa"/>
        </w:tblCellMar>
      </w:tblPr>
      <w:tblGrid>
        <w:gridCol w:w="2015"/>
        <w:gridCol w:w="1766"/>
        <w:gridCol w:w="1784"/>
        <w:gridCol w:w="211"/>
        <w:gridCol w:w="721"/>
        <w:gridCol w:w="109"/>
        <w:gridCol w:w="109"/>
        <w:gridCol w:w="109"/>
        <w:gridCol w:w="109"/>
        <w:gridCol w:w="211"/>
        <w:gridCol w:w="721"/>
        <w:gridCol w:w="109"/>
        <w:gridCol w:w="109"/>
        <w:gridCol w:w="109"/>
        <w:gridCol w:w="109"/>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Changes in unrealized losses on investment securities,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60" w:after="283"/>
        <w:jc w:val="left"/>
        <w:rPr/>
      </w:pPr>
      <w:r>
        <w:rPr/>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 thousands)</w:t>
      </w:r>
    </w:p>
    <w:tbl>
      <w:tblPr>
        <w:tblW w:w="12308" w:type="dxa"/>
        <w:jc w:val="left"/>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65"/>
        <w:gridCol w:w="645"/>
        <w:gridCol w:w="206"/>
        <w:gridCol w:w="109"/>
        <w:gridCol w:w="109"/>
        <w:gridCol w:w="109"/>
        <w:gridCol w:w="196"/>
        <w:gridCol w:w="751"/>
        <w:gridCol w:w="109"/>
        <w:gridCol w:w="109"/>
        <w:gridCol w:w="109"/>
        <w:gridCol w:w="109"/>
        <w:gridCol w:w="196"/>
        <w:gridCol w:w="736"/>
        <w:gridCol w:w="109"/>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issuance of common stock under the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2853" w:type="dxa"/>
        <w:jc w:val="center"/>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327"/>
        <w:gridCol w:w="704"/>
        <w:gridCol w:w="185"/>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on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2241"/>
        <w:gridCol w:w="1825"/>
        <w:gridCol w:w="1840"/>
        <w:gridCol w:w="356"/>
        <w:gridCol w:w="1339"/>
        <w:gridCol w:w="197"/>
        <w:gridCol w:w="197"/>
        <w:gridCol w:w="197"/>
        <w:gridCol w:w="197"/>
        <w:gridCol w:w="356"/>
        <w:gridCol w:w="1175"/>
        <w:gridCol w:w="285"/>
      </w:tblGrid>
      <w:tr>
        <w:trPr/>
        <w:tc>
          <w:tcPr>
            <w:tcW w:w="2241"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APPFOLIO,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from operating activities</w:t>
            </w:r>
          </w:p>
        </w:tc>
        <w:tc>
          <w:tcPr>
            <w:tcW w:w="1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42,424 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operating lease right-of-use assets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costs capitalized to obtain revenue contracts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including as amortized</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38,465 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from investing activities</w:t>
            </w:r>
          </w:p>
        </w:tc>
        <w:tc>
          <w:tcPr>
            <w:tcW w:w="1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available-for-sale investments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(62,302)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available-for-sale investments</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140,154 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102,718 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available-for-sale investments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42,150 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software development costs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in business acquisition, net of cash acquired</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138,316 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80,794 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from financing activities</w:t>
            </w:r>
          </w:p>
        </w:tc>
        <w:tc>
          <w:tcPr>
            <w:tcW w:w="1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stock option exercises and the issuance of common stock under the Employee Stock Purchase Plan</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for net share settlement</w:t>
            </w:r>
          </w:p>
        </w:tc>
        <w:tc>
          <w:tcPr>
            <w:tcW w:w="1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(9,078)</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common stock</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(132,169)</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(104,830)</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cash equivalents and restricted cash</w:t>
            </w:r>
          </w:p>
        </w:tc>
        <w:tc>
          <w:tcPr>
            <w:tcW w:w="16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40,445 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14,429 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w:t>
            </w:r>
          </w:p>
        </w:tc>
        <w:tc>
          <w:tcPr>
            <w:tcW w:w="1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42,754 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147,662 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at end of period:</w:t>
            </w:r>
          </w:p>
        </w:tc>
        <w:tc>
          <w:tcPr>
            <w:tcW w:w="1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56,933 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prepaid expenses and other current assets</w:t>
            </w:r>
          </w:p>
        </w:tc>
        <w:tc>
          <w:tcPr>
            <w:tcW w:w="1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consolidated statements of cash flows</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147,662 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1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6"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816" w:type="dxa"/>
            <w:gridSpan w:val="3"/>
            <w:tcBorders/>
            <w:vAlign w:val="center"/>
          </w:tcPr>
          <w:p>
            <w:pPr>
              <w:pStyle w:val="TableContents"/>
              <w:bidi w:val="0"/>
              <w:spacing w:before="0" w:after="283"/>
              <w:jc w:val="left"/>
              <w:rPr>
                <w:sz w:val="4"/>
                <w:szCs w:val="4"/>
              </w:rPr>
            </w:pPr>
            <w:r>
              <w:rPr>
                <w:sz w:val="4"/>
                <w:szCs w:val="4"/>
              </w:rPr>
            </w:r>
          </w:p>
        </w:tc>
      </w:tr>
      <w:tr>
        <w:trPr/>
        <w:tc>
          <w:tcPr>
            <w:tcW w:w="5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 included in operating cash flows</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APPFOLIO,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UNAUDITED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1. Nature of Business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AppFolio, Inc. ("we," "us" or "our") is a technology leader powering the future of the real estate industry. We provide a cloud-based platform on which our customers operate their businesses. Our services enable our customers to connect communities, increase operational efficiency, deliver exceptional customer experiences, and improve financial and operational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2. Summary of Significant Accounting Policies</w:t>
      </w:r>
    </w:p>
    <w:p>
      <w:pPr>
        <w:pStyle w:val="TextBody"/>
        <w:bidi w:val="0"/>
        <w:spacing w:lineRule="auto" w:line="288" w:before="12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Basis of Presentation and Significant Accounting Policies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5, 2026.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three months ended March 31, 2026 are not necessarily indicative of the results expected for the full year ending December 31, 2026.</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the fair value of privately-held strategic investments, useful lives of property and equipment and intangible assets, capitalized software development costs, incremental borrowing rate applied in lease accounting, the period of benefit associated with deferred costs, stock-based compensation, income taxes, and contingencies. Actual results could differ from those estimates and any such differences may have a material impact on our Consolidated Financial Statements.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Segment Information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the Chief Executive Officer, allocates resources and assesses financial performance based upon discrete financial information at the consolidated level. There are no segment managers who are held accountable by our CODM, or anyone else, for operations, operating results and planning for levels or components below the consolidated unit level. Accordingly, we have determined that we operate as a single operating and reportable segment.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CODM uses consolidated net income (loss) as the sole measure of segment profit or loss. Significant segment expenses include cost of revenue (excluding depreciation and amortization), sales and marketing, research and product development, general and administrative expenses, and depreciation and amortization. For expenses incurred during the three months ended March 31, 2026 and 2025, refer to our Condensed Consolidated Statements of Operations. Stock-based compensation expense is also recognized as a significant segment expense. Details regarding this expense for the three months ended March 31, 2026 and 2025 is included in the parenthetical note to the respective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Accounting Pronouncements Adopted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ASU 2025-05, Measurement of Credit Losses for Accounts Receivable and Contract Assets, which amends ASC 326-202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guidance will be applied on a prospective basis and is effective for calendar year-end public business entities in the 2026 annual period and its interim periods, with early adoption permitted. We adopted the standard from January 1, 2026 prospectively. The adoption of the standard has no material impact on our financial statements.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November 2024, FASB issued ASU 2024-03, </w:t>
      </w:r>
      <w:r>
        <w:rPr>
          <w:rFonts w:ascii="Times New Roman;serif" w:hAnsi="Times New Roman;serif"/>
          <w:b w:val="false"/>
          <w:i/>
          <w:color w:val="000000"/>
          <w:sz w:val="20"/>
        </w:rPr>
        <w:t xml:space="preserve">Disaggregation of Income Statement Expense. </w:t>
      </w:r>
      <w:r>
        <w:rPr>
          <w:rFonts w:ascii="Times New Roman;serif" w:hAnsi="Times New Roman;serif"/>
          <w:b w:val="false"/>
          <w:color w:val="000000"/>
          <w:sz w:val="20"/>
        </w:rPr>
        <w:t>The new standard requires additional disclosures about specific types of expenses included in the expense captions presented on the face of income statements as well as disclosures about selling expenses. The guidance applies prospectively with the option to apply the standard retrospectively and is effective for calendar year-end public business entities in the 2027 annual period and in 2028 for interim periods with early adoption permitted. We are currently evaluating the impact of ASU 2024-03 on our Consolidated Financial Statements.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Targeted Improvements to the Accounting for Internal-Use Software, to modernize the accounting guidance for the costs to develop software for internal use. The new guidance amends the existing standard that refers to various stages of a software development project to align better with current software development methods, such as agile programming. The new guidance will be effective for calendar year-end public business entities in the 2028 annual period. The guidance can be applied on a fully prospective basis, a modified basis for in-process projects, or a full retrospective basis. We are currently evaluating the impact of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3. Revenue and Deferred Costs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following table presents our revenue categories for the three months ended March 31, 2026 and 2025 (in thousands):</w:t>
      </w:r>
      <w:r>
        <w:rPr>
          <w:color w:val="000000"/>
        </w:rPr>
        <w:t> </w:t>
      </w:r>
    </w:p>
    <w:tbl>
      <w:tblPr>
        <w:tblW w:w="5332" w:type="dxa"/>
        <w:jc w:val="left"/>
        <w:tblInd w:w="0" w:type="dxa"/>
        <w:tblLayout w:type="fixed"/>
        <w:tblCellMar>
          <w:top w:w="28" w:type="dxa"/>
          <w:left w:w="28" w:type="dxa"/>
          <w:bottom w:w="28" w:type="dxa"/>
          <w:right w:w="28" w:type="dxa"/>
        </w:tblCellMar>
      </w:tblPr>
      <w:tblGrid>
        <w:gridCol w:w="690"/>
        <w:gridCol w:w="607"/>
        <w:gridCol w:w="608"/>
        <w:gridCol w:w="109"/>
        <w:gridCol w:w="109"/>
        <w:gridCol w:w="109"/>
        <w:gridCol w:w="211"/>
        <w:gridCol w:w="826"/>
        <w:gridCol w:w="109"/>
        <w:gridCol w:w="109"/>
        <w:gridCol w:w="109"/>
        <w:gridCol w:w="109"/>
        <w:gridCol w:w="211"/>
        <w:gridCol w:w="826"/>
        <w:gridCol w:w="109"/>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revenue is generated primarily from customers in the United States.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Deferred Costs </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Deferred costs were $23.8 million and $22.8 million as of March 31, 2026 and December 31, 2025, respectively, of which $11.8 million and $11.2 million, respectively, are included in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 xml:space="preserve">and $12.0 million and $11.6 million, respectively, are included in </w:t>
      </w:r>
      <w:r>
        <w:rPr>
          <w:rFonts w:ascii="Times New Roman;serif" w:hAnsi="Times New Roman;serif"/>
          <w:b w:val="false"/>
          <w:i/>
          <w:color w:val="000000"/>
          <w:sz w:val="20"/>
        </w:rPr>
        <w:t>Other long-term assets</w:t>
      </w:r>
      <w:r>
        <w:rPr>
          <w:color w:val="000000"/>
        </w:rPr>
        <w:t xml:space="preserve"> </w:t>
      </w:r>
      <w:r>
        <w:rPr>
          <w:rFonts w:ascii="Times New Roman;serif" w:hAnsi="Times New Roman;serif"/>
          <w:b w:val="false"/>
          <w:color w:val="000000"/>
          <w:sz w:val="20"/>
        </w:rPr>
        <w:t>in the accompanying Condensed Consolidated Balance Sheets. Amortization expense for deferred costs was $3.2 million, and $2.7 million for three months ended March 31, 2026 and 2025, respectively. For the three months ended March 31, 2026 and 2025, no impairments were identified in relation to the costs capitalized for the periods presented.</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Transaction price allocated to remaining performance obligations (“RPO”) represents contracted revenue that has not been recognized, which includes deferred revenue and non-cancelable amounts that will be invoiced and recognized as revenue in future periods. RPO does not include revenue related to performance obligations that are part of a contract with an original expected duration of one year or less or related to usage-based Value Added Services that are billed in arrears.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total non-cancelable RPO under our contracts with customers was $103.6 million, and we expect to recognize revenue on approximately 40.3% of these RPO over the following 12 months, with the balance to be recognized thereafter. During the three months ended March 31, 2026, we recognized revenue of $8.9 million, that was included in the RPO at the beginning of the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4. Investment Securities and Fair Value Measurements</w:t>
      </w:r>
    </w:p>
    <w:p>
      <w:pPr>
        <w:pStyle w:val="TextBody"/>
        <w:bidi w:val="0"/>
        <w:spacing w:lineRule="auto" w:line="288" w:before="6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Investment securities classified as available-for-sale consisted of the following as of March 31, 2026 and December 31, 2025 (in thousands):</w:t>
      </w:r>
    </w:p>
    <w:tbl>
      <w:tblPr>
        <w:tblW w:w="10205" w:type="dxa"/>
        <w:jc w:val="center"/>
        <w:tblInd w:w="0" w:type="dxa"/>
        <w:tblLayout w:type="fixed"/>
        <w:tblCellMar>
          <w:top w:w="28" w:type="dxa"/>
          <w:left w:w="28" w:type="dxa"/>
          <w:bottom w:w="28" w:type="dxa"/>
          <w:right w:w="28" w:type="dxa"/>
        </w:tblCellMar>
      </w:tblPr>
      <w:tblGrid>
        <w:gridCol w:w="1246"/>
        <w:gridCol w:w="1010"/>
        <w:gridCol w:w="1013"/>
        <w:gridCol w:w="264"/>
        <w:gridCol w:w="774"/>
        <w:gridCol w:w="137"/>
        <w:gridCol w:w="109"/>
        <w:gridCol w:w="109"/>
        <w:gridCol w:w="109"/>
        <w:gridCol w:w="466"/>
        <w:gridCol w:w="899"/>
        <w:gridCol w:w="243"/>
        <w:gridCol w:w="109"/>
        <w:gridCol w:w="109"/>
        <w:gridCol w:w="109"/>
        <w:gridCol w:w="582"/>
        <w:gridCol w:w="747"/>
        <w:gridCol w:w="301"/>
        <w:gridCol w:w="109"/>
        <w:gridCol w:w="109"/>
        <w:gridCol w:w="109"/>
        <w:gridCol w:w="330"/>
        <w:gridCol w:w="964"/>
        <w:gridCol w:w="248"/>
      </w:tblGrid>
      <w:tr>
        <w:trPr/>
        <w:tc>
          <w:tcPr>
            <w:tcW w:w="12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 securities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35"/>
        <w:gridCol w:w="993"/>
        <w:gridCol w:w="996"/>
        <w:gridCol w:w="224"/>
        <w:gridCol w:w="880"/>
        <w:gridCol w:w="115"/>
        <w:gridCol w:w="109"/>
        <w:gridCol w:w="109"/>
        <w:gridCol w:w="109"/>
        <w:gridCol w:w="491"/>
        <w:gridCol w:w="842"/>
        <w:gridCol w:w="256"/>
        <w:gridCol w:w="109"/>
        <w:gridCol w:w="109"/>
        <w:gridCol w:w="109"/>
        <w:gridCol w:w="467"/>
        <w:gridCol w:w="901"/>
        <w:gridCol w:w="243"/>
        <w:gridCol w:w="109"/>
        <w:gridCol w:w="109"/>
        <w:gridCol w:w="109"/>
        <w:gridCol w:w="278"/>
        <w:gridCol w:w="1091"/>
        <w:gridCol w:w="212"/>
      </w:tblGrid>
      <w:tr>
        <w:trPr/>
        <w:tc>
          <w:tcPr>
            <w:tcW w:w="123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for available-for-sale debt securities in an unrealized loss position, the Company evaluated whether any portion of the decline in fair value below amortized cost was due to credit losses. Based on this evaluation, and considering that it is more likely than not that the Company will hold the securities until maturity or recovery of the cost basis, no allowance for credit losses was recorded for available-for-sale investment securities as of March 31, 2026 or December 31, 2025. </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available-for-sale investment securities, by remaining contractual maturity, are as follows (in thousands):</w:t>
      </w:r>
    </w:p>
    <w:tbl>
      <w:tblPr>
        <w:tblW w:w="10205" w:type="dxa"/>
        <w:jc w:val="center"/>
        <w:tblInd w:w="0" w:type="dxa"/>
        <w:tblLayout w:type="fixed"/>
        <w:tblCellMar>
          <w:top w:w="28" w:type="dxa"/>
          <w:left w:w="28" w:type="dxa"/>
          <w:bottom w:w="28" w:type="dxa"/>
          <w:right w:w="28" w:type="dxa"/>
        </w:tblCellMar>
      </w:tblPr>
      <w:tblGrid>
        <w:gridCol w:w="1293"/>
        <w:gridCol w:w="1139"/>
        <w:gridCol w:w="1114"/>
        <w:gridCol w:w="273"/>
        <w:gridCol w:w="800"/>
        <w:gridCol w:w="141"/>
        <w:gridCol w:w="109"/>
        <w:gridCol w:w="109"/>
        <w:gridCol w:w="109"/>
        <w:gridCol w:w="356"/>
        <w:gridCol w:w="1040"/>
        <w:gridCol w:w="183"/>
        <w:gridCol w:w="109"/>
        <w:gridCol w:w="109"/>
        <w:gridCol w:w="109"/>
        <w:gridCol w:w="227"/>
        <w:gridCol w:w="891"/>
        <w:gridCol w:w="117"/>
        <w:gridCol w:w="109"/>
        <w:gridCol w:w="109"/>
        <w:gridCol w:w="109"/>
        <w:gridCol w:w="291"/>
        <w:gridCol w:w="1141"/>
        <w:gridCol w:w="218"/>
      </w:tblGrid>
      <w:tr>
        <w:trPr/>
        <w:tc>
          <w:tcPr>
            <w:tcW w:w="129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 securities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we had sales and maturities of investment securities, as follows (in thousands):</w:t>
      </w:r>
    </w:p>
    <w:tbl>
      <w:tblPr>
        <w:tblW w:w="10205" w:type="dxa"/>
        <w:jc w:val="left"/>
        <w:tblInd w:w="0" w:type="dxa"/>
        <w:tblLayout w:type="fixed"/>
        <w:tblCellMar>
          <w:top w:w="28" w:type="dxa"/>
          <w:left w:w="28" w:type="dxa"/>
          <w:bottom w:w="28" w:type="dxa"/>
          <w:right w:w="28" w:type="dxa"/>
        </w:tblCellMar>
      </w:tblPr>
      <w:tblGrid>
        <w:gridCol w:w="946"/>
        <w:gridCol w:w="831"/>
        <w:gridCol w:w="833"/>
        <w:gridCol w:w="399"/>
        <w:gridCol w:w="769"/>
        <w:gridCol w:w="205"/>
        <w:gridCol w:w="109"/>
        <w:gridCol w:w="109"/>
        <w:gridCol w:w="109"/>
        <w:gridCol w:w="392"/>
        <w:gridCol w:w="799"/>
        <w:gridCol w:w="202"/>
        <w:gridCol w:w="109"/>
        <w:gridCol w:w="109"/>
        <w:gridCol w:w="109"/>
        <w:gridCol w:w="330"/>
        <w:gridCol w:w="1293"/>
        <w:gridCol w:w="170"/>
        <w:gridCol w:w="109"/>
        <w:gridCol w:w="109"/>
        <w:gridCol w:w="109"/>
        <w:gridCol w:w="398"/>
        <w:gridCol w:w="1361"/>
        <w:gridCol w:w="296"/>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Gross Proceeds from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Proceeds from Maturities</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140,154 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42,360 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0"/>
        <w:gridCol w:w="835"/>
        <w:gridCol w:w="837"/>
        <w:gridCol w:w="426"/>
        <w:gridCol w:w="730"/>
        <w:gridCol w:w="221"/>
        <w:gridCol w:w="109"/>
        <w:gridCol w:w="109"/>
        <w:gridCol w:w="109"/>
        <w:gridCol w:w="498"/>
        <w:gridCol w:w="641"/>
        <w:gridCol w:w="259"/>
        <w:gridCol w:w="109"/>
        <w:gridCol w:w="109"/>
        <w:gridCol w:w="109"/>
        <w:gridCol w:w="325"/>
        <w:gridCol w:w="1274"/>
        <w:gridCol w:w="167"/>
        <w:gridCol w:w="109"/>
        <w:gridCol w:w="109"/>
        <w:gridCol w:w="109"/>
        <w:gridCol w:w="399"/>
        <w:gridCol w:w="1366"/>
        <w:gridCol w:w="296"/>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2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Proceeds from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Proceeds from Maturities</w:t>
            </w:r>
          </w:p>
        </w:tc>
      </w:tr>
      <w:tr>
        <w:trPr/>
        <w:tc>
          <w:tcPr>
            <w:tcW w:w="2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102,718 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42,150 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The tables above do not include our strategic investments of non-marketable equity investments in privately-held companies, which are recorded in </w:t>
      </w:r>
      <w:r>
        <w:rPr>
          <w:rFonts w:ascii="Times New Roman;serif" w:hAnsi="Times New Roman;serif"/>
          <w:b w:val="false"/>
          <w:i/>
          <w:color w:val="000000"/>
          <w:sz w:val="20"/>
        </w:rPr>
        <w:t>long-term investments</w:t>
      </w:r>
      <w:r>
        <w:rPr>
          <w:color w:val="000000"/>
        </w:rPr>
        <w:t xml:space="preserve"> </w:t>
      </w:r>
      <w:r>
        <w:rPr>
          <w:rFonts w:ascii="Times New Roman;serif" w:hAnsi="Times New Roman;serif"/>
          <w:b w:val="false"/>
          <w:color w:val="000000"/>
          <w:sz w:val="20"/>
        </w:rPr>
        <w:t>in our Condensed Consolidated Balance Sheets. These strategic investments consist of the following as of March 31, 2026 and December 31, 2025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60" w:after="283"/>
        <w:jc w:val="left"/>
        <w:rPr/>
      </w:pPr>
      <w:r>
        <w:rPr/>
      </w:r>
    </w:p>
    <w:tbl>
      <w:tblPr>
        <w:tblW w:w="5489" w:type="dxa"/>
        <w:jc w:val="left"/>
        <w:tblInd w:w="0" w:type="dxa"/>
        <w:tblLayout w:type="fixed"/>
        <w:tblCellMar>
          <w:top w:w="28" w:type="dxa"/>
          <w:left w:w="28" w:type="dxa"/>
          <w:bottom w:w="28" w:type="dxa"/>
          <w:right w:w="28" w:type="dxa"/>
        </w:tblCellMar>
      </w:tblPr>
      <w:tblGrid>
        <w:gridCol w:w="961"/>
        <w:gridCol w:w="843"/>
        <w:gridCol w:w="851"/>
        <w:gridCol w:w="109"/>
        <w:gridCol w:w="109"/>
        <w:gridCol w:w="109"/>
        <w:gridCol w:w="211"/>
        <w:gridCol w:w="721"/>
        <w:gridCol w:w="109"/>
        <w:gridCol w:w="109"/>
        <w:gridCol w:w="109"/>
        <w:gridCol w:w="109"/>
        <w:gridCol w:w="221"/>
        <w:gridCol w:w="757"/>
        <w:gridCol w:w="161"/>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Nature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cumulative amount of upward adjustments recognized on our strategic investments of non-marketable equity investments was $0.6 million, all of which was recorded during the first quarter of 2026 for our investment in a privately held technology company. There is no cumulative amount of downward adjustment as of March 31, 2026.</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realized or unrealized gains or losses from remeasurement of investments in equity securities under the measurement alternative for the three months ended March 31, 2025.</w:t>
      </w:r>
    </w:p>
    <w:p>
      <w:pPr>
        <w:pStyle w:val="TextBody"/>
        <w:bidi w:val="0"/>
        <w:spacing w:lineRule="auto" w:line="288" w:before="2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6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Recurring Fair Value Measurements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financial assets and liabilities measured at fair value on a recurring basis as of March 31, 2026 and December 31, 2025 by level within the fair value hierarchy (in thousands):</w:t>
      </w:r>
    </w:p>
    <w:tbl>
      <w:tblPr>
        <w:tblW w:w="7579" w:type="dxa"/>
        <w:jc w:val="left"/>
        <w:tblInd w:w="0" w:type="dxa"/>
        <w:tblLayout w:type="fixed"/>
        <w:tblCellMar>
          <w:top w:w="28" w:type="dxa"/>
          <w:left w:w="28" w:type="dxa"/>
          <w:bottom w:w="28" w:type="dxa"/>
          <w:right w:w="28" w:type="dxa"/>
        </w:tblCellMar>
      </w:tblPr>
      <w:tblGrid>
        <w:gridCol w:w="1243"/>
        <w:gridCol w:w="1092"/>
        <w:gridCol w:w="1099"/>
        <w:gridCol w:w="211"/>
        <w:gridCol w:w="826"/>
        <w:gridCol w:w="109"/>
        <w:gridCol w:w="109"/>
        <w:gridCol w:w="109"/>
        <w:gridCol w:w="109"/>
        <w:gridCol w:w="211"/>
        <w:gridCol w:w="616"/>
        <w:gridCol w:w="109"/>
        <w:gridCol w:w="109"/>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300" w:type="dxa"/>
            <w:gridSpan w:val="4"/>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government and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0" w:type="dxa"/>
        <w:jc w:val="left"/>
        <w:tblInd w:w="0" w:type="dxa"/>
        <w:tblLayout w:type="fixed"/>
        <w:tblCellMar>
          <w:top w:w="28" w:type="dxa"/>
          <w:left w:w="28" w:type="dxa"/>
          <w:bottom w:w="28" w:type="dxa"/>
          <w:right w:w="28" w:type="dxa"/>
        </w:tblCellMar>
      </w:tblPr>
      <w:tblGrid>
        <w:gridCol w:w="1227"/>
        <w:gridCol w:w="1078"/>
        <w:gridCol w:w="1085"/>
        <w:gridCol w:w="211"/>
        <w:gridCol w:w="721"/>
        <w:gridCol w:w="109"/>
        <w:gridCol w:w="109"/>
        <w:gridCol w:w="109"/>
        <w:gridCol w:w="109"/>
        <w:gridCol w:w="211"/>
        <w:gridCol w:w="826"/>
        <w:gridCol w:w="109"/>
        <w:gridCol w:w="109"/>
        <w:gridCol w:w="109"/>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300"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investment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restricted cash, accounts receivable, accounts payable and accrued liabilities approximate their fair value because of the short maturity of these items.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pStyle w:val="TextBody"/>
        <w:bidi w:val="0"/>
        <w:spacing w:lineRule="auto" w:line="288" w:before="6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Strategic Investments Measured and Recorded at Fair Value on a Non-Recurring Basis</w:t>
      </w:r>
    </w:p>
    <w:p>
      <w:pPr>
        <w:pStyle w:val="TextBody"/>
        <w:bidi w:val="0"/>
        <w:spacing w:lineRule="auto" w:line="288" w:before="60" w:after="120"/>
        <w:ind w:left="0" w:right="0" w:firstLine="720"/>
        <w:jc w:val="both"/>
        <w:rPr/>
      </w:pPr>
      <w:r>
        <w:rPr>
          <w:rFonts w:ascii="Times New Roman;serif" w:hAnsi="Times New Roman;serif"/>
          <w:b w:val="false"/>
          <w:color w:val="000000"/>
          <w:sz w:val="20"/>
        </w:rPr>
        <w:t xml:space="preserve">Strategic investments primarily include equity investments in privately-held companies, which do not have a readily determinable fair value. Strategic investments are classified as Level 3 in the fair value hierarchy, as their nonrecurring fair value measurements may include observable and unobservable inputs. As of March 31, 2026 and December 31, 2025, the balance of strategic investments was $77.7 million and $77.0 million, respectively. We recognized a net unrealized gain of $0.6 million in connection with our investment in a privately held technology company in </w:t>
      </w: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in our Condensed Consolidated Statements of Operations for the three months ended March 31, 2026. We did not recognize any net unrealized gain or loss for our strategic investments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5. Other Balance Sheet Components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884" w:type="dxa"/>
        <w:jc w:val="left"/>
        <w:tblInd w:w="0" w:type="dxa"/>
        <w:tblLayout w:type="fixed"/>
        <w:tblCellMar>
          <w:top w:w="28" w:type="dxa"/>
          <w:left w:w="28" w:type="dxa"/>
          <w:bottom w:w="28" w:type="dxa"/>
          <w:right w:w="28" w:type="dxa"/>
        </w:tblCellMar>
      </w:tblPr>
      <w:tblGrid>
        <w:gridCol w:w="1466"/>
        <w:gridCol w:w="1288"/>
        <w:gridCol w:w="1296"/>
        <w:gridCol w:w="109"/>
        <w:gridCol w:w="109"/>
        <w:gridCol w:w="109"/>
        <w:gridCol w:w="211"/>
        <w:gridCol w:w="721"/>
        <w:gridCol w:w="109"/>
        <w:gridCol w:w="109"/>
        <w:gridCol w:w="109"/>
        <w:gridCol w:w="109"/>
        <w:gridCol w:w="221"/>
        <w:gridCol w:w="757"/>
        <w:gridCol w:w="161"/>
      </w:tblGrid>
      <w:tr>
        <w:trP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receivable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commissions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Deposits for insurance services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For additional information on income tax, refer to Note 9, </w:t>
      </w:r>
      <w:r>
        <w:rPr>
          <w:rFonts w:ascii="Times New Roman;serif" w:hAnsi="Times New Roman;serif"/>
          <w:b w:val="false"/>
          <w:i/>
          <w:color w:val="000000"/>
          <w:sz w:val="20"/>
        </w:rPr>
        <w:t>Income Taxes.</w:t>
      </w:r>
    </w:p>
    <w:p>
      <w:pPr>
        <w:pStyle w:val="TextBody"/>
        <w:bidi w:val="0"/>
        <w:spacing w:lineRule="auto" w:line="288" w:before="120" w:after="120"/>
        <w:ind w:left="0" w:right="0" w:firstLine="72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For additional information on deferred commissions, refer to Deferred Costs in Note 3, </w:t>
      </w:r>
      <w:r>
        <w:rPr>
          <w:rFonts w:ascii="Times New Roman;serif" w:hAnsi="Times New Roman;serif"/>
          <w:b w:val="false"/>
          <w:i/>
          <w:color w:val="000000"/>
          <w:sz w:val="20"/>
        </w:rPr>
        <w:t>Revenue and Deferred Costs.</w:t>
      </w:r>
    </w:p>
    <w:p>
      <w:pPr>
        <w:pStyle w:val="TextBody"/>
        <w:bidi w:val="0"/>
        <w:spacing w:lineRule="auto" w:line="288" w:before="120" w:after="120"/>
        <w:ind w:left="0" w:right="0" w:firstLine="720"/>
        <w:jc w:val="both"/>
        <w:rPr/>
      </w:pPr>
      <w:r>
        <w:rPr>
          <w:rFonts w:ascii="Times New Roman;serif" w:hAnsi="Times New Roman;serif"/>
          <w:b w:val="false"/>
          <w:color w:val="000000"/>
          <w:sz w:val="13"/>
        </w:rPr>
        <w:t>(3)</w:t>
      </w:r>
      <w:r>
        <w:rPr>
          <w:rFonts w:ascii="Times New Roman;serif" w:hAnsi="Times New Roman;serif"/>
          <w:b w:val="false"/>
          <w:color w:val="000000"/>
          <w:sz w:val="20"/>
        </w:rPr>
        <w:t>For additional information on deposits held with a third party related to requirements to maintain collateral for insurance services, refer to "Legal Liability to Landlord Insurance" in Note 6,</w:t>
      </w:r>
      <w:r>
        <w:rPr>
          <w:color w:val="000000"/>
        </w:rPr>
        <w:t xml:space="preserve"> </w:t>
      </w:r>
      <w:r>
        <w:rPr>
          <w:rFonts w:ascii="Times New Roman;serif" w:hAnsi="Times New Roman;serif"/>
          <w:b w:val="false"/>
          <w:i/>
          <w:color w:val="000000"/>
          <w:sz w:val="20"/>
        </w:rPr>
        <w:t>Commitments and Contingencies.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Accrued Employee Expenses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employee expenses consisted of the following (in thousands):</w:t>
      </w:r>
    </w:p>
    <w:tbl>
      <w:tblPr>
        <w:tblW w:w="5923" w:type="dxa"/>
        <w:jc w:val="left"/>
        <w:tblInd w:w="0" w:type="dxa"/>
        <w:tblLayout w:type="fixed"/>
        <w:tblCellMar>
          <w:top w:w="28" w:type="dxa"/>
          <w:left w:w="28" w:type="dxa"/>
          <w:bottom w:w="28" w:type="dxa"/>
          <w:right w:w="28" w:type="dxa"/>
        </w:tblCellMar>
      </w:tblPr>
      <w:tblGrid>
        <w:gridCol w:w="1119"/>
        <w:gridCol w:w="983"/>
        <w:gridCol w:w="987"/>
        <w:gridCol w:w="109"/>
        <w:gridCol w:w="109"/>
        <w:gridCol w:w="109"/>
        <w:gridCol w:w="211"/>
        <w:gridCol w:w="721"/>
        <w:gridCol w:w="109"/>
        <w:gridCol w:w="109"/>
        <w:gridCol w:w="109"/>
        <w:gridCol w:w="109"/>
        <w:gridCol w:w="221"/>
        <w:gridCol w:w="757"/>
        <w:gridCol w:w="161"/>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bonuses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3"/>
        </w:rPr>
        <w:t>(1)</w:t>
      </w:r>
      <w:r>
        <w:rPr>
          <w:rFonts w:ascii="Times New Roman;serif" w:hAnsi="Times New Roman;serif"/>
          <w:b w:val="false"/>
          <w:color w:val="000000"/>
          <w:sz w:val="20"/>
        </w:rPr>
        <w:t>Accrued bonuses decreased significantly as of March 31, 2026, due to the payment of 2025 annual bonuses in the first quarter of 2026.</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Other Current Liabilities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consisted of the following (in thousands): </w:t>
      </w:r>
    </w:p>
    <w:tbl>
      <w:tblPr>
        <w:tblW w:w="5668" w:type="dxa"/>
        <w:jc w:val="left"/>
        <w:tblInd w:w="0" w:type="dxa"/>
        <w:tblLayout w:type="fixed"/>
        <w:tblCellMar>
          <w:top w:w="28" w:type="dxa"/>
          <w:left w:w="28" w:type="dxa"/>
          <w:bottom w:w="28" w:type="dxa"/>
          <w:right w:w="28" w:type="dxa"/>
        </w:tblCellMar>
      </w:tblPr>
      <w:tblGrid>
        <w:gridCol w:w="1025"/>
        <w:gridCol w:w="902"/>
        <w:gridCol w:w="907"/>
        <w:gridCol w:w="109"/>
        <w:gridCol w:w="109"/>
        <w:gridCol w:w="109"/>
        <w:gridCol w:w="211"/>
        <w:gridCol w:w="721"/>
        <w:gridCol w:w="109"/>
        <w:gridCol w:w="109"/>
        <w:gridCol w:w="109"/>
        <w:gridCol w:w="109"/>
        <w:gridCol w:w="221"/>
        <w:gridCol w:w="757"/>
        <w:gridCol w:w="161"/>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Unearned premium liabilities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Insurance reserves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13"/>
        </w:rPr>
        <w:t>(1)</w:t>
      </w:r>
      <w:r>
        <w:rPr>
          <w:rFonts w:ascii="Times New Roman;serif" w:hAnsi="Times New Roman;serif"/>
          <w:b w:val="false"/>
          <w:color w:val="000000"/>
          <w:sz w:val="20"/>
        </w:rPr>
        <w:t>Unearned premium liabilities are the refundable portion of commissions received in connection with the sale of renters insurance policies to residents through AppFolio Insurance Services, Inc., our wholly owned subsidiary. In the event a resident cancels their renters insurance policy prior to the end of such policy, we may be required to refund a pro rata portion of the commission paid on such policy.</w:t>
      </w:r>
    </w:p>
    <w:p>
      <w:pPr>
        <w:pStyle w:val="TextBody"/>
        <w:bidi w:val="0"/>
        <w:spacing w:lineRule="auto" w:line="288" w:before="120" w:after="120"/>
        <w:ind w:left="0" w:right="0" w:firstLine="72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For additional information on insurance reserves, refer to "Legal Liability to Landlord Insurance" in Note 6, </w:t>
      </w:r>
      <w:r>
        <w:rPr>
          <w:rFonts w:ascii="Times New Roman;serif" w:hAnsi="Times New Roman;serif"/>
          <w:b w:val="false"/>
          <w:i/>
          <w:color w:val="000000"/>
          <w:sz w:val="20"/>
        </w:rPr>
        <w:t>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6. Commitments and Contingencies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Legal Liability to Landlord Insurance</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March 31, 2026 and December 31, 2025 was $7.5 million and $6.6 million, respectively, and is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on our Condensed Consolidated Balance Sheets.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Included in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as of March 31, 2026 and December 31, 2025 are $4.5 million and $7.8 million, respectively, of deposits held with a third party related to requirements to maintain collateral for this insurance service.</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2026, we entered into an agreement with vendors for certain cloud computing services. We are committed to spend a minimum of at least $219.3 million through 2031, of which $36.2 million is short-term. We may pay more than the minimum purchase commitment to our cloud-computing vendors based on usage.</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30, 2025, we entered into a credit agreement by and among AppFolio, Inc., certain of our subsidiaries as guarantors, the lender(s) party thereto, and PNC Bank, National Association, in its capacity as Administrative Agent, Swingline Loan Lender and Issuing Lender (the “Credit Facility”).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Credit Facility provides for a $150.0 million senior secured revolving credit facility, including sublimits of $25.0 million for letters of credit and $25.0 million for swingline loans, and is scheduled to mature on September 30, 2030. We may, subject to customary conditions and consent of the applicable lenders, increase the revolving commitment or incur term loans thereunder (capped at amounts specified in the Credit Facility) or extend the maturity date of the Credit Facility.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Facility bear interest at variable rates based, at our option, on Term Secured Overnight Financing Rate Data ("SOFR"), Daily Simple SOFR, or a Base Rate, plus an applicable margin (ranging from 125.0 to 200.00 basis points in the case of Term SOFR and Daily Simple SOFR and 25.0 to 100.00 basis points in the case of the Base Rate) determined by our Consolidated Net Leverage Ratio, all as defined in the Credit Facility. We also pay a quarterly commitment fee (ranging from 15.0 to 30.0 basis points depending on our Consolidated Net Leverage Ratio) on unused amounts, as well as customary letter of credit and agency fees.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under the Credit Facility are guaranteed by certain of our subsidiaries and secured by a first-priority security interest in substantially all of our and our guarantors' personal property, subject to customary exclusions and exceptions. The Credit Facility includes customary representations, warranties, and affirmative and negative covenants, including a financial covenant requiring maintenance of a Consolidated Net Leverage Ratio. The negative covenants include, among other things, restrictions on our and our subsidiaries' ability to incur indebtedness and liens, make investments, pay dividends or distributions or repurchase equity interests, merge, consolidate or otherwise dispose of assets, enter into transactions with affiliates, and prepay, redeem, purchase or otherwise retire junior indebtedness, all subject to certain exceptions.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were no outstanding borrowings under the Credit Facility, and we were in compliance with the covenants under the Credit Facility.</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are involved in various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investigative inquires, legal proceedings and other disputes, if determined adversely to us, would, individually or taken together, have a material adverse effect on our business, operating results, financial condition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7. Share Repurchase Program</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20, 2019, our Board of Directors (our "Board") authorized a $100.0 million share repurchase program (the "2019 Stock Repurchase Program") relating to our outstanding shares of Class A common stock. Under the 2019 Stock Repurchase Program, we were authorized to repurchase shares of our Class A common stock from time to time in open market purchases or privately negotiated transactions. The 2019 Stock Repurchase Program did not obligate us to repurchase any minimum dollar amount or number of shares, did not have an expiration date, and it could have been modified, suspended or terminated at any time and for any reason.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we repurchased 445,311 shares of our Class A common stock through open market repurchases under the 2019 Stock Repurchase Program at an average purchase price of $215.05 per share, inclusive of broker commissions, for an aggregate repurchase price of $95.8 million which was recorded as a reduction to stockholders' equity. As a result of the repurchases, we substantially exhausted the remaining shares available for purchase under the 2019 Stock Repurchase Program, and it has terminated.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23, 2025, our Board authorized a $300.0 million share repurchase program (the "2025 Stock Repurchase Program") relating to our outstanding shares of Class A common stock. Under the 2025 Stock Repurchase Program, we are authorized to repurchase shares of our Class A common stock from time to time in open market purchases or privately negotiated transactions. The 2025 Stock Repurchase Program does not obligate us to repurchase any minimum dollar amount or number of shares, has no expiration date, and can be modified, suspended or terminated at any time and for any reason. The timing and actual number of shares repurchased will depend on a variety of factors, including price, corporate and legal requirements, market conditions and other factors. During the second quarter of 2025, we repurchased 243,987 shares of our Class A common stock through open market repurchases under the 2025 Stock Repurchase Program at an average purchase price of $204.77 per share, inclusive of broker commissions, for an aggregate repurchase price of $50.0 million which was recorded as a reduction to stockholders' equity. We did not repurchase any shares of our Class A common stock during the third or fourth quarter of 2025.</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repurchased 702,502 shares of our Class A common stock through open market repurchases under the 2025 Stock Repurchase Program at an average purchase price of $177.95 per share, inclusive of broker commissions, for an aggregate repurchase price of $125.0 million, which was recorded as a reduction to stockholders' equity. As of March 31, 2026, the amount remaining available for repurchases under the 2025 Stock Repurchase Program was $125.0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8. Stock-Based Compensation</w:t>
      </w:r>
    </w:p>
    <w:p>
      <w:pPr>
        <w:pStyle w:val="TextBody"/>
        <w:bidi w:val="0"/>
        <w:spacing w:lineRule="auto" w:line="288" w:before="20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activity in connection with our restricted stock units ("RSUs") for the three months ended March 31, 2026, is as follows (number of shares in thousands):</w:t>
      </w:r>
    </w:p>
    <w:tbl>
      <w:tblPr>
        <w:tblW w:w="8948"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68"/>
        <w:gridCol w:w="2629"/>
        <w:gridCol w:w="56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200.81 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180.60 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203.14 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203.45 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Unvested RSUs as of March 31, 2026 were composed of 0.8 million RSUs with only service conditions and 0.1 million performance share units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metrics at 100% of the performance target. The unvested PSUs as of March 31, 2026, are subject to vesting based on the achievement of pre-established performance metrics for the year ending December 31, 2026 and will vest over a three year period, assuming continued employment through each applicable vesting date. The actual number of shares to be granted at the end of the performance period will range from 0% to 150% of the target number of shares depending on achievement relative to the performance metrics over the applicable period; however, performance-based compensation expense is included in calculating achievement of the performance metrics, resulting in an effective maximum payout of approximately 135% of target.</w:t>
      </w:r>
    </w:p>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recognized stock-based compensation expense for the RSUs and PSUs of $17.7 million and $16.0 million for the three months ended March 31, 2026 and 2025, respectively. As of March 31, 2026, the total estimated remaining stock-based compensation expense for the aforementioned RSUs and PSUs was $148.3 million, which is expected to be recognized over a weighted average period of 2.7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erif" w:hAnsi="Times New Roman;serif"/>
          <w:b/>
          <w:color w:val="000000"/>
          <w:sz w:val="20"/>
        </w:rPr>
        <w:t>9. Income Taxes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calculate our provision for income taxes on a quarterly basis by applying an estimated annual effective tax rate to income (loss) from operations and by calculating the tax effect of discrete items recognized during the quarter.</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we recorded income tax expense of $10.7 million, representing an effective tax rate of 20.1%. Our effective tax rate differs from the U.S. federal statutory rate of 21% primarily due to research and development tax credits, partially offset by state income taxes and non-deductible officers' compensation. For the three months ended March 31, 2025, our effective tax rate differs from the U.S. federal statutory rate of 21% primarily due to excess tax benefits from stock-based compensation and research &amp; development tax credits, partially offset by state income taxes and non-deductible officers' compensation.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assess our ability to realize our deferred tax assets on a quarterly basis and we establish a valuation allowance if it is more-likely-than-not that some portion of deferred tax assets will not be realized. We weigh all available positive and negative evidence, including our earnings history and results of recent operations, scheduled reversals of deferred tax liabilities, projected future taxable income and tax planning strategies. During the three months ended December 31, 2024, we assessed all available evidence and determined that there 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10. Net Income Per Share</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per common share was the same for shares of our Class A and Class B common stock because they are entitled to the same liquidation and dividend rights and are therefore combined in the table below. The following table sets forth the computation of basic and diluted net income per common share (in thousands):</w:t>
      </w:r>
    </w:p>
    <w:tbl>
      <w:tblPr>
        <w:tblW w:w="8364" w:type="dxa"/>
        <w:jc w:val="center"/>
        <w:tblInd w:w="0" w:type="dxa"/>
        <w:tblLayout w:type="fixed"/>
        <w:tblCellMar>
          <w:top w:w="28" w:type="dxa"/>
          <w:left w:w="28" w:type="dxa"/>
          <w:bottom w:w="28" w:type="dxa"/>
          <w:right w:w="28" w:type="dxa"/>
        </w:tblCellMar>
      </w:tblPr>
      <w:tblGrid>
        <w:gridCol w:w="1980"/>
        <w:gridCol w:w="1739"/>
        <w:gridCol w:w="1755"/>
        <w:gridCol w:w="211"/>
        <w:gridCol w:w="721"/>
        <w:gridCol w:w="109"/>
        <w:gridCol w:w="109"/>
        <w:gridCol w:w="109"/>
        <w:gridCol w:w="109"/>
        <w:gridCol w:w="211"/>
        <w:gridCol w:w="721"/>
        <w:gridCol w:w="109"/>
        <w:gridCol w:w="109"/>
        <w:gridCol w:w="109"/>
        <w:gridCol w:w="109"/>
        <w:gridCol w:w="154"/>
      </w:tblGrid>
      <w:tr>
        <w:trPr/>
        <w:tc>
          <w:tcPr>
            <w:tcW w:w="1980"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Basic net income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common shares outstanding; basic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per common share;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Diluted net income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Weighted average dilutive options outstanding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Weighted average dilutive restricted stock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per common share;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Potentially dilutive securities that are not included in the calculation of diluted net income per share because doing so would be antidilutive are as follows (in thousands):</w:t>
      </w:r>
    </w:p>
    <w:tbl>
      <w:tblPr>
        <w:tblW w:w="5272" w:type="dxa"/>
        <w:jc w:val="left"/>
        <w:tblInd w:w="0" w:type="dxa"/>
        <w:tblLayout w:type="fixed"/>
        <w:tblCellMar>
          <w:top w:w="28" w:type="dxa"/>
          <w:left w:w="28" w:type="dxa"/>
          <w:bottom w:w="28" w:type="dxa"/>
          <w:right w:w="28" w:type="dxa"/>
        </w:tblCellMar>
      </w:tblPr>
      <w:tblGrid>
        <w:gridCol w:w="1112"/>
        <w:gridCol w:w="978"/>
        <w:gridCol w:w="984"/>
        <w:gridCol w:w="233"/>
        <w:gridCol w:w="233"/>
        <w:gridCol w:w="178"/>
        <w:gridCol w:w="178"/>
        <w:gridCol w:w="178"/>
        <w:gridCol w:w="178"/>
        <w:gridCol w:w="180"/>
        <w:gridCol w:w="181"/>
        <w:gridCol w:w="178"/>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potentially dilutive securities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11. Subsequent Event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we purchased a minority, non-controlling equity interest in a private company, for $10.0 million, paid with cash on hand.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results of operations and liquidity should be read together with our Condensed Consolidated Financial Statements and the related notes included elsewhere in this Quarterly Report and in our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technology leader powering the future of the real estate industry. We provide a cloud-based platform on which our customers operate their businesses.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w:t>
      </w:r>
    </w:p>
    <w:p>
      <w:pPr>
        <w:pStyle w:val="TextBody"/>
        <w:bidi w:val="0"/>
        <w:spacing w:lineRule="auto" w:line="276"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Financial Highlights for the First Quarter of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Revenue grew 20% year-over-year to $262.2 million.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Total property management units under management grew 8% year-over-year to 9.5 million.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GAAP operating income was $50.7 million, or 19.4% of revenue, compared to GAAP operating income of $33.8 million, or 15.5% of revenue in Q1 2025.</w:t>
      </w:r>
    </w:p>
    <w:p>
      <w:pPr>
        <w:pStyle w:val="TextBody"/>
        <w:bidi w:val="0"/>
        <w:spacing w:lineRule="auto" w:line="336" w:before="0" w:after="0"/>
        <w:ind w:left="0" w:right="0" w:hanging="360"/>
        <w:jc w:val="both"/>
        <w:rPr/>
      </w:pPr>
      <w:r>
        <w:rPr>
          <w:color w:val="000000"/>
        </w:rPr>
        <w:t>•</w:t>
      </w:r>
      <w:r>
        <w:rPr>
          <w:rFonts w:ascii="Times New Roman;serif" w:hAnsi="Times New Roman;serif"/>
          <w:b w:val="false"/>
          <w:color w:val="000000"/>
          <w:sz w:val="20"/>
        </w:rPr>
        <w:t xml:space="preserve">Non-GAAP operating income was $71.5 million, or 27.3% of revenue, compared to non-GAAP operating income of $53.0 million, or 24.3% of revenue in Q1 2025. </w:t>
      </w:r>
    </w:p>
    <w:p>
      <w:pPr>
        <w:pStyle w:val="TextBody"/>
        <w:bidi w:val="0"/>
        <w:spacing w:lineRule="auto" w:line="336" w:before="0" w:after="0"/>
        <w:ind w:left="0" w:right="0" w:hanging="360"/>
        <w:jc w:val="both"/>
        <w:rPr/>
      </w:pPr>
      <w:r>
        <w:rPr>
          <w:color w:val="000000"/>
        </w:rPr>
        <w:t>•</w:t>
      </w:r>
      <w:r>
        <w:rPr>
          <w:rFonts w:ascii="Times New Roman;serif" w:hAnsi="Times New Roman;serif"/>
          <w:b w:val="false"/>
          <w:color w:val="000000"/>
          <w:sz w:val="20"/>
        </w:rPr>
        <w:t>Net cash provided by operating activities was $34.3 million, or 13.1% of revenue, compared to $38.5 million, or 17.7% of revenue in Q1 2025.</w:t>
      </w:r>
    </w:p>
    <w:p>
      <w:pPr>
        <w:pStyle w:val="TextBody"/>
        <w:bidi w:val="0"/>
        <w:spacing w:lineRule="auto" w:line="336" w:before="0" w:after="0"/>
        <w:ind w:left="0" w:right="0" w:hanging="360"/>
        <w:jc w:val="both"/>
        <w:rPr/>
      </w:pPr>
      <w:r>
        <w:rPr>
          <w:color w:val="000000"/>
        </w:rPr>
        <w:t>•</w:t>
      </w:r>
      <w:r>
        <w:rPr>
          <w:rFonts w:ascii="Times New Roman;serif" w:hAnsi="Times New Roman;serif"/>
          <w:b w:val="false"/>
          <w:color w:val="000000"/>
          <w:sz w:val="20"/>
        </w:rPr>
        <w:t>Repurchased 703 thousand shares of the Company's Class A common stock for $125 million.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Key Business Metric</w:t>
      </w:r>
    </w:p>
    <w:p>
      <w:pPr>
        <w:pStyle w:val="TextBody"/>
        <w:bidi w:val="0"/>
        <w:spacing w:lineRule="auto" w:line="288" w:before="120" w:after="120"/>
        <w:ind w:left="0" w:right="0" w:firstLine="720"/>
        <w:jc w:val="both"/>
        <w:rPr/>
      </w:pPr>
      <w:r>
        <w:rPr>
          <w:rFonts w:ascii="Times New Roman;serif" w:hAnsi="Times New Roman;serif"/>
          <w:b/>
          <w:i/>
          <w:color w:val="000000"/>
          <w:sz w:val="20"/>
        </w:rPr>
        <w:t>Property management units under management</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We believe that our ability to increase our number of property management units under management is an indicator of our market penetration, growth, and potential future business opportunities. We define property management units under management as active or committed units under management at the period end date. We had 9.5 million and 8.8 million property management units under management as of March 31,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Components of Results of Operations</w:t>
      </w:r>
    </w:p>
    <w:p>
      <w:pPr>
        <w:pStyle w:val="TextBody"/>
        <w:bidi w:val="0"/>
        <w:spacing w:lineRule="auto" w:line="288" w:before="6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Subscription Services and certain of our Value Added Services are offered on a subscription basis. The subscription fees for our services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a subscription period.</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generally with no minimum usage commitments (e.g., for our tenant screening and risk mitigation services). We recognize revenue for usage-based services in the period the service is rendered. Our payments services fees are recorded gross of any interchange and payment processing related fees. We generally invoice our usage-based services on a monthly basis or collect the fee at the time of service. A significant majority of our Value Added Services revenue comes from the use of our electronic payment services, tenant screening services, and risk mitigation services.</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revenue includes fees from one-time services related to the implementation of our software solutions and other recurring or one-time fees related to our customers who are not otherwise using our Subscription Services. This includes legacy customers of businesses we have acquired where the customers haven't migrated to our Subscription Services. The fees for implementation and data migration services are billed upon signing our core subscription contract and are recognized as revenue in the period the service is rendered. Other services are billed when the services rendered are completed and delivered to the customer or billed in advance and deferred over the subscription period.</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2025, we had 22,520 and 21,105 property management customers,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Costs and Operating Expenses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Cost of Revenue</w:t>
      </w:r>
      <w:r>
        <w:rPr>
          <w:color w:val="000000"/>
        </w:rPr>
        <w:t xml:space="preserve"> </w:t>
      </w:r>
      <w:r>
        <w:rPr>
          <w:rFonts w:ascii="Times New Roman;serif" w:hAnsi="Times New Roman;serif"/>
          <w:b w:val="false"/>
          <w:i/>
          <w:color w:val="000000"/>
          <w:sz w:val="20"/>
        </w:rPr>
        <w:t xml:space="preserve">(Exclusive of Depreciation and Amortization). </w:t>
      </w:r>
      <w:r>
        <w:rPr>
          <w:rFonts w:ascii="Times New Roman;serif" w:hAnsi="Times New Roman;serif"/>
          <w:b w:val="false"/>
          <w:color w:val="000000"/>
          <w:sz w:val="20"/>
        </w:rPr>
        <w:t>Many of our Value Added Services are facilitated by third-party service providers. Cost of revenue paid to these third-party service providers includes, without 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percentage of revenue for each Value Added Service offering. Cost of revenue also includes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 consists of personnel-related costs for our employees focused on sales and marketing (including salaries, sales commissions, cash bonuses,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Research and Product Development. </w:t>
      </w:r>
      <w:r>
        <w:rPr>
          <w:rFonts w:ascii="Times New Roman;serif" w:hAnsi="Times New Roman;serif"/>
          <w:b w:val="false"/>
          <w:color w:val="000000"/>
          <w:sz w:val="20"/>
        </w:rPr>
        <w:t>Research and product development expense consists of personnel-related costs for our employees focused on research and product development (including salaries, cash bonuses,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General and Administrative. </w:t>
      </w:r>
      <w:r>
        <w:rPr>
          <w:rFonts w:ascii="Times New Roman;serif" w:hAnsi="Times New Roman;serif"/>
          <w:b w:val="false"/>
          <w:color w:val="000000"/>
          <w:sz w:val="20"/>
        </w:rPr>
        <w:t>General and administrative expense consists of personnel-related costs for employees in our executive, finance, information technology, human resources, legal, compliance, and administrative organizations (including salaries, cash bonuses,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Depreciation and Amortization. </w:t>
      </w:r>
      <w:r>
        <w:rPr>
          <w:rFonts w:ascii="Times New Roman;serif" w:hAnsi="Times New Roman;serif"/>
          <w:b w:val="false"/>
          <w:color w:val="000000"/>
          <w:sz w:val="20"/>
        </w:rPr>
        <w:t>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Interest Income, Net. </w:t>
      </w:r>
      <w:r>
        <w:rPr>
          <w:rFonts w:ascii="Times New Roman;serif" w:hAnsi="Times New Roman;serif"/>
          <w:b w:val="false"/>
          <w:color w:val="000000"/>
          <w:sz w:val="20"/>
        </w:rPr>
        <w:t>Interest income, net includes interest earned on investment securities, amortization and accretion of the premium and discounts paid from the purchase of investment securities, and interest earned on cash deposited in our bank accounts.</w:t>
      </w:r>
    </w:p>
    <w:p>
      <w:pPr>
        <w:pStyle w:val="TextBody"/>
        <w:bidi w:val="0"/>
        <w:spacing w:lineRule="auto" w:line="288" w:before="60" w:after="120"/>
        <w:ind w:left="0" w:right="0" w:firstLine="720"/>
        <w:jc w:val="both"/>
        <w:rPr/>
      </w:pP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Provision for income taxes consists of federal and state income taxes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tbl>
      <w:tblPr>
        <w:tblW w:w="8169" w:type="dxa"/>
        <w:jc w:val="center"/>
        <w:tblInd w:w="0" w:type="dxa"/>
        <w:tblLayout w:type="fixed"/>
        <w:tblCellMar>
          <w:top w:w="28" w:type="dxa"/>
          <w:left w:w="28" w:type="dxa"/>
          <w:bottom w:w="28" w:type="dxa"/>
          <w:right w:w="28" w:type="dxa"/>
        </w:tblCellMar>
      </w:tblPr>
      <w:tblGrid>
        <w:gridCol w:w="690"/>
        <w:gridCol w:w="607"/>
        <w:gridCol w:w="608"/>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6"/>
        <w:gridCol w:w="219"/>
        <w:gridCol w:w="271"/>
        <w:gridCol w:w="109"/>
        <w:gridCol w:w="109"/>
        <w:gridCol w:w="109"/>
        <w:gridCol w:w="109"/>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revenue for the three months ended March 31, 2026, compared to the same period in the prior year, was primarily attributable to an increase in the usage of our payments, tenant screening, and risk mitigation services. During the three months ended March 31, 2026, we also experienced growth of 8% in the number of property management units under management compared to the same period in the prior year, which drove growth in users of our Subscription Services and Value Added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payment services experienced increased usage during the comparative periods as residents and property managers transacted more business online.</w:t>
      </w:r>
    </w:p>
    <w:p>
      <w:pPr>
        <w:pStyle w:val="TextBody"/>
        <w:bidi w:val="0"/>
        <w:spacing w:lineRule="auto" w:line="288" w:before="6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total revenue for the year ending December 31, 2026 to increase compared to the year ended December 31, 2025 as we continue to add new customers and property management units under management, along with increased adoption and usage of our Value Added Services.</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 (Exclusive of Depreciation and Amortization)</w:t>
      </w:r>
    </w:p>
    <w:tbl>
      <w:tblPr>
        <w:tblW w:w="10205" w:type="dxa"/>
        <w:jc w:val="center"/>
        <w:tblInd w:w="0" w:type="dxa"/>
        <w:tblLayout w:type="fixed"/>
        <w:tblCellMar>
          <w:top w:w="28" w:type="dxa"/>
          <w:left w:w="28" w:type="dxa"/>
          <w:bottom w:w="28" w:type="dxa"/>
          <w:right w:w="28" w:type="dxa"/>
        </w:tblCellMar>
      </w:tblPr>
      <w:tblGrid>
        <w:gridCol w:w="1424"/>
        <w:gridCol w:w="1208"/>
        <w:gridCol w:w="1212"/>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06"/>
        <w:gridCol w:w="209"/>
        <w:gridCol w:w="271"/>
        <w:gridCol w:w="109"/>
        <w:gridCol w:w="109"/>
        <w:gridCol w:w="109"/>
        <w:gridCol w:w="109"/>
        <w:gridCol w:w="109"/>
        <w:gridCol w:w="109"/>
        <w:gridCol w:w="109"/>
        <w:gridCol w:w="157"/>
      </w:tblGrid>
      <w:tr>
        <w:trPr/>
        <w:tc>
          <w:tcPr>
            <w:tcW w:w="142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20" w:type="dxa"/>
            <w:gridSpan w:val="8"/>
            <w:tcBorders/>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increased for the three months ended March 31, 2026, compared to the same period in the prior year. The increase was primarily driven by higher third-party service provider costs of $14.6 million due to increased adoption and usage of our Value Added Services for the respective three-month periods.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cost of revenue (exclusive of depreciation and amortization) for the year ending December 31, 2026, to stay relatively flat as a percentage of revenue compared to the year ended December 31, 2025.</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9844" w:type="dxa"/>
        <w:jc w:val="center"/>
        <w:tblInd w:w="0" w:type="dxa"/>
        <w:tblLayout w:type="fixed"/>
        <w:tblCellMar>
          <w:top w:w="28" w:type="dxa"/>
          <w:left w:w="28" w:type="dxa"/>
          <w:bottom w:w="28" w:type="dxa"/>
          <w:right w:w="28" w:type="dxa"/>
        </w:tblCellMar>
      </w:tblPr>
      <w:tblGrid>
        <w:gridCol w:w="1317"/>
        <w:gridCol w:w="1160"/>
        <w:gridCol w:w="1168"/>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increased for the three months ended March 31, 2026, compared to the same period in the prior year. The increase was primarily due to a $4.5 million increase in personnel-related costs, including stock-based and performance-based compensation, to support growth in the business, combined with a $1.1 million increase in advertising and promotion expense due to increased targeted go-to-market investment, for the respective three-month periods.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sales and marketing expense for the year ending December 31, 2026 to stay relatively flat as a percentage of revenue compared to the year ended December 31, 2025.</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Research and Product Development</w:t>
      </w:r>
    </w:p>
    <w:tbl>
      <w:tblPr>
        <w:tblW w:w="9844" w:type="dxa"/>
        <w:jc w:val="center"/>
        <w:tblInd w:w="0" w:type="dxa"/>
        <w:tblLayout w:type="fixed"/>
        <w:tblCellMar>
          <w:top w:w="28" w:type="dxa"/>
          <w:left w:w="28" w:type="dxa"/>
          <w:bottom w:w="28" w:type="dxa"/>
          <w:right w:w="28" w:type="dxa"/>
        </w:tblCellMar>
      </w:tblPr>
      <w:tblGrid>
        <w:gridCol w:w="1321"/>
        <w:gridCol w:w="1159"/>
        <w:gridCol w:w="1165"/>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product development expense increased for the three months ended March 31, 2026, compared to the same period in the prior year. The increase was primarily due to a $4.8 million increase in personnel-related costs, including stock-based and performance-based compensation, net of capitalized software development costs driven by headcount growth, for the respective three-month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research and product development expenses for the year ending December 31, 2026 to stay relatively flat as a percentage of revenue compared to the year ended December 31, 2025.</w:t>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9588" w:type="dxa"/>
        <w:jc w:val="left"/>
        <w:tblInd w:w="0" w:type="dxa"/>
        <w:tblLayout w:type="fixed"/>
        <w:tblCellMar>
          <w:top w:w="28" w:type="dxa"/>
          <w:left w:w="28" w:type="dxa"/>
          <w:bottom w:w="28" w:type="dxa"/>
          <w:right w:w="28" w:type="dxa"/>
        </w:tblCellMar>
      </w:tblPr>
      <w:tblGrid>
        <w:gridCol w:w="1321"/>
        <w:gridCol w:w="1160"/>
        <w:gridCol w:w="1163"/>
        <w:gridCol w:w="109"/>
        <w:gridCol w:w="109"/>
        <w:gridCol w:w="109"/>
        <w:gridCol w:w="211"/>
        <w:gridCol w:w="721"/>
        <w:gridCol w:w="271"/>
        <w:gridCol w:w="109"/>
        <w:gridCol w:w="109"/>
        <w:gridCol w:w="109"/>
        <w:gridCol w:w="211"/>
        <w:gridCol w:w="721"/>
        <w:gridCol w:w="271"/>
        <w:gridCol w:w="109"/>
        <w:gridCol w:w="109"/>
        <w:gridCol w:w="109"/>
        <w:gridCol w:w="211"/>
        <w:gridCol w:w="466"/>
        <w:gridCol w:w="109"/>
        <w:gridCol w:w="109"/>
        <w:gridCol w:w="109"/>
        <w:gridCol w:w="109"/>
        <w:gridCol w:w="128"/>
        <w:gridCol w:w="128"/>
        <w:gridCol w:w="271"/>
        <w:gridCol w:w="109"/>
        <w:gridCol w:w="109"/>
        <w:gridCol w:w="109"/>
        <w:gridCol w:w="109"/>
        <w:gridCol w:w="109"/>
        <w:gridCol w:w="109"/>
        <w:gridCol w:w="109"/>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stayed relatively flat for the three months ended March 31, 2026, compared to the same period in the prior year.</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for the year ending December 31, 2026 to stay relatively flat as a percentage of revenue compared to the year ended December 31, 2025.</w:t>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8733" w:type="dxa"/>
        <w:jc w:val="center"/>
        <w:tblInd w:w="0" w:type="dxa"/>
        <w:tblLayout w:type="fixed"/>
        <w:tblCellMar>
          <w:top w:w="28" w:type="dxa"/>
          <w:left w:w="28" w:type="dxa"/>
          <w:bottom w:w="28" w:type="dxa"/>
          <w:right w:w="28" w:type="dxa"/>
        </w:tblCellMar>
      </w:tblPr>
      <w:tblGrid>
        <w:gridCol w:w="939"/>
        <w:gridCol w:w="826"/>
        <w:gridCol w:w="829"/>
        <w:gridCol w:w="109"/>
        <w:gridCol w:w="109"/>
        <w:gridCol w:w="109"/>
        <w:gridCol w:w="211"/>
        <w:gridCol w:w="616"/>
        <w:gridCol w:w="271"/>
        <w:gridCol w:w="109"/>
        <w:gridCol w:w="109"/>
        <w:gridCol w:w="109"/>
        <w:gridCol w:w="211"/>
        <w:gridCol w:w="616"/>
        <w:gridCol w:w="271"/>
        <w:gridCol w:w="109"/>
        <w:gridCol w:w="109"/>
        <w:gridCol w:w="109"/>
        <w:gridCol w:w="211"/>
        <w:gridCol w:w="691"/>
        <w:gridCol w:w="109"/>
        <w:gridCol w:w="109"/>
        <w:gridCol w:w="109"/>
        <w:gridCol w:w="109"/>
        <w:gridCol w:w="218"/>
        <w:gridCol w:w="218"/>
        <w:gridCol w:w="271"/>
        <w:gridCol w:w="109"/>
        <w:gridCol w:w="109"/>
        <w:gridCol w:w="109"/>
        <w:gridCol w:w="109"/>
        <w:gridCol w:w="109"/>
        <w:gridCol w:w="109"/>
        <w:gridCol w:w="109"/>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three months ended March 31, 2026 decreased, compared to the same period in the prior year as various assets have reached the end of their useful life.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depreciation and amortization expenses for the year ending December 31, 2026 to stay relatively flat as a percentage of revenue compared to the year ended December 31, 2025.</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 Net</w:t>
      </w:r>
    </w:p>
    <w:tbl>
      <w:tblPr>
        <w:tblW w:w="7716" w:type="dxa"/>
        <w:jc w:val="left"/>
        <w:tblInd w:w="0" w:type="dxa"/>
        <w:tblLayout w:type="fixed"/>
        <w:tblCellMar>
          <w:top w:w="28" w:type="dxa"/>
          <w:left w:w="28" w:type="dxa"/>
          <w:bottom w:w="28" w:type="dxa"/>
          <w:right w:w="28" w:type="dxa"/>
        </w:tblCellMar>
      </w:tblPr>
      <w:tblGrid>
        <w:gridCol w:w="688"/>
        <w:gridCol w:w="607"/>
        <w:gridCol w:w="609"/>
        <w:gridCol w:w="211"/>
        <w:gridCol w:w="616"/>
        <w:gridCol w:w="271"/>
        <w:gridCol w:w="109"/>
        <w:gridCol w:w="109"/>
        <w:gridCol w:w="109"/>
        <w:gridCol w:w="211"/>
        <w:gridCol w:w="616"/>
        <w:gridCol w:w="271"/>
        <w:gridCol w:w="109"/>
        <w:gridCol w:w="109"/>
        <w:gridCol w:w="109"/>
        <w:gridCol w:w="211"/>
        <w:gridCol w:w="691"/>
        <w:gridCol w:w="109"/>
        <w:gridCol w:w="109"/>
        <w:gridCol w:w="109"/>
        <w:gridCol w:w="109"/>
        <w:gridCol w:w="218"/>
        <w:gridCol w:w="218"/>
        <w:gridCol w:w="271"/>
        <w:gridCol w:w="109"/>
        <w:gridCol w:w="109"/>
        <w:gridCol w:w="109"/>
        <w:gridCol w:w="109"/>
        <w:gridCol w:w="109"/>
        <w:gridCol w:w="109"/>
        <w:gridCol w:w="109"/>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March 31, 2026 decreased, compared to the same period in the prior year, primarily due to the sale of available-for-sale investment securities and lower interest rates.</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9783" w:type="dxa"/>
        <w:jc w:val="center"/>
        <w:tblInd w:w="0" w:type="dxa"/>
        <w:tblLayout w:type="fixed"/>
        <w:tblCellMar>
          <w:top w:w="28" w:type="dxa"/>
          <w:left w:w="28" w:type="dxa"/>
          <w:bottom w:w="28" w:type="dxa"/>
          <w:right w:w="28" w:type="dxa"/>
        </w:tblCellMar>
      </w:tblPr>
      <w:tblGrid>
        <w:gridCol w:w="1259"/>
        <w:gridCol w:w="1108"/>
        <w:gridCol w:w="1112"/>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917" w:type="dxa"/>
            <w:gridSpan w:val="8"/>
            <w:tcBorders/>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we recorded income tax expense of $10.7 million, representing an effective tax rate of 20.1%. Our effective tax rate differs from the U.S. federal statutory rate of 21% primarily due to research &amp; development tax credits, partially offset by state income taxes and non-deductible officers' compensation. For the three months ended March 31, 2025, our effective tax rate differs from the U.S. federal statutory rate of 21% primarily due to excess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benefits from stock-based compensation and research &amp; development tax credits, partially offset by state income taxes and non-deductible officers' compensation.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increase in our effective tax rate for the three months ended March 31, 2026, as compared to the same period in 2025, is primarily driven by higher pre-tax income and a decrease in excess tax benefits from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continue to be cash, cash equivalents, and investment securities, as well as cash flows generated from our operations. As of March 31, 2026, we had $151.7 million in cash, cash equivalents, and investment securities. We have financed our operations primarily through cash generated from operations.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In addition, to optimize our capital structure, on September 30, 2025, we entered into the Credit Facility which provides for a $150.0 million senior secured revolving credit facility, including sublimits of $25.0 million for letters of credit and $25.0 million for swingline loans, and is scheduled to mature on September 30, 2030. We did not draw on the Credit Facility during the first quarter of 2026, and as of March 31, 2026, we had no outstanding borrowings under the Credit Facility and were in compliance with the covenants under the Credit Facility. For more information regarding the Credit Facility, refer to "Credit Facility" in Note 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of our Condensed Consolidated Financial Statements.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investment securities, and cash generated from operating activities will be sufficient to meet our working capital and capital expenditure requirements for at least the next twelve months. The available borrowing capacity under the Credit Facility provides us additional liquidity and financial flexibility.</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Capital Requirements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depend on many factors, including continued market acceptance of our software solutions; changes in the number of our customers and adoption and utilization of our Value Added Services by new and existing customers; the timing and extent of the introduction of new core functionality, products and Value Added Services; and the timing and extent of our investments across our organization, including acquisitions of businesses and technologies.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 the past entered into, and may in the future enter into, arrangements to acquire or invest in new technologies or markets. We may, as a result of those arrangements or the general expansion of our business, be required to seek additional equity or debt financing, which may not be available on terms favorable to us or at all, impacting our ability to compete successfully, which would harm our business, results of operations, and financial condition.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we repurchased 702,502 shares of our Class A common stock under the 2025 Stock Repurchase Program at an average purchase price of $177.95 per share, inclusive of broker commissions, for an aggregate repurchase price of $125.0 million, which was recorded as a reduction to stockholders' equity. As of March 31, 2026, the amount remaining available for repurchases under the 2025 Stock Repurchase Program was $125.0 million. For more information regarding our share repurchases, refer to Note 7, Share Repurchase Program, of our Condensed Consolidated Financial Statements of this Quarterly Report.</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 (in thousands):</w:t>
      </w:r>
    </w:p>
    <w:tbl>
      <w:tblPr>
        <w:tblW w:w="7490" w:type="dxa"/>
        <w:jc w:val="left"/>
        <w:tblInd w:w="0" w:type="dxa"/>
        <w:tblLayout w:type="fixed"/>
        <w:tblCellMar>
          <w:top w:w="28" w:type="dxa"/>
          <w:left w:w="28" w:type="dxa"/>
          <w:bottom w:w="28" w:type="dxa"/>
          <w:right w:w="28" w:type="dxa"/>
        </w:tblCellMar>
      </w:tblPr>
      <w:tblGrid>
        <w:gridCol w:w="1704"/>
        <w:gridCol w:w="1500"/>
        <w:gridCol w:w="1505"/>
        <w:gridCol w:w="109"/>
        <w:gridCol w:w="109"/>
        <w:gridCol w:w="109"/>
        <w:gridCol w:w="211"/>
        <w:gridCol w:w="721"/>
        <w:gridCol w:w="109"/>
        <w:gridCol w:w="109"/>
        <w:gridCol w:w="109"/>
        <w:gridCol w:w="109"/>
        <w:gridCol w:w="211"/>
        <w:gridCol w:w="721"/>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primary source of operating cash inflows is cash collected from our customers in connection with their use of our Subscription Services and Value Added Services. Our primary uses of cash from operating activities are for personnel-related expenditures and third-party costs incurred to support the delivery of our software solutions.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net increase in cash provided by operating activities for the three months ended March 31, 2026, compared to the same period in the prior year, was primarily due to higher cash collections from customers relative to the increase in operating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is generally composed of the cash paid in purchases of investment securities, maturities and sales of investment securities, purchases of property and equipment, business acquisition, net of cash acquired, and additions to capitalized software development.</w:t>
      </w:r>
    </w:p>
    <w:p>
      <w:pPr>
        <w:pStyle w:val="TextBody"/>
        <w:bidi w:val="0"/>
        <w:spacing w:lineRule="auto" w:line="288" w:before="120" w:after="120"/>
        <w:ind w:left="0" w:right="0" w:firstLine="720"/>
        <w:jc w:val="both"/>
        <w:rPr/>
      </w:pPr>
      <w:r>
        <w:rPr>
          <w:rFonts w:ascii="Times New Roman;serif" w:hAnsi="Times New Roman;serif"/>
          <w:b w:val="false"/>
          <w:color w:val="000000"/>
          <w:sz w:val="20"/>
        </w:rPr>
        <w:t xml:space="preserve">The net increase in cash provided by investing activities for the three months ended March 31, 2026, compared to the same period in the prior year, was primarily due to higher sales and maturities of investment securities, and lower purchases of available-for-sale investment securities. For additional information, see Note 4. </w:t>
      </w:r>
      <w:r>
        <w:rPr>
          <w:rFonts w:ascii="Times New Roman;serif" w:hAnsi="Times New Roman;serif"/>
          <w:b w:val="false"/>
          <w:i/>
          <w:color w:val="000000"/>
          <w:sz w:val="20"/>
        </w:rPr>
        <w:t>Investment Securities and Fair Value Measurements</w:t>
      </w:r>
      <w:r>
        <w:rPr>
          <w:rFonts w:ascii="Times New Roman;serif" w:hAnsi="Times New Roman;serif"/>
          <w:b w:val="false"/>
          <w:color w:val="000000"/>
          <w:sz w:val="20"/>
        </w:rPr>
        <w:t>, of our Condensed Consolidated Financial Statements.</w:t>
      </w:r>
    </w:p>
    <w:p>
      <w:pPr>
        <w:pStyle w:val="TextBody"/>
        <w:bidi w:val="0"/>
        <w:spacing w:lineRule="auto" w:line="288" w:before="12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is generally composed of net share settlements for employee tax withholdings associated with the vesting of equity awards and repurchases of our Class A common stock offset by proceeds from the exercise of stock options and issuance of common stock under the employee stock purchase plan.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increase in cash used in financing activities for the three months ended March 31, 2026, compared to the same period in the prior year, was primarily due to repurchases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which are prepared and presented in accordance with accounting principles generally accepted in the United States ("GAAP"), this Annual Report contains information regarding our non-GAAP income from operations ("Non-GAAP Operating Income") and non-GAAP operating margin ("Non-GAAP Operating Margin"), each of which constitutes a non-GAAP financial measure. We use these non-GAAP financial measures in addition to, and not as a substitute for, or superior to, financial measures calculated in accordance with GAAP.</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 xml:space="preserve">Non-GAAP Operating Income </w:t>
      </w:r>
      <w:r>
        <w:rPr>
          <w:rFonts w:ascii="Times New Roman;serif" w:hAnsi="Times New Roman;serif"/>
          <w:b w:val="false"/>
          <w:color w:val="000000"/>
          <w:sz w:val="20"/>
        </w:rPr>
        <w:t>excludes certain non-cash or non-recurring items, including stock-based compensation expense, amortization of stock-based compensation capitalized in software development costs, and amortization of purchased intangibles, as described below. Non-GAAP Operating Margin is calculated as Non-GAAP Operating Income as a percentage of revenue.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each of these non-GAAP financial measures internally to assess and compare operating results across reporting periods, for internal budgeting and forecasting purposes, and to evaluate our financial performance. We believe these non-GAAP financial measures also provide useful supplemental information to investors and facilitate the analysis of our operating results and comparison of operating results across reporting periods.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particular, we believe these non-GAAP financial measures are useful to investors and others in assessing our operating performance due to the following factors:</w:t>
      </w:r>
    </w:p>
    <w:p>
      <w:pPr>
        <w:pStyle w:val="TextBody"/>
        <w:bidi w:val="0"/>
        <w:spacing w:lineRule="auto" w:line="288" w:before="120" w:after="120"/>
        <w:ind w:left="0" w:right="0" w:hanging="360"/>
        <w:jc w:val="both"/>
        <w:rPr/>
      </w:pPr>
      <w:r>
        <w:rPr>
          <w:color w:val="000000"/>
          <w:shd w:fill="FFFFFF" w:val="clear"/>
        </w:rPr>
        <w:t>•</w:t>
      </w:r>
      <w:r>
        <w:rPr>
          <w:rFonts w:ascii="Times New Roman;serif" w:hAnsi="Times New Roman;serif"/>
          <w:b w:val="false"/>
          <w:i/>
          <w:color w:val="000000"/>
          <w:sz w:val="20"/>
        </w:rPr>
        <w:t>Stock-based compensation expense and amortization of stock-based compensation capitalized in software development costs.</w:t>
      </w:r>
      <w:r>
        <w:rPr>
          <w:color w:val="000000"/>
        </w:rPr>
        <w:t xml:space="preserve"> </w:t>
      </w:r>
      <w:r>
        <w:rPr>
          <w:rFonts w:ascii="Times New Roman;serif" w:hAnsi="Times New Roman;serif"/>
          <w:b w:val="false"/>
          <w:color w:val="000000"/>
          <w:sz w:val="20"/>
        </w:rPr>
        <w:t>We utilize stock-based compensation to attract and retain employees. It is principally aimed at aligning their interests with those of our stockholders while ensuring long-term retention, rather than to address operational performance for any particular period. As a result, stock-based compensation expenses vary for reasons that are generally unrelated to financial and operational performance in any particular period.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i/>
          <w:color w:val="000000"/>
          <w:sz w:val="20"/>
        </w:rPr>
        <w:t>Amortization of purchased intangibles.</w:t>
      </w:r>
      <w:r>
        <w:rPr>
          <w:color w:val="000000"/>
        </w:rPr>
        <w:t xml:space="preserve"> </w:t>
      </w:r>
      <w:r>
        <w:rPr>
          <w:rFonts w:ascii="Times New Roman;serif" w:hAnsi="Times New Roman;serif"/>
          <w:b w:val="false"/>
          <w:color w:val="000000"/>
          <w:sz w:val="20"/>
        </w:rPr>
        <w:t>We view amortization of purchased intangible assets as items arising from pre-acquisition activities determined at the time of an acquisition. While these intangible assets are evaluated for impairment regularly, amortization of the cost of purchased intangibles is an expense that is not typically affected by operations during any particular period.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may not provide information that is directly comparable to that provided by other companies in our industry, as other companies may calculate non-GAAP financial results differently. In addition, there are limitations in using non-GAAP financial measures because non-GAAP financial measures are not prepared in accordance with GAAP and can exclude expenses that may have a material impact on our reported financial results. As such, non-GAAP financial measures should not be considered in isolation from, or as a substitute for, financial information prepared in accordance with GAAP. A reconciliation of income from operations, the most comparable GAAP measure, to Non-GAAP operating income and operating margin, is provided in the table below. We encourage investors to review the reconciliation of these historical non-GAAP financial measures to their most directly comparable GAAP financial measures.</w:t>
      </w:r>
    </w:p>
    <w:p>
      <w:pPr>
        <w:pStyle w:val="TextBody"/>
        <w:bidi w:val="0"/>
        <w:spacing w:before="120" w:after="120"/>
        <w:ind w:left="0" w:right="0" w:firstLine="720"/>
        <w:jc w:val="center"/>
        <w:rPr/>
      </w:pPr>
      <w:r>
        <w:rPr/>
      </w:r>
    </w:p>
    <w:p>
      <w:pPr>
        <w:pStyle w:val="TextBody"/>
        <w:bidi w:val="0"/>
        <w:spacing w:lineRule="auto" w:line="288" w:before="120" w:after="120"/>
        <w:ind w:left="0" w:right="0" w:firstLine="720"/>
        <w:jc w:val="center"/>
        <w:rPr>
          <w:rFonts w:ascii="Times New Roman;serif" w:hAnsi="Times New Roman;serif"/>
          <w:b/>
          <w:color w:val="000000"/>
          <w:sz w:val="20"/>
        </w:rPr>
      </w:pPr>
      <w:r>
        <w:rPr>
          <w:rFonts w:ascii="Times New Roman;serif" w:hAnsi="Times New Roman;serif"/>
          <w:b/>
          <w:color w:val="000000"/>
          <w:sz w:val="20"/>
        </w:rPr>
        <w:t>Reconciliation from GAAP to Non-GAAP Results</w:t>
      </w:r>
    </w:p>
    <w:p>
      <w:pPr>
        <w:pStyle w:val="TextBody"/>
        <w:bidi w:val="0"/>
        <w:spacing w:lineRule="auto" w:line="288" w:before="120" w:after="12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15"/>
        <w:gridCol w:w="189"/>
        <w:gridCol w:w="189"/>
        <w:gridCol w:w="342"/>
        <w:gridCol w:w="331"/>
        <w:gridCol w:w="310"/>
        <w:gridCol w:w="2027"/>
        <w:gridCol w:w="2027"/>
        <w:gridCol w:w="2002"/>
        <w:gridCol w:w="196"/>
        <w:gridCol w:w="646"/>
        <w:gridCol w:w="256"/>
        <w:gridCol w:w="109"/>
        <w:gridCol w:w="109"/>
        <w:gridCol w:w="109"/>
        <w:gridCol w:w="196"/>
        <w:gridCol w:w="646"/>
        <w:gridCol w:w="306"/>
      </w:tblGrid>
      <w:tr>
        <w:trPr/>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3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 capitalized in software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from operations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71,536 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52,953 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Operating margin: </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operating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as a percentage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stock-based compensation capitalized in software development costs as a percentage of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as a percentage of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margin</w:t>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described in our Annual Report that have had a material impact on our Condensed Consolidated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Investment Securities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we had $4.2 million of investment securities consisting of United States government and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Due to the relatively short-term nature of our investment portfolio, a hypothetical 100 basis point change in interest rates would not have a material effect on the fair value of our portfolio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36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Quarterly Report. Based on this evaluation, our principal executive officer and principal financial officer concluded that, as of the end of the period covered by this Quarterly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40" w:after="1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ind w:left="0" w:right="0" w:firstLine="720"/>
        <w:jc w:val="both"/>
        <w:rPr/>
      </w:pPr>
      <w:r>
        <w:rPr>
          <w:rFonts w:ascii="Times New Roman;serif" w:hAnsi="Times New Roman;serif"/>
          <w:b w:val="false"/>
          <w:color w:val="000000"/>
          <w:sz w:val="20"/>
        </w:rPr>
        <w:t>For information regarding legal proceedings, refer to Note 6, </w:t>
      </w:r>
      <w:r>
        <w:rPr>
          <w:rFonts w:ascii="Times New Roman;serif" w:hAnsi="Times New Roman;serif"/>
          <w:b w:val="false"/>
          <w:i/>
          <w:color w:val="000000"/>
          <w:sz w:val="20"/>
        </w:rPr>
        <w:t>Commitments and Contingencies</w:t>
      </w:r>
      <w:r>
        <w:rPr>
          <w:color w:val="000000"/>
        </w:rPr>
        <w:t> </w:t>
      </w:r>
      <w:r>
        <w:rPr>
          <w:rFonts w:ascii="Times New Roman;serif" w:hAnsi="Times New Roman;serif"/>
          <w:b w:val="false"/>
          <w:color w:val="000000"/>
          <w:sz w:val="20"/>
        </w:rPr>
        <w:t>of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5, 2026. If any of the identified risks are realized, our business, financial condition, operating results, cash flows and prospects could be materially and adversely affected. In that case, the trading price of our Class A common stock may decline. In addition, other risks of which we are currently unaware, or which we do not currently view as material, could have a material adverse effect on our business, financial condition, operating results, cash flows and prospects. As of the date of this Quarterly Report, there have been no material changes to the risk factors previously disclosed under the section entitled "Risk Factors" in Part I, Item IA of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our repurchases of our Class A common stock during the three months ended March 31, 2026.</w:t>
      </w:r>
    </w:p>
    <w:tbl>
      <w:tblPr>
        <w:tblW w:w="10205" w:type="dxa"/>
        <w:jc w:val="left"/>
        <w:tblInd w:w="0" w:type="dxa"/>
        <w:tblLayout w:type="fixed"/>
        <w:tblCellMar>
          <w:top w:w="28" w:type="dxa"/>
          <w:left w:w="28" w:type="dxa"/>
          <w:bottom w:w="28" w:type="dxa"/>
          <w:right w:w="28" w:type="dxa"/>
        </w:tblCellMar>
      </w:tblPr>
      <w:tblGrid>
        <w:gridCol w:w="544"/>
        <w:gridCol w:w="419"/>
        <w:gridCol w:w="422"/>
        <w:gridCol w:w="109"/>
        <w:gridCol w:w="109"/>
        <w:gridCol w:w="109"/>
        <w:gridCol w:w="580"/>
        <w:gridCol w:w="580"/>
        <w:gridCol w:w="582"/>
        <w:gridCol w:w="109"/>
        <w:gridCol w:w="109"/>
        <w:gridCol w:w="109"/>
        <w:gridCol w:w="292"/>
        <w:gridCol w:w="998"/>
        <w:gridCol w:w="150"/>
        <w:gridCol w:w="109"/>
        <w:gridCol w:w="109"/>
        <w:gridCol w:w="109"/>
        <w:gridCol w:w="689"/>
        <w:gridCol w:w="689"/>
        <w:gridCol w:w="691"/>
        <w:gridCol w:w="109"/>
        <w:gridCol w:w="109"/>
        <w:gridCol w:w="109"/>
        <w:gridCol w:w="484"/>
        <w:gridCol w:w="1415"/>
        <w:gridCol w:w="362"/>
      </w:tblGrid>
      <w:tr>
        <w:trPr/>
        <w:tc>
          <w:tcPr>
            <w:tcW w:w="54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Repurchased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 Price Paid Per Share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as Part of the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Approximate Dollar Value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that May Yet Be Purchased Under the Plans or Programs</w:t>
            </w:r>
          </w:p>
        </w:tc>
      </w:tr>
      <w:tr>
        <w:trPr/>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to January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On April 23, 2025, our Board authorized the repurchase of up to $300.0 million of shares of our Class A common stock pursuant to the 2025 Stock Repurchase Program. The 2025 Stock Repurchase Program has no expiration date and can be modified, suspended, or terminated at any time and for any reason. For more information regarding the 2025 Stock Repurchase Program, refer to Note 7, Share Repurchase Program, of our Condensed Consolidated Financial Statements and Part I, Item 2, "Management's Discussion and Analysis of Financial Condition and Results of Operations - Liquidity and Capital Resources" of this Quarterly Report.</w:t>
      </w:r>
    </w:p>
    <w:p>
      <w:pPr>
        <w:pStyle w:val="TextBody"/>
        <w:bidi w:val="0"/>
        <w:spacing w:lineRule="auto" w:line="288" w:before="120" w:after="12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Average price paid per share inclusive of broker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bookmarkStart w:id="0" w:name="i9a550475a38b490891651060594ee98d_857"/>
      <w:bookmarkEnd w:id="0"/>
      <w:r>
        <w:rPr>
          <w:rFonts w:ascii="Times New Roman;serif" w:hAnsi="Times New Roman;serif"/>
          <w:b/>
          <w:color w:val="000000"/>
          <w:sz w:val="20"/>
        </w:rPr>
        <w:t>Item 5. Other Information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On March 12, 2026, Janet Kerr, a member of our Board, adopted a Rule 10b5-1 trading arrangement providing for the sale of up to 3,500 shares of our Class A common stock between June 30, 2026 and December 31, 2026. This trading arrangement was entered into during an open insider trading window and is intended to satisfy the affirmative defense of Rule 10b5-1(c) under the Exchange Act.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13, 2026, Don Rigler, our Vice President of Accounting (Principle Accounting Officer), adopted a Rule 10b5-1 trading arrangement providing for the sale of up to 1,650 shares of our Class A common stock between June 12, 2026 and November 13, 2028. This trading arrangement was entered into during an open insider trading window and is intended to satisfy the affirmative defense of Rule 10b5-1(c) under the Exchange Act.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6, 2026, Evan Pickering, our General Counsel and Corporate Secretary, terminated a Rule 10b5-1 trading arrangement that he had adopted on May 15, 2025, prior to his appointment as an officer (as defined in Rule 16a-1(f) under the Exchange Act). This trading arrangement provided for the sale between August 10, 2025 and May 1, 2026 of an indeterminate number of shares of our Class A common stock received by Mr. Pickering in connection with the vesting in between August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2025 and February 10, 2026 of certain RSUs and PSUs held by Mr. Pickering. The actual number of shares of Class A common stock sold depended on the vesting of the RSUs and PSUs and the number of shares withheld to satisfy tax withholding obligations. This trading arrangement was entered into during an open trading window and is intended to satisfy the affirmative defense of Rule 10b5-1(c) under the Exchange Act.</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13, 2026, Mr. Pickering adopted a new Rule 10b5-1 trading arrangement providing for the sale between June 12, 2026 and June 30, 2028 of (i) up to 1,554 shares of our Class A common stock and (ii) an indeterminate number of shares of our Class A common stock received by Mr. Pickering in connection with the vesting between May 10, 2026 and May 10, 2028 of certain RSUs and PSUs held by Mr. Pickering. The actual number of shares of Class A common stock sold will depend on the vesting of the RSUs and PSUs and the number of shares withheld to satisfy tax withholding obligations. This trading arrangement was entered into during an open trading window and is intended to satisfy the affirmative defense of Rule 10b5-1(c) under the Exchange Act.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13, 2026, Tim Eaton, our Chief Financial Officer, adopted a Rule 10b5-1 trading arrangement providing for the sale between June 15, 2026 and November 22, 2027 of (i) up to 2,211 shares of our Class A common stock and (ii) an indeterminate number of shares of our Class A common stock received by Mr. Eaton in connection with the vesting between May 10, 2026 and November 10, 2027 of certain RSUs and PSUs held by Mr. Eaton. The actual number of shares of Class A common stock sold will depend on the vesting of the RSUs and PSUs and the number of shares withheld to satisfy tax withholding obligations. This trading arrangement was entered into during an open trading window and is intended to satisfy the affirmative defense of Rule 10b5-1(c) under the Exchange Act.</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39"/>
        <w:gridCol w:w="239"/>
        <w:gridCol w:w="240"/>
        <w:gridCol w:w="109"/>
        <w:gridCol w:w="109"/>
        <w:gridCol w:w="109"/>
        <w:gridCol w:w="2837"/>
        <w:gridCol w:w="2465"/>
        <w:gridCol w:w="35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Second Amended and Restated Employment Agreement, dated April 9, 2026, by and between Shane Trigg and the Company</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126exhibit311.htm">
              <w:r>
                <w:rPr>
                  <w:rStyle w:val="InternetLink"/>
                  <w:rFonts w:ascii="Times New Roman;serif" w:hAnsi="Times New Roman;serif"/>
                  <w:b w:val="false"/>
                  <w:color w:val="0000FF"/>
                  <w:sz w:val="20"/>
                  <w:u w:val="single"/>
                </w:rPr>
                <w:t>Certification of Chief Executive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126exhibit312.htm">
              <w:r>
                <w:rPr>
                  <w:rStyle w:val="InternetLink"/>
                  <w:rFonts w:ascii="Times New Roman;serif" w:hAnsi="Times New Roman;serif"/>
                  <w:b w:val="false"/>
                  <w:color w:val="0000FF"/>
                  <w:sz w:val="20"/>
                  <w:u w:val="single"/>
                </w:rPr>
                <w:t>Certification of Principal Financial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33126exhibit321.htm">
              <w:r>
                <w:rPr>
                  <w:rStyle w:val="InternetLink"/>
                  <w:rFonts w:ascii="Times New Roman;serif" w:hAnsi="Times New Roman;serif"/>
                  <w:b w:val="false"/>
                  <w:color w:val="0000FF"/>
                  <w:sz w:val="20"/>
                  <w:u w:val="single"/>
                </w:rPr>
                <w:t>Certifications of Chief Executive Officer and Principal Financial Officer,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60" w:after="283"/>
        <w:jc w:val="left"/>
        <w:rPr/>
      </w:pPr>
      <w:hyperlink w:anchor="ia970dd57da8d4a3182173321a5e6c4b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100" w:after="100"/>
        <w:jc w:val="left"/>
        <w:rPr/>
      </w:pPr>
      <w:r>
        <w:rPr/>
      </w:r>
    </w:p>
    <w:p>
      <w:pPr>
        <w:pStyle w:val="TextBody"/>
        <w:bidi w:val="0"/>
        <w:spacing w:lineRule="auto" w:line="288" w:before="1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5282"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212"/>
        <w:gridCol w:w="212"/>
        <w:gridCol w:w="212"/>
        <w:gridCol w:w="809"/>
        <w:gridCol w:w="809"/>
        <w:gridCol w:w="81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2026</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Tim Eaton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Eaton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Shane Trigg, certify that:</w:t>
      </w:r>
    </w:p>
    <w:tbl>
      <w:tblPr>
        <w:tblW w:w="6086" w:type="dxa"/>
        <w:jc w:val="center"/>
        <w:tblInd w:w="0" w:type="dxa"/>
        <w:tblLayout w:type="fixed"/>
        <w:tblCellMar>
          <w:top w:w="28" w:type="dxa"/>
          <w:left w:w="28" w:type="dxa"/>
          <w:bottom w:w="28" w:type="dxa"/>
          <w:right w:w="28" w:type="dxa"/>
        </w:tblCellMar>
      </w:tblPr>
      <w:tblGrid>
        <w:gridCol w:w="124"/>
        <w:gridCol w:w="109"/>
        <w:gridCol w:w="109"/>
        <w:gridCol w:w="1677"/>
        <w:gridCol w:w="1677"/>
        <w:gridCol w:w="23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74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 have reviewed this </w:t>
            </w:r>
            <w:r>
              <w:rPr>
                <w:rFonts w:ascii="Times New Roman;serif" w:hAnsi="Times New Roman;serif"/>
                <w:b w:val="false"/>
                <w:color w:val="000000"/>
                <w:sz w:val="18"/>
              </w:rPr>
              <w:t>Quarterly</w:t>
            </w:r>
            <w:r>
              <w:rPr>
                <w:color w:val="000000"/>
              </w:rPr>
              <w:t xml:space="preserve"> </w:t>
            </w:r>
            <w:r>
              <w:rPr>
                <w:rFonts w:ascii="Times New Roman;serif" w:hAnsi="Times New Roman;serif"/>
                <w:b w:val="false"/>
                <w:color w:val="000000"/>
                <w:sz w:val="20"/>
              </w:rPr>
              <w:t xml:space="preserve">Report on Form </w:t>
            </w:r>
            <w:r>
              <w:rPr>
                <w:rFonts w:ascii="Times New Roman;serif" w:hAnsi="Times New Roman;serif"/>
                <w:b w:val="false"/>
                <w:color w:val="000000"/>
                <w:sz w:val="18"/>
              </w:rPr>
              <w:t>10-Q</w:t>
            </w:r>
            <w:r>
              <w:rPr>
                <w:color w:val="000000"/>
              </w:rPr>
              <w:t xml:space="preserve"> </w:t>
            </w:r>
            <w:r>
              <w:rPr>
                <w:rFonts w:ascii="Times New Roman;serif" w:hAnsi="Times New Roman;serif"/>
                <w:b w:val="false"/>
                <w:color w:val="000000"/>
                <w:sz w:val="20"/>
              </w:rPr>
              <w:t>of AppFolio,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285" w:type="dxa"/>
        <w:jc w:val="left"/>
        <w:tblInd w:w="0" w:type="dxa"/>
        <w:tblLayout w:type="fixed"/>
        <w:tblCellMar>
          <w:top w:w="28" w:type="dxa"/>
          <w:left w:w="28" w:type="dxa"/>
          <w:bottom w:w="28" w:type="dxa"/>
          <w:right w:w="28" w:type="dxa"/>
        </w:tblCellMar>
      </w:tblPr>
      <w:tblGrid>
        <w:gridCol w:w="216"/>
        <w:gridCol w:w="191"/>
        <w:gridCol w:w="192"/>
        <w:gridCol w:w="429"/>
        <w:gridCol w:w="429"/>
        <w:gridCol w:w="431"/>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Tim Eaton, certify that:</w:t>
      </w:r>
    </w:p>
    <w:tbl>
      <w:tblPr>
        <w:tblW w:w="6387" w:type="dxa"/>
        <w:jc w:val="left"/>
        <w:tblInd w:w="0" w:type="dxa"/>
        <w:tblLayout w:type="fixed"/>
        <w:tblCellMar>
          <w:top w:w="28" w:type="dxa"/>
          <w:left w:w="28" w:type="dxa"/>
          <w:bottom w:w="28" w:type="dxa"/>
          <w:right w:w="28" w:type="dxa"/>
        </w:tblCellMar>
      </w:tblPr>
      <w:tblGrid>
        <w:gridCol w:w="124"/>
        <w:gridCol w:w="109"/>
        <w:gridCol w:w="109"/>
        <w:gridCol w:w="1765"/>
        <w:gridCol w:w="1765"/>
        <w:gridCol w:w="25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0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 have reviewed this the </w:t>
            </w:r>
            <w:r>
              <w:rPr>
                <w:rFonts w:ascii="Times New Roman;serif" w:hAnsi="Times New Roman;serif"/>
                <w:b w:val="false"/>
                <w:color w:val="000000"/>
                <w:sz w:val="18"/>
              </w:rPr>
              <w:t>Quarterly</w:t>
            </w:r>
            <w:r>
              <w:rPr>
                <w:color w:val="000000"/>
              </w:rPr>
              <w:t xml:space="preserve"> </w:t>
            </w:r>
            <w:r>
              <w:rPr>
                <w:rFonts w:ascii="Times New Roman;serif" w:hAnsi="Times New Roman;serif"/>
                <w:b w:val="false"/>
                <w:color w:val="000000"/>
                <w:sz w:val="20"/>
              </w:rPr>
              <w:t xml:space="preserve">Report on Form </w:t>
            </w:r>
            <w:r>
              <w:rPr>
                <w:rFonts w:ascii="Times New Roman;serif" w:hAnsi="Times New Roman;serif"/>
                <w:b w:val="false"/>
                <w:color w:val="000000"/>
                <w:sz w:val="18"/>
              </w:rPr>
              <w:t>10-Q</w:t>
            </w:r>
            <w:r>
              <w:rPr>
                <w:color w:val="000000"/>
              </w:rPr>
              <w:t xml:space="preserve"> </w:t>
            </w:r>
            <w:r>
              <w:rPr>
                <w:rFonts w:ascii="Times New Roman;serif" w:hAnsi="Times New Roman;serif"/>
                <w:b w:val="false"/>
                <w:color w:val="000000"/>
                <w:sz w:val="20"/>
              </w:rPr>
              <w:t>of AppFolio,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tbl>
      <w:tblPr>
        <w:tblW w:w="418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 Eaton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certifications are hereby made in connection with the Quarterly Report on Form 10-Q of AppFolio, Inc. (the “Company”) for the period ended March 31, 2026, as filed with the Securities and Exchange Commission on the date hereof (the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pStyle w:val="TextBody"/>
        <w:bidi w:val="0"/>
        <w:spacing w:before="0" w:after="0"/>
        <w:ind w:left="0" w:right="0" w:firstLine="720"/>
        <w:jc w:val="both"/>
        <w:rPr/>
      </w:pPr>
      <w:r>
        <w:rPr/>
      </w:r>
    </w:p>
    <w:tbl>
      <w:tblPr>
        <w:tblW w:w="5503"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49"/>
        <w:gridCol w:w="149"/>
        <w:gridCol w:w="15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April 23,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Tim Eaton,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303"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49"/>
        <w:gridCol w:w="149"/>
        <w:gridCol w:w="151"/>
        <w:gridCol w:w="586"/>
        <w:gridCol w:w="586"/>
        <w:gridCol w:w="8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April 23,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Tim Eaton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Tim Eaton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33195/000143319526000016/secondamendedandrestated.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13563</Words>
  <Characters>76396</Characters>
  <CharactersWithSpaces>89056</CharactersWithSpaces>
  <Paragraphs>1789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