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Washington, D.C. 20549</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20" w:type="dxa"/>
            <w:vAlign w:val="bottom"/>
            <w:gridSpan w:val="2"/>
          </w:tcPr>
          <w:p>
            <w:pPr>
              <w:jc w:val="center"/>
              <w:ind w:right="1026"/>
              <w:spacing w:after="0"/>
              <w:rPr>
                <w:sz w:val="20"/>
                <w:szCs w:val="20"/>
                <w:color w:val="auto"/>
              </w:rPr>
            </w:pPr>
            <w:r>
              <w:rPr>
                <w:rFonts w:ascii="Arial" w:cs="Arial" w:eastAsia="Arial" w:hAnsi="Arial"/>
                <w:sz w:val="17"/>
                <w:szCs w:val="17"/>
                <w:b w:val="1"/>
                <w:bCs w:val="1"/>
                <w:color w:val="auto"/>
                <w:w w:val="99"/>
              </w:rPr>
              <w:t>FORM 10-Q</w:t>
            </w:r>
          </w:p>
        </w:tc>
        <w:tc>
          <w:tcPr>
            <w:tcW w:w="20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2"/>
        </w:trPr>
        <w:tc>
          <w:tcPr>
            <w:tcW w:w="3800" w:type="dxa"/>
            <w:vAlign w:val="bottom"/>
            <w:gridSpan w:val="3"/>
          </w:tcPr>
          <w:p>
            <w:pPr>
              <w:spacing w:after="0"/>
              <w:rPr>
                <w:sz w:val="20"/>
                <w:szCs w:val="20"/>
                <w:color w:val="auto"/>
              </w:rPr>
            </w:pPr>
            <w:r>
              <w:rPr>
                <w:rFonts w:ascii="Arial" w:cs="Arial" w:eastAsia="Arial" w:hAnsi="Arial"/>
                <w:sz w:val="12"/>
                <w:szCs w:val="12"/>
                <w:color w:val="auto"/>
              </w:rPr>
              <w:t>(Mark one)</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0"/>
        </w:trPr>
        <w:tc>
          <w:tcPr>
            <w:tcW w:w="7340" w:type="dxa"/>
            <w:vAlign w:val="bottom"/>
            <w:gridSpan w:val="8"/>
          </w:tcPr>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QUARTERLY REPORT PURSUANT TO SECTION 13 OR 15(d) OF THE SECURITIES EXCHANGE ACT OF 1934</w:t>
            </w:r>
          </w:p>
        </w:tc>
        <w:tc>
          <w:tcPr>
            <w:tcW w:w="20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95"/>
        </w:trPr>
        <w:tc>
          <w:tcPr>
            <w:tcW w:w="3800" w:type="dxa"/>
            <w:vAlign w:val="bottom"/>
            <w:gridSpan w:val="3"/>
          </w:tcPr>
          <w:p>
            <w:pPr>
              <w:spacing w:after="0"/>
              <w:rPr>
                <w:sz w:val="20"/>
                <w:szCs w:val="20"/>
                <w:color w:val="auto"/>
              </w:rPr>
            </w:pPr>
            <w:r>
              <w:rPr>
                <w:rFonts w:ascii="Arial" w:cs="Arial" w:eastAsia="Arial" w:hAnsi="Arial"/>
                <w:sz w:val="12"/>
                <w:szCs w:val="12"/>
                <w:color w:val="auto"/>
              </w:rPr>
              <w:t>For the quarterly period ended June 30, 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19"/>
        </w:trPr>
        <w:tc>
          <w:tcPr>
            <w:tcW w:w="7340" w:type="dxa"/>
            <w:vAlign w:val="bottom"/>
            <w:gridSpan w:val="8"/>
          </w:tcPr>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TRANSITION REPORT PURSUANT TO SECTION 13 OR 15(d) OF THE SECURITIES EXCHANGE ACT OF 1934</w:t>
            </w:r>
          </w:p>
        </w:tc>
        <w:tc>
          <w:tcPr>
            <w:tcW w:w="20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186"/>
        </w:trPr>
        <w:tc>
          <w:tcPr>
            <w:tcW w:w="3800" w:type="dxa"/>
            <w:vAlign w:val="bottom"/>
            <w:gridSpan w:val="3"/>
          </w:tcPr>
          <w:p>
            <w:pPr>
              <w:spacing w:after="0"/>
              <w:rPr>
                <w:sz w:val="20"/>
                <w:szCs w:val="20"/>
                <w:color w:val="auto"/>
              </w:rPr>
            </w:pPr>
            <w:r>
              <w:rPr>
                <w:rFonts w:ascii="Arial" w:cs="Arial" w:eastAsia="Arial" w:hAnsi="Arial"/>
                <w:sz w:val="12"/>
                <w:szCs w:val="12"/>
                <w:color w:val="auto"/>
              </w:rPr>
              <w:t>For the transition period from ________ to ________.</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32"/>
        </w:trPr>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3"/>
          </w:tcPr>
          <w:p>
            <w:pPr>
              <w:jc w:val="center"/>
              <w:ind w:right="286"/>
              <w:spacing w:after="0"/>
              <w:rPr>
                <w:sz w:val="20"/>
                <w:szCs w:val="20"/>
                <w:color w:val="auto"/>
              </w:rPr>
            </w:pPr>
            <w:r>
              <w:rPr>
                <w:rFonts w:ascii="Arial" w:cs="Arial" w:eastAsia="Arial" w:hAnsi="Arial"/>
                <w:sz w:val="12"/>
                <w:szCs w:val="12"/>
                <w:color w:val="auto"/>
                <w:w w:val="92"/>
              </w:rPr>
              <w:t>Commission File Number 001-37468</w:t>
            </w:r>
          </w:p>
        </w:tc>
        <w:tc>
          <w:tcPr>
            <w:tcW w:w="20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92"/>
        </w:trPr>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20" w:type="dxa"/>
            <w:vAlign w:val="bottom"/>
            <w:gridSpan w:val="2"/>
          </w:tcPr>
          <w:p>
            <w:pPr>
              <w:jc w:val="center"/>
              <w:ind w:right="1006"/>
              <w:spacing w:after="0"/>
              <w:rPr>
                <w:sz w:val="20"/>
                <w:szCs w:val="20"/>
                <w:color w:val="auto"/>
              </w:rPr>
            </w:pPr>
            <w:r>
              <w:rPr>
                <w:rFonts w:ascii="Arial" w:cs="Arial" w:eastAsia="Arial" w:hAnsi="Arial"/>
                <w:sz w:val="19"/>
                <w:szCs w:val="19"/>
                <w:b w:val="1"/>
                <w:bCs w:val="1"/>
                <w:color w:val="auto"/>
                <w:w w:val="93"/>
              </w:rPr>
              <w:t>AppFolio, Inc.</w:t>
            </w:r>
          </w:p>
        </w:tc>
        <w:tc>
          <w:tcPr>
            <w:tcW w:w="20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36"/>
        </w:trPr>
        <w:tc>
          <w:tcPr>
            <w:tcW w:w="1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60" w:type="dxa"/>
            <w:vAlign w:val="bottom"/>
            <w:gridSpan w:val="3"/>
          </w:tcPr>
          <w:p>
            <w:pPr>
              <w:jc w:val="center"/>
              <w:ind w:right="286"/>
              <w:spacing w:after="0"/>
              <w:rPr>
                <w:sz w:val="20"/>
                <w:szCs w:val="20"/>
                <w:color w:val="auto"/>
              </w:rPr>
            </w:pPr>
            <w:r>
              <w:rPr>
                <w:rFonts w:ascii="Arial" w:cs="Arial" w:eastAsia="Arial" w:hAnsi="Arial"/>
                <w:sz w:val="11"/>
                <w:szCs w:val="11"/>
                <w:b w:val="1"/>
                <w:bCs w:val="1"/>
                <w:i w:val="1"/>
                <w:iCs w:val="1"/>
                <w:color w:val="auto"/>
                <w:w w:val="85"/>
              </w:rPr>
              <w:t>(Exact name of registrant as specified in its charter)</w:t>
            </w:r>
          </w:p>
        </w:tc>
        <w:tc>
          <w:tcPr>
            <w:tcW w:w="202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328"/>
        </w:trPr>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jc w:val="center"/>
              <w:ind w:right="440"/>
              <w:spacing w:after="0"/>
              <w:rPr>
                <w:sz w:val="20"/>
                <w:szCs w:val="20"/>
                <w:color w:val="auto"/>
              </w:rPr>
            </w:pPr>
            <w:r>
              <w:rPr>
                <w:rFonts w:ascii="Arial" w:cs="Arial" w:eastAsia="Arial" w:hAnsi="Arial"/>
                <w:sz w:val="12"/>
                <w:szCs w:val="12"/>
                <w:b w:val="1"/>
                <w:bCs w:val="1"/>
                <w:color w:val="auto"/>
                <w:w w:val="94"/>
              </w:rPr>
              <w:t>Delaware</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20" w:type="dxa"/>
            <w:vAlign w:val="bottom"/>
          </w:tcPr>
          <w:p>
            <w:pPr>
              <w:jc w:val="right"/>
              <w:ind w:right="502"/>
              <w:spacing w:after="0"/>
              <w:rPr>
                <w:sz w:val="20"/>
                <w:szCs w:val="20"/>
                <w:color w:val="auto"/>
              </w:rPr>
            </w:pPr>
            <w:r>
              <w:rPr>
                <w:rFonts w:ascii="Arial" w:cs="Arial" w:eastAsia="Arial" w:hAnsi="Arial"/>
                <w:sz w:val="12"/>
                <w:szCs w:val="12"/>
                <w:b w:val="1"/>
                <w:bCs w:val="1"/>
                <w:color w:val="auto"/>
              </w:rPr>
              <w:t>26-0359894</w:t>
            </w:r>
          </w:p>
        </w:tc>
        <w:tc>
          <w:tcPr>
            <w:tcW w:w="1940" w:type="dxa"/>
            <w:vAlign w:val="bottom"/>
          </w:tcPr>
          <w:p>
            <w:pPr>
              <w:spacing w:after="0"/>
              <w:rPr>
                <w:sz w:val="24"/>
                <w:szCs w:val="24"/>
                <w:color w:val="auto"/>
              </w:rPr>
            </w:pPr>
          </w:p>
        </w:tc>
      </w:tr>
      <w:tr>
        <w:trPr>
          <w:trHeight w:val="153"/>
        </w:trPr>
        <w:tc>
          <w:tcPr>
            <w:tcW w:w="1540" w:type="dxa"/>
            <w:vAlign w:val="bottom"/>
          </w:tcPr>
          <w:p>
            <w:pPr>
              <w:spacing w:after="0"/>
              <w:rPr>
                <w:sz w:val="13"/>
                <w:szCs w:val="13"/>
                <w:color w:val="auto"/>
              </w:rPr>
            </w:pPr>
          </w:p>
        </w:tc>
        <w:tc>
          <w:tcPr>
            <w:tcW w:w="5800" w:type="dxa"/>
            <w:vAlign w:val="bottom"/>
            <w:gridSpan w:val="7"/>
          </w:tcPr>
          <w:p>
            <w:pPr>
              <w:jc w:val="center"/>
              <w:ind w:right="3146"/>
              <w:spacing w:after="0"/>
              <w:rPr>
                <w:sz w:val="20"/>
                <w:szCs w:val="20"/>
                <w:color w:val="auto"/>
              </w:rPr>
            </w:pPr>
            <w:r>
              <w:rPr>
                <w:rFonts w:ascii="Arial" w:cs="Arial" w:eastAsia="Arial" w:hAnsi="Arial"/>
                <w:sz w:val="12"/>
                <w:szCs w:val="12"/>
                <w:b w:val="1"/>
                <w:bCs w:val="1"/>
                <w:i w:val="1"/>
                <w:iCs w:val="1"/>
                <w:color w:val="auto"/>
                <w:w w:val="87"/>
              </w:rPr>
              <w:t>(State of incorporation or organization)</w:t>
            </w:r>
          </w:p>
        </w:tc>
        <w:tc>
          <w:tcPr>
            <w:tcW w:w="3960" w:type="dxa"/>
            <w:vAlign w:val="bottom"/>
            <w:gridSpan w:val="2"/>
          </w:tcPr>
          <w:p>
            <w:pPr>
              <w:jc w:val="center"/>
              <w:ind w:right="1600"/>
              <w:spacing w:after="0"/>
              <w:rPr>
                <w:sz w:val="20"/>
                <w:szCs w:val="20"/>
                <w:color w:val="auto"/>
              </w:rPr>
            </w:pPr>
            <w:r>
              <w:rPr>
                <w:rFonts w:ascii="Arial" w:cs="Arial" w:eastAsia="Arial" w:hAnsi="Arial"/>
                <w:sz w:val="12"/>
                <w:szCs w:val="12"/>
                <w:b w:val="1"/>
                <w:bCs w:val="1"/>
                <w:i w:val="1"/>
                <w:iCs w:val="1"/>
                <w:color w:val="auto"/>
                <w:w w:val="91"/>
              </w:rPr>
              <w:t>(I.R.S. Employer Identification No.)</w:t>
            </w:r>
          </w:p>
        </w:tc>
      </w:tr>
      <w:tr>
        <w:trPr>
          <w:trHeight w:val="320"/>
        </w:trPr>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jc w:val="center"/>
              <w:ind w:right="440"/>
              <w:spacing w:after="0"/>
              <w:rPr>
                <w:sz w:val="20"/>
                <w:szCs w:val="20"/>
                <w:color w:val="auto"/>
              </w:rPr>
            </w:pPr>
            <w:r>
              <w:rPr>
                <w:rFonts w:ascii="Arial" w:cs="Arial" w:eastAsia="Arial" w:hAnsi="Arial"/>
                <w:sz w:val="12"/>
                <w:szCs w:val="12"/>
                <w:b w:val="1"/>
                <w:bCs w:val="1"/>
                <w:color w:val="auto"/>
                <w:w w:val="93"/>
              </w:rPr>
              <w:t>70 Castilian Drive</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20" w:type="dxa"/>
            <w:vAlign w:val="bottom"/>
          </w:tcPr>
          <w:p>
            <w:pPr>
              <w:jc w:val="right"/>
              <w:ind w:right="642"/>
              <w:spacing w:after="0"/>
              <w:rPr>
                <w:sz w:val="20"/>
                <w:szCs w:val="20"/>
                <w:color w:val="auto"/>
              </w:rPr>
            </w:pPr>
            <w:r>
              <w:rPr>
                <w:rFonts w:ascii="Arial" w:cs="Arial" w:eastAsia="Arial" w:hAnsi="Arial"/>
                <w:sz w:val="12"/>
                <w:szCs w:val="12"/>
                <w:b w:val="1"/>
                <w:bCs w:val="1"/>
                <w:color w:val="auto"/>
              </w:rPr>
              <w:t>93117</w:t>
            </w:r>
          </w:p>
        </w:tc>
        <w:tc>
          <w:tcPr>
            <w:tcW w:w="1940" w:type="dxa"/>
            <w:vAlign w:val="bottom"/>
          </w:tcPr>
          <w:p>
            <w:pPr>
              <w:spacing w:after="0"/>
              <w:rPr>
                <w:sz w:val="24"/>
                <w:szCs w:val="24"/>
                <w:color w:val="auto"/>
              </w:rPr>
            </w:pPr>
          </w:p>
        </w:tc>
      </w:tr>
      <w:tr>
        <w:trPr>
          <w:trHeight w:val="157"/>
        </w:trPr>
        <w:tc>
          <w:tcPr>
            <w:tcW w:w="1540" w:type="dxa"/>
            <w:vAlign w:val="bottom"/>
          </w:tcPr>
          <w:p>
            <w:pPr>
              <w:spacing w:after="0"/>
              <w:rPr>
                <w:sz w:val="13"/>
                <w:szCs w:val="13"/>
                <w:color w:val="auto"/>
              </w:rPr>
            </w:pPr>
          </w:p>
        </w:tc>
        <w:tc>
          <w:tcPr>
            <w:tcW w:w="2260" w:type="dxa"/>
            <w:vAlign w:val="bottom"/>
            <w:gridSpan w:val="2"/>
          </w:tcPr>
          <w:p>
            <w:pPr>
              <w:ind w:left="700"/>
              <w:spacing w:after="0"/>
              <w:rPr>
                <w:sz w:val="20"/>
                <w:szCs w:val="20"/>
                <w:color w:val="auto"/>
              </w:rPr>
            </w:pPr>
            <w:r>
              <w:rPr>
                <w:rFonts w:ascii="Arial" w:cs="Arial" w:eastAsia="Arial" w:hAnsi="Arial"/>
                <w:sz w:val="12"/>
                <w:szCs w:val="12"/>
                <w:b w:val="1"/>
                <w:bCs w:val="1"/>
                <w:color w:val="auto"/>
              </w:rPr>
              <w:t>Santa Barbara, California</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53"/>
        </w:trPr>
        <w:tc>
          <w:tcPr>
            <w:tcW w:w="1540" w:type="dxa"/>
            <w:vAlign w:val="bottom"/>
          </w:tcPr>
          <w:p>
            <w:pPr>
              <w:spacing w:after="0"/>
              <w:rPr>
                <w:sz w:val="13"/>
                <w:szCs w:val="13"/>
                <w:color w:val="auto"/>
              </w:rPr>
            </w:pPr>
          </w:p>
        </w:tc>
        <w:tc>
          <w:tcPr>
            <w:tcW w:w="2260" w:type="dxa"/>
            <w:vAlign w:val="bottom"/>
            <w:gridSpan w:val="2"/>
          </w:tcPr>
          <w:p>
            <w:pPr>
              <w:jc w:val="center"/>
              <w:ind w:left="282"/>
              <w:spacing w:after="0"/>
              <w:rPr>
                <w:sz w:val="20"/>
                <w:szCs w:val="20"/>
                <w:color w:val="auto"/>
              </w:rPr>
            </w:pPr>
            <w:r>
              <w:rPr>
                <w:rFonts w:ascii="Arial" w:cs="Arial" w:eastAsia="Arial" w:hAnsi="Arial"/>
                <w:sz w:val="12"/>
                <w:szCs w:val="12"/>
                <w:b w:val="1"/>
                <w:bCs w:val="1"/>
                <w:i w:val="1"/>
                <w:iCs w:val="1"/>
                <w:color w:val="auto"/>
                <w:w w:val="85"/>
              </w:rPr>
              <w:t>(Address of principal executive offices)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960" w:type="dxa"/>
            <w:vAlign w:val="bottom"/>
            <w:gridSpan w:val="2"/>
          </w:tcPr>
          <w:p>
            <w:pPr>
              <w:jc w:val="center"/>
              <w:ind w:right="1600"/>
              <w:spacing w:after="0"/>
              <w:rPr>
                <w:sz w:val="20"/>
                <w:szCs w:val="20"/>
                <w:color w:val="auto"/>
              </w:rPr>
            </w:pPr>
            <w:r>
              <w:rPr>
                <w:rFonts w:ascii="Arial" w:cs="Arial" w:eastAsia="Arial" w:hAnsi="Arial"/>
                <w:sz w:val="12"/>
                <w:szCs w:val="12"/>
                <w:b w:val="1"/>
                <w:bCs w:val="1"/>
                <w:i w:val="1"/>
                <w:iCs w:val="1"/>
                <w:color w:val="auto"/>
                <w:w w:val="87"/>
              </w:rPr>
              <w:t>(Zip Code)</w:t>
            </w:r>
          </w:p>
        </w:tc>
      </w:tr>
      <w:tr>
        <w:trPr>
          <w:trHeight w:val="239"/>
        </w:trPr>
        <w:tc>
          <w:tcPr>
            <w:tcW w:w="1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540" w:type="dxa"/>
            <w:vAlign w:val="bottom"/>
            <w:gridSpan w:val="5"/>
          </w:tcPr>
          <w:p>
            <w:pPr>
              <w:jc w:val="center"/>
              <w:ind w:left="126"/>
              <w:spacing w:after="0"/>
              <w:rPr>
                <w:sz w:val="20"/>
                <w:szCs w:val="20"/>
                <w:color w:val="auto"/>
              </w:rPr>
            </w:pPr>
            <w:r>
              <w:rPr>
                <w:rFonts w:ascii="Arial" w:cs="Arial" w:eastAsia="Arial" w:hAnsi="Arial"/>
                <w:sz w:val="11"/>
                <w:szCs w:val="11"/>
                <w:b w:val="1"/>
                <w:bCs w:val="1"/>
                <w:color w:val="auto"/>
                <w:w w:val="90"/>
              </w:rPr>
              <w:t>(805) 364-6093</w:t>
            </w:r>
          </w:p>
        </w:tc>
        <w:tc>
          <w:tcPr>
            <w:tcW w:w="20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61"/>
        </w:trPr>
        <w:tc>
          <w:tcPr>
            <w:tcW w:w="1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60" w:type="dxa"/>
            <w:vAlign w:val="bottom"/>
            <w:gridSpan w:val="3"/>
          </w:tcPr>
          <w:p>
            <w:pPr>
              <w:jc w:val="center"/>
              <w:ind w:right="286"/>
              <w:spacing w:after="0"/>
              <w:rPr>
                <w:sz w:val="20"/>
                <w:szCs w:val="20"/>
                <w:color w:val="auto"/>
              </w:rPr>
            </w:pPr>
            <w:r>
              <w:rPr>
                <w:rFonts w:ascii="Arial" w:cs="Arial" w:eastAsia="Arial" w:hAnsi="Arial"/>
                <w:sz w:val="11"/>
                <w:szCs w:val="11"/>
                <w:b w:val="1"/>
                <w:bCs w:val="1"/>
                <w:i w:val="1"/>
                <w:iCs w:val="1"/>
                <w:color w:val="auto"/>
                <w:w w:val="84"/>
              </w:rPr>
              <w:t>(Registrant’s telephone number, including area code)</w:t>
            </w:r>
          </w:p>
        </w:tc>
        <w:tc>
          <w:tcPr>
            <w:tcW w:w="20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61"/>
        </w:trPr>
        <w:tc>
          <w:tcPr>
            <w:tcW w:w="1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20" w:type="dxa"/>
            <w:vAlign w:val="bottom"/>
          </w:tcPr>
          <w:p>
            <w:pPr>
              <w:jc w:val="center"/>
              <w:ind w:right="1406"/>
              <w:spacing w:after="0"/>
              <w:rPr>
                <w:sz w:val="20"/>
                <w:szCs w:val="20"/>
                <w:color w:val="auto"/>
              </w:rPr>
            </w:pPr>
            <w:r>
              <w:rPr>
                <w:rFonts w:ascii="Arial" w:cs="Arial" w:eastAsia="Arial" w:hAnsi="Arial"/>
                <w:sz w:val="11"/>
                <w:szCs w:val="11"/>
                <w:b w:val="1"/>
                <w:bCs w:val="1"/>
                <w:color w:val="auto"/>
                <w:w w:val="94"/>
              </w:rPr>
              <w:t>N/A</w:t>
            </w:r>
          </w:p>
        </w:tc>
        <w:tc>
          <w:tcPr>
            <w:tcW w:w="20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34"/>
        </w:trPr>
        <w:tc>
          <w:tcPr>
            <w:tcW w:w="1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500" w:type="dxa"/>
            <w:vAlign w:val="bottom"/>
            <w:gridSpan w:val="7"/>
          </w:tcPr>
          <w:p>
            <w:pPr>
              <w:jc w:val="center"/>
              <w:ind w:right="3820"/>
              <w:spacing w:after="0"/>
              <w:rPr>
                <w:sz w:val="20"/>
                <w:szCs w:val="20"/>
                <w:color w:val="auto"/>
              </w:rPr>
            </w:pPr>
            <w:r>
              <w:rPr>
                <w:rFonts w:ascii="Arial" w:cs="Arial" w:eastAsia="Arial" w:hAnsi="Arial"/>
                <w:sz w:val="11"/>
                <w:szCs w:val="11"/>
                <w:b w:val="1"/>
                <w:bCs w:val="1"/>
                <w:i w:val="1"/>
                <w:iCs w:val="1"/>
                <w:color w:val="auto"/>
                <w:w w:val="85"/>
              </w:rPr>
              <w:t>(Former name, former address and former fiscal year, if changed since last report)</w:t>
            </w:r>
          </w:p>
        </w:tc>
      </w:tr>
      <w:tr>
        <w:trPr>
          <w:trHeight w:val="234"/>
        </w:trPr>
        <w:tc>
          <w:tcPr>
            <w:tcW w:w="3800" w:type="dxa"/>
            <w:vAlign w:val="bottom"/>
            <w:gridSpan w:val="3"/>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121"/>
        </w:trPr>
        <w:tc>
          <w:tcPr>
            <w:tcW w:w="15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r>
      <w:tr>
        <w:trPr>
          <w:trHeight w:val="106"/>
        </w:trPr>
        <w:tc>
          <w:tcPr>
            <w:tcW w:w="1540" w:type="dxa"/>
            <w:vAlign w:val="bottom"/>
            <w:tcBorders>
              <w:left w:val="single" w:sz="8" w:color="auto"/>
            </w:tcBorders>
          </w:tcPr>
          <w:p>
            <w:pPr>
              <w:spacing w:after="0"/>
              <w:rPr>
                <w:sz w:val="9"/>
                <w:szCs w:val="9"/>
                <w:color w:val="auto"/>
              </w:rPr>
            </w:pPr>
          </w:p>
        </w:tc>
        <w:tc>
          <w:tcPr>
            <w:tcW w:w="2260" w:type="dxa"/>
            <w:vAlign w:val="bottom"/>
            <w:gridSpan w:val="2"/>
          </w:tcPr>
          <w:p>
            <w:pPr>
              <w:jc w:val="center"/>
              <w:ind w:right="1380"/>
              <w:spacing w:after="0" w:line="106" w:lineRule="exact"/>
              <w:rPr>
                <w:sz w:val="20"/>
                <w:szCs w:val="20"/>
                <w:color w:val="auto"/>
              </w:rPr>
            </w:pPr>
            <w:r>
              <w:rPr>
                <w:rFonts w:ascii="Arial" w:cs="Arial" w:eastAsia="Arial" w:hAnsi="Arial"/>
                <w:sz w:val="11"/>
                <w:szCs w:val="11"/>
                <w:b w:val="1"/>
                <w:bCs w:val="1"/>
                <w:color w:val="auto"/>
                <w:w w:val="86"/>
              </w:rPr>
              <w:t>Title of each class</w:t>
            </w:r>
          </w:p>
        </w:tc>
        <w:tc>
          <w:tcPr>
            <w:tcW w:w="10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Borders>
              <w:right w:val="single" w:sz="8" w:color="auto"/>
            </w:tcBorders>
            <w:gridSpan w:val="2"/>
          </w:tcPr>
          <w:p>
            <w:pPr>
              <w:jc w:val="center"/>
              <w:ind w:right="310"/>
              <w:spacing w:after="0" w:line="106" w:lineRule="exact"/>
              <w:rPr>
                <w:sz w:val="20"/>
                <w:szCs w:val="20"/>
                <w:color w:val="auto"/>
              </w:rPr>
            </w:pPr>
            <w:r>
              <w:rPr>
                <w:rFonts w:ascii="Arial" w:cs="Arial" w:eastAsia="Arial" w:hAnsi="Arial"/>
                <w:sz w:val="11"/>
                <w:szCs w:val="11"/>
                <w:b w:val="1"/>
                <w:bCs w:val="1"/>
                <w:color w:val="auto"/>
                <w:w w:val="88"/>
              </w:rPr>
              <w:t>Trading Symbol</w:t>
            </w:r>
          </w:p>
        </w:tc>
        <w:tc>
          <w:tcPr>
            <w:tcW w:w="1920" w:type="dxa"/>
            <w:vAlign w:val="bottom"/>
          </w:tcPr>
          <w:p>
            <w:pPr>
              <w:spacing w:after="0"/>
              <w:rPr>
                <w:sz w:val="9"/>
                <w:szCs w:val="9"/>
                <w:color w:val="auto"/>
              </w:rPr>
            </w:pPr>
          </w:p>
        </w:tc>
        <w:tc>
          <w:tcPr>
            <w:tcW w:w="3960" w:type="dxa"/>
            <w:vAlign w:val="bottom"/>
            <w:tcBorders>
              <w:right w:val="single" w:sz="8" w:color="auto"/>
            </w:tcBorders>
            <w:gridSpan w:val="2"/>
          </w:tcPr>
          <w:p>
            <w:pPr>
              <w:jc w:val="center"/>
              <w:ind w:right="1940"/>
              <w:spacing w:after="0" w:line="106" w:lineRule="exact"/>
              <w:rPr>
                <w:sz w:val="20"/>
                <w:szCs w:val="20"/>
                <w:color w:val="auto"/>
              </w:rPr>
            </w:pPr>
            <w:r>
              <w:rPr>
                <w:rFonts w:ascii="Arial" w:cs="Arial" w:eastAsia="Arial" w:hAnsi="Arial"/>
                <w:sz w:val="11"/>
                <w:szCs w:val="11"/>
                <w:b w:val="1"/>
                <w:bCs w:val="1"/>
                <w:color w:val="auto"/>
                <w:w w:val="86"/>
              </w:rPr>
              <w:t>Name of each exchange on which registered</w:t>
            </w:r>
          </w:p>
        </w:tc>
      </w:tr>
      <w:tr>
        <w:trPr>
          <w:trHeight w:val="20"/>
        </w:trPr>
        <w:tc>
          <w:tcPr>
            <w:tcW w:w="154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r>
      <w:tr>
        <w:trPr>
          <w:trHeight w:val="118"/>
        </w:trPr>
        <w:tc>
          <w:tcPr>
            <w:tcW w:w="3800" w:type="dxa"/>
            <w:vAlign w:val="bottom"/>
            <w:tcBorders>
              <w:left w:val="single" w:sz="8" w:color="auto"/>
              <w:bottom w:val="single" w:sz="8" w:color="auto"/>
            </w:tcBorders>
            <w:gridSpan w:val="3"/>
          </w:tcPr>
          <w:p>
            <w:pPr>
              <w:jc w:val="center"/>
              <w:ind w:left="42"/>
              <w:spacing w:after="0" w:line="118" w:lineRule="exact"/>
              <w:rPr>
                <w:sz w:val="20"/>
                <w:szCs w:val="20"/>
                <w:color w:val="auto"/>
              </w:rPr>
            </w:pPr>
            <w:r>
              <w:rPr>
                <w:rFonts w:ascii="Arial" w:cs="Arial" w:eastAsia="Arial" w:hAnsi="Arial"/>
                <w:sz w:val="11"/>
                <w:szCs w:val="11"/>
                <w:color w:val="auto"/>
                <w:w w:val="88"/>
              </w:rPr>
              <w:t>Class A common stock, $0.0001 par value</w:t>
            </w:r>
          </w:p>
        </w:tc>
        <w:tc>
          <w:tcPr>
            <w:tcW w:w="10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gridSpan w:val="2"/>
          </w:tcPr>
          <w:p>
            <w:pPr>
              <w:jc w:val="center"/>
              <w:ind w:right="310"/>
              <w:spacing w:after="0" w:line="118" w:lineRule="exact"/>
              <w:rPr>
                <w:sz w:val="20"/>
                <w:szCs w:val="20"/>
                <w:color w:val="auto"/>
              </w:rPr>
            </w:pPr>
            <w:r>
              <w:rPr>
                <w:rFonts w:ascii="Arial" w:cs="Arial" w:eastAsia="Arial" w:hAnsi="Arial"/>
                <w:sz w:val="11"/>
                <w:szCs w:val="11"/>
                <w:color w:val="auto"/>
                <w:w w:val="90"/>
              </w:rPr>
              <w:t>APPF</w:t>
            </w:r>
          </w:p>
        </w:tc>
        <w:tc>
          <w:tcPr>
            <w:tcW w:w="1920" w:type="dxa"/>
            <w:vAlign w:val="bottom"/>
            <w:tcBorders>
              <w:bottom w:val="single" w:sz="8" w:color="auto"/>
            </w:tcBorders>
          </w:tcPr>
          <w:p>
            <w:pPr>
              <w:spacing w:after="0"/>
              <w:rPr>
                <w:sz w:val="10"/>
                <w:szCs w:val="10"/>
                <w:color w:val="auto"/>
              </w:rPr>
            </w:pPr>
          </w:p>
        </w:tc>
        <w:tc>
          <w:tcPr>
            <w:tcW w:w="3960" w:type="dxa"/>
            <w:vAlign w:val="bottom"/>
            <w:tcBorders>
              <w:bottom w:val="single" w:sz="8" w:color="auto"/>
              <w:right w:val="single" w:sz="8" w:color="auto"/>
            </w:tcBorders>
            <w:gridSpan w:val="2"/>
          </w:tcPr>
          <w:p>
            <w:pPr>
              <w:jc w:val="center"/>
              <w:ind w:right="1940"/>
              <w:spacing w:after="0" w:line="118" w:lineRule="exact"/>
              <w:rPr>
                <w:sz w:val="20"/>
                <w:szCs w:val="20"/>
                <w:color w:val="auto"/>
              </w:rPr>
            </w:pPr>
            <w:r>
              <w:rPr>
                <w:rFonts w:ascii="Arial" w:cs="Arial" w:eastAsia="Arial" w:hAnsi="Arial"/>
                <w:sz w:val="11"/>
                <w:szCs w:val="11"/>
                <w:color w:val="auto"/>
                <w:w w:val="93"/>
              </w:rPr>
              <w:t>NASDAQ Global Market</w:t>
            </w:r>
          </w:p>
        </w:tc>
      </w:tr>
    </w:tbl>
    <w:p>
      <w:pPr>
        <w:spacing w:after="0" w:line="58" w:lineRule="exact"/>
        <w:rPr>
          <w:sz w:val="24"/>
          <w:szCs w:val="24"/>
          <w:color w:val="auto"/>
        </w:rPr>
      </w:pPr>
    </w:p>
    <w:p>
      <w:pPr>
        <w:jc w:val="both"/>
        <w:spacing w:after="0" w:line="144"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46" w:lineRule="exact"/>
        <w:rPr>
          <w:sz w:val="24"/>
          <w:szCs w:val="24"/>
          <w:color w:val="auto"/>
        </w:rPr>
      </w:pPr>
    </w:p>
    <w:p>
      <w:pPr>
        <w:jc w:val="both"/>
        <w:spacing w:after="0" w:line="144"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7" w:lineRule="exact"/>
        <w:rPr>
          <w:sz w:val="24"/>
          <w:szCs w:val="24"/>
          <w:color w:val="auto"/>
        </w:rPr>
      </w:pPr>
    </w:p>
    <w:p>
      <w:pPr>
        <w:ind w:right="300"/>
        <w:spacing w:after="0" w:line="25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1780" w:type="dxa"/>
            <w:vAlign w:val="bottom"/>
            <w:vMerge w:val="restart"/>
          </w:tcPr>
          <w:p>
            <w:pPr>
              <w:spacing w:after="0"/>
              <w:rPr>
                <w:sz w:val="20"/>
                <w:szCs w:val="20"/>
                <w:color w:val="auto"/>
              </w:rPr>
            </w:pPr>
            <w:r>
              <w:rPr>
                <w:rFonts w:ascii="Arial" w:cs="Arial" w:eastAsia="Arial" w:hAnsi="Arial"/>
                <w:sz w:val="11"/>
                <w:szCs w:val="11"/>
                <w:color w:val="auto"/>
              </w:rPr>
              <w:t>Large accelerated filer</w:t>
            </w:r>
          </w:p>
        </w:tc>
        <w:tc>
          <w:tcPr>
            <w:tcW w:w="370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4740" w:type="dxa"/>
            <w:vAlign w:val="bottom"/>
            <w:vMerge w:val="restart"/>
          </w:tcPr>
          <w:p>
            <w:pPr>
              <w:ind w:left="2820"/>
              <w:spacing w:after="0"/>
              <w:rPr>
                <w:sz w:val="20"/>
                <w:szCs w:val="20"/>
                <w:color w:val="auto"/>
              </w:rPr>
            </w:pPr>
            <w:r>
              <w:rPr>
                <w:rFonts w:ascii="Arial" w:cs="Arial" w:eastAsia="Arial" w:hAnsi="Arial"/>
                <w:sz w:val="11"/>
                <w:szCs w:val="11"/>
                <w:color w:val="auto"/>
              </w:rPr>
              <w:t>Accelerated filer</w:t>
            </w:r>
          </w:p>
        </w:tc>
        <w:tc>
          <w:tcPr>
            <w:tcW w:w="880" w:type="dxa"/>
            <w:vAlign w:val="bottom"/>
          </w:tcPr>
          <w:p>
            <w:pPr>
              <w:ind w:left="76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47"/>
        </w:trPr>
        <w:tc>
          <w:tcPr>
            <w:tcW w:w="1780" w:type="dxa"/>
            <w:vAlign w:val="bottom"/>
            <w:vMerge w:val="continue"/>
          </w:tcPr>
          <w:p>
            <w:pPr>
              <w:spacing w:after="0"/>
              <w:rPr>
                <w:sz w:val="4"/>
                <w:szCs w:val="4"/>
                <w:color w:val="auto"/>
              </w:rPr>
            </w:pPr>
          </w:p>
        </w:tc>
        <w:tc>
          <w:tcPr>
            <w:tcW w:w="3700" w:type="dxa"/>
            <w:vAlign w:val="bottom"/>
          </w:tcPr>
          <w:p>
            <w:pPr>
              <w:spacing w:after="0"/>
              <w:rPr>
                <w:sz w:val="4"/>
                <w:szCs w:val="4"/>
                <w:color w:val="auto"/>
              </w:rPr>
            </w:pPr>
          </w:p>
        </w:tc>
        <w:tc>
          <w:tcPr>
            <w:tcW w:w="47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1780" w:type="dxa"/>
            <w:vAlign w:val="bottom"/>
            <w:vMerge w:val="restart"/>
          </w:tcPr>
          <w:p>
            <w:pPr>
              <w:spacing w:after="0"/>
              <w:rPr>
                <w:sz w:val="20"/>
                <w:szCs w:val="20"/>
                <w:color w:val="auto"/>
              </w:rPr>
            </w:pPr>
            <w:r>
              <w:rPr>
                <w:rFonts w:ascii="Arial" w:cs="Arial" w:eastAsia="Arial" w:hAnsi="Arial"/>
                <w:sz w:val="11"/>
                <w:szCs w:val="11"/>
                <w:color w:val="auto"/>
              </w:rPr>
              <w:t>Non-accelerated filer</w:t>
            </w:r>
          </w:p>
        </w:tc>
        <w:tc>
          <w:tcPr>
            <w:tcW w:w="370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4740" w:type="dxa"/>
            <w:vAlign w:val="bottom"/>
            <w:vMerge w:val="restart"/>
          </w:tcPr>
          <w:p>
            <w:pPr>
              <w:ind w:left="2820"/>
              <w:spacing w:after="0"/>
              <w:rPr>
                <w:sz w:val="20"/>
                <w:szCs w:val="20"/>
                <w:color w:val="auto"/>
              </w:rPr>
            </w:pPr>
            <w:r>
              <w:rPr>
                <w:rFonts w:ascii="Arial" w:cs="Arial" w:eastAsia="Arial" w:hAnsi="Arial"/>
                <w:sz w:val="11"/>
                <w:szCs w:val="11"/>
                <w:color w:val="auto"/>
              </w:rPr>
              <w:t>Smaller reporting company</w:t>
            </w:r>
          </w:p>
        </w:tc>
        <w:tc>
          <w:tcPr>
            <w:tcW w:w="880" w:type="dxa"/>
            <w:vAlign w:val="bottom"/>
          </w:tcPr>
          <w:p>
            <w:pPr>
              <w:ind w:left="76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47"/>
        </w:trPr>
        <w:tc>
          <w:tcPr>
            <w:tcW w:w="1780" w:type="dxa"/>
            <w:vAlign w:val="bottom"/>
            <w:vMerge w:val="continue"/>
          </w:tcPr>
          <w:p>
            <w:pPr>
              <w:spacing w:after="0"/>
              <w:rPr>
                <w:sz w:val="4"/>
                <w:szCs w:val="4"/>
                <w:color w:val="auto"/>
              </w:rPr>
            </w:pPr>
          </w:p>
        </w:tc>
        <w:tc>
          <w:tcPr>
            <w:tcW w:w="3700" w:type="dxa"/>
            <w:vAlign w:val="bottom"/>
          </w:tcPr>
          <w:p>
            <w:pPr>
              <w:spacing w:after="0"/>
              <w:rPr>
                <w:sz w:val="4"/>
                <w:szCs w:val="4"/>
                <w:color w:val="auto"/>
              </w:rPr>
            </w:pPr>
          </w:p>
        </w:tc>
        <w:tc>
          <w:tcPr>
            <w:tcW w:w="47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740" w:type="dxa"/>
            <w:vAlign w:val="bottom"/>
            <w:vMerge w:val="restart"/>
          </w:tcPr>
          <w:p>
            <w:pPr>
              <w:ind w:left="2820"/>
              <w:spacing w:after="0"/>
              <w:rPr>
                <w:sz w:val="20"/>
                <w:szCs w:val="20"/>
                <w:color w:val="auto"/>
              </w:rPr>
            </w:pPr>
            <w:r>
              <w:rPr>
                <w:rFonts w:ascii="Arial" w:cs="Arial" w:eastAsia="Arial" w:hAnsi="Arial"/>
                <w:sz w:val="11"/>
                <w:szCs w:val="11"/>
                <w:color w:val="auto"/>
              </w:rPr>
              <w:t>Emerging growth company</w:t>
            </w:r>
          </w:p>
        </w:tc>
        <w:tc>
          <w:tcPr>
            <w:tcW w:w="880" w:type="dxa"/>
            <w:vAlign w:val="bottom"/>
          </w:tcPr>
          <w:p>
            <w:pPr>
              <w:ind w:left="76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47"/>
        </w:trPr>
        <w:tc>
          <w:tcPr>
            <w:tcW w:w="17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47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50"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67"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06" w:lineRule="exact"/>
        <w:rPr>
          <w:sz w:val="24"/>
          <w:szCs w:val="24"/>
          <w:color w:val="auto"/>
        </w:rPr>
      </w:pPr>
    </w:p>
    <w:p>
      <w:pPr>
        <w:spacing w:after="0"/>
        <w:rPr>
          <w:sz w:val="20"/>
          <w:szCs w:val="20"/>
          <w:color w:val="auto"/>
        </w:rPr>
      </w:pPr>
      <w:r>
        <w:rPr>
          <w:rFonts w:ascii="Arial" w:cs="Arial" w:eastAsia="Arial" w:hAnsi="Arial"/>
          <w:sz w:val="11"/>
          <w:szCs w:val="11"/>
          <w:color w:val="auto"/>
        </w:rPr>
        <w:t>As of July 21, 2022, the number of shares of the registrant’s Class A common stock outstanding was 20,174,583 and the number of shares of the registrant’s Class B common stock outstanding was 14,826,432.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361950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0080" w:type="dxa"/>
            <w:vAlign w:val="bottom"/>
            <w:gridSpan w:val="19"/>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736"/>
        </w:trPr>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20" w:type="dxa"/>
            <w:vAlign w:val="bottom"/>
            <w:gridSpan w:val="6"/>
          </w:tcPr>
          <w:p>
            <w:pPr>
              <w:ind w:left="340"/>
              <w:spacing w:after="0"/>
              <w:rPr>
                <w:sz w:val="20"/>
                <w:szCs w:val="20"/>
                <w:color w:val="auto"/>
              </w:rPr>
            </w:pPr>
            <w:r>
              <w:rPr>
                <w:rFonts w:ascii="Arial" w:cs="Arial" w:eastAsia="Arial" w:hAnsi="Arial"/>
                <w:sz w:val="12"/>
                <w:szCs w:val="12"/>
                <w:b w:val="1"/>
                <w:bCs w:val="1"/>
                <w:color w:val="auto"/>
              </w:rPr>
              <w:t>TABLE OF CONTENTS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gridSpan w:val="4"/>
          </w:tcPr>
          <w:p>
            <w:pPr>
              <w:ind w:left="380"/>
              <w:spacing w:after="0"/>
              <w:rPr>
                <w:sz w:val="20"/>
                <w:szCs w:val="20"/>
                <w:color w:val="auto"/>
              </w:rPr>
            </w:pPr>
            <w:r>
              <w:rPr>
                <w:rFonts w:ascii="Arial" w:cs="Arial" w:eastAsia="Arial" w:hAnsi="Arial"/>
                <w:sz w:val="12"/>
                <w:szCs w:val="12"/>
                <w:b w:val="1"/>
                <w:bCs w:val="1"/>
                <w:color w:val="auto"/>
              </w:rPr>
              <w:t>Page No.</w:t>
            </w:r>
          </w:p>
        </w:tc>
      </w:tr>
      <w:tr>
        <w:trPr>
          <w:trHeight w:val="115"/>
        </w:trPr>
        <w:tc>
          <w:tcPr>
            <w:tcW w:w="1420" w:type="dxa"/>
            <w:vAlign w:val="bottom"/>
            <w:tcBorders>
              <w:bottom w:val="single" w:sz="8" w:color="0000FF"/>
            </w:tcBorders>
            <w:gridSpan w:val="7"/>
          </w:tcPr>
          <w:p>
            <w:pPr>
              <w:spacing w:after="0" w:line="115" w:lineRule="exact"/>
              <w:rPr>
                <w:rFonts w:ascii="Arial" w:cs="Arial" w:eastAsia="Arial" w:hAnsi="Arial"/>
                <w:sz w:val="12"/>
                <w:szCs w:val="12"/>
                <w:color w:val="0000FF"/>
                <w:w w:val="90"/>
              </w:rPr>
            </w:pPr>
            <w:hyperlink w:anchor="page2">
              <w:r>
                <w:rPr>
                  <w:rFonts w:ascii="Arial" w:cs="Arial" w:eastAsia="Arial" w:hAnsi="Arial"/>
                  <w:sz w:val="12"/>
                  <w:szCs w:val="12"/>
                  <w:color w:val="0000FF"/>
                  <w:w w:val="90"/>
                </w:rPr>
                <w:t>Forward-Looking Statements</w:t>
              </w:r>
            </w:hyperlink>
          </w:p>
        </w:tc>
        <w:tc>
          <w:tcPr>
            <w:tcW w:w="8660" w:type="dxa"/>
            <w:vAlign w:val="bottom"/>
            <w:gridSpan w:val="12"/>
          </w:tcPr>
          <w:p>
            <w:pPr>
              <w:spacing w:after="0"/>
              <w:rPr>
                <w:sz w:val="10"/>
                <w:szCs w:val="10"/>
                <w:color w:val="auto"/>
              </w:rPr>
            </w:pPr>
          </w:p>
        </w:tc>
        <w:tc>
          <w:tcPr>
            <w:tcW w:w="660" w:type="dxa"/>
            <w:vAlign w:val="bottom"/>
            <w:tcBorders>
              <w:top w:val="single" w:sz="8" w:color="auto"/>
            </w:tcBorders>
            <w:gridSpan w:val="2"/>
          </w:tcPr>
          <w:p>
            <w:pPr>
              <w:jc w:val="center"/>
              <w:ind w:left="500"/>
              <w:spacing w:after="0" w:line="115" w:lineRule="exact"/>
              <w:rPr>
                <w:rFonts w:ascii="Arial" w:cs="Arial" w:eastAsia="Arial" w:hAnsi="Arial"/>
                <w:sz w:val="12"/>
                <w:szCs w:val="12"/>
                <w:u w:val="single" w:color="auto"/>
                <w:color w:val="0000FF"/>
                <w:w w:val="89"/>
              </w:rPr>
            </w:pPr>
            <w:hyperlink w:anchor="page2">
              <w:r>
                <w:rPr>
                  <w:rFonts w:ascii="Arial" w:cs="Arial" w:eastAsia="Arial" w:hAnsi="Arial"/>
                  <w:sz w:val="12"/>
                  <w:szCs w:val="12"/>
                  <w:u w:val="single" w:color="auto"/>
                  <w:color w:val="0000FF"/>
                  <w:w w:val="89"/>
                </w:rPr>
                <w:t>1</w:t>
              </w:r>
            </w:hyperlink>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33"/>
        </w:trPr>
        <w:tc>
          <w:tcPr>
            <w:tcW w:w="1380" w:type="dxa"/>
            <w:vAlign w:val="bottom"/>
            <w:tcBorders>
              <w:bottom w:val="single" w:sz="8" w:color="0000FF"/>
            </w:tcBorders>
            <w:gridSpan w:val="6"/>
          </w:tcPr>
          <w:p>
            <w:pPr>
              <w:spacing w:after="0" w:line="133" w:lineRule="exact"/>
              <w:rPr>
                <w:rFonts w:ascii="Arial" w:cs="Arial" w:eastAsia="Arial" w:hAnsi="Arial"/>
                <w:sz w:val="12"/>
                <w:szCs w:val="12"/>
                <w:color w:val="0000FF"/>
                <w:w w:val="92"/>
              </w:rPr>
            </w:pPr>
            <w:hyperlink w:anchor="page3">
              <w:r>
                <w:rPr>
                  <w:rFonts w:ascii="Arial" w:cs="Arial" w:eastAsia="Arial" w:hAnsi="Arial"/>
                  <w:sz w:val="12"/>
                  <w:szCs w:val="12"/>
                  <w:color w:val="0000FF"/>
                  <w:w w:val="92"/>
                </w:rPr>
                <w:t>Part I. Financial Information</w:t>
              </w:r>
            </w:hyperlink>
          </w:p>
        </w:tc>
        <w:tc>
          <w:tcPr>
            <w:tcW w:w="8700" w:type="dxa"/>
            <w:vAlign w:val="bottom"/>
            <w:gridSpan w:val="13"/>
          </w:tcPr>
          <w:p>
            <w:pPr>
              <w:spacing w:after="0"/>
              <w:rPr>
                <w:sz w:val="11"/>
                <w:szCs w:val="11"/>
                <w:color w:val="auto"/>
              </w:rPr>
            </w:pPr>
          </w:p>
        </w:tc>
        <w:tc>
          <w:tcPr>
            <w:tcW w:w="660" w:type="dxa"/>
            <w:vAlign w:val="bottom"/>
            <w:gridSpan w:val="2"/>
          </w:tcPr>
          <w:p>
            <w:pPr>
              <w:jc w:val="center"/>
              <w:ind w:left="500"/>
              <w:spacing w:after="0" w:line="133" w:lineRule="exact"/>
              <w:rPr>
                <w:rFonts w:ascii="Arial" w:cs="Arial" w:eastAsia="Arial" w:hAnsi="Arial"/>
                <w:sz w:val="12"/>
                <w:szCs w:val="12"/>
                <w:u w:val="single" w:color="auto"/>
                <w:color w:val="0000FF"/>
                <w:w w:val="89"/>
              </w:rPr>
            </w:pPr>
            <w:hyperlink w:anchor="page3">
              <w:r>
                <w:rPr>
                  <w:rFonts w:ascii="Arial" w:cs="Arial" w:eastAsia="Arial" w:hAnsi="Arial"/>
                  <w:sz w:val="12"/>
                  <w:szCs w:val="12"/>
                  <w:u w:val="single" w:color="auto"/>
                  <w:color w:val="0000FF"/>
                  <w:w w:val="89"/>
                </w:rPr>
                <w:t>2</w:t>
              </w:r>
            </w:hyperlink>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440" w:type="dxa"/>
            <w:vAlign w:val="bottom"/>
          </w:tcPr>
          <w:p>
            <w:pPr>
              <w:spacing w:after="0"/>
              <w:rPr>
                <w:sz w:val="11"/>
                <w:szCs w:val="11"/>
                <w:color w:val="auto"/>
              </w:rPr>
            </w:pPr>
          </w:p>
        </w:tc>
        <w:tc>
          <w:tcPr>
            <w:tcW w:w="9640" w:type="dxa"/>
            <w:vAlign w:val="bottom"/>
            <w:gridSpan w:val="18"/>
          </w:tcPr>
          <w:p>
            <w:pPr>
              <w:spacing w:after="0" w:line="133" w:lineRule="exact"/>
              <w:rPr>
                <w:rFonts w:ascii="Arial" w:cs="Arial" w:eastAsia="Arial" w:hAnsi="Arial"/>
                <w:sz w:val="12"/>
                <w:szCs w:val="12"/>
                <w:color w:val="0000FF"/>
              </w:rPr>
            </w:pPr>
            <w:hyperlink w:anchor="page3">
              <w:r>
                <w:rPr>
                  <w:rFonts w:ascii="Arial" w:cs="Arial" w:eastAsia="Arial" w:hAnsi="Arial"/>
                  <w:sz w:val="12"/>
                  <w:szCs w:val="12"/>
                  <w:color w:val="0000FF"/>
                </w:rPr>
                <w:t>Item 1. Condensed Consolidated Financial Statements (Unaudited)</w:t>
              </w:r>
            </w:hyperlink>
          </w:p>
        </w:tc>
        <w:tc>
          <w:tcPr>
            <w:tcW w:w="660" w:type="dxa"/>
            <w:vAlign w:val="bottom"/>
            <w:gridSpan w:val="2"/>
          </w:tcPr>
          <w:p>
            <w:pPr>
              <w:jc w:val="center"/>
              <w:ind w:left="500"/>
              <w:spacing w:after="0" w:line="133" w:lineRule="exact"/>
              <w:rPr>
                <w:rFonts w:ascii="Arial" w:cs="Arial" w:eastAsia="Arial" w:hAnsi="Arial"/>
                <w:sz w:val="12"/>
                <w:szCs w:val="12"/>
                <w:u w:val="single" w:color="auto"/>
                <w:color w:val="0000FF"/>
                <w:w w:val="89"/>
              </w:rPr>
            </w:pPr>
            <w:hyperlink w:anchor="page3">
              <w:r>
                <w:rPr>
                  <w:rFonts w:ascii="Arial" w:cs="Arial" w:eastAsia="Arial" w:hAnsi="Arial"/>
                  <w:sz w:val="12"/>
                  <w:szCs w:val="12"/>
                  <w:u w:val="single" w:color="auto"/>
                  <w:color w:val="0000FF"/>
                  <w:w w:val="89"/>
                </w:rPr>
                <w:t>2</w:t>
              </w:r>
            </w:hyperlink>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500" w:type="dxa"/>
            <w:vAlign w:val="bottom"/>
            <w:gridSpan w:val="16"/>
          </w:tcPr>
          <w:p>
            <w:pPr>
              <w:spacing w:after="0" w:line="133" w:lineRule="exact"/>
              <w:rPr>
                <w:rFonts w:ascii="Arial" w:cs="Arial" w:eastAsia="Arial" w:hAnsi="Arial"/>
                <w:sz w:val="12"/>
                <w:szCs w:val="12"/>
                <w:color w:val="0000FF"/>
              </w:rPr>
            </w:pPr>
            <w:hyperlink w:anchor="page4">
              <w:r>
                <w:rPr>
                  <w:rFonts w:ascii="Arial" w:cs="Arial" w:eastAsia="Arial" w:hAnsi="Arial"/>
                  <w:sz w:val="12"/>
                  <w:szCs w:val="12"/>
                  <w:color w:val="0000FF"/>
                </w:rPr>
                <w:t>Condensed Consolidated Balance Sheets as of June 30, 2022 and December 31, 2021</w:t>
              </w:r>
            </w:hyperlink>
          </w:p>
        </w:tc>
        <w:tc>
          <w:tcPr>
            <w:tcW w:w="660" w:type="dxa"/>
            <w:vAlign w:val="bottom"/>
            <w:gridSpan w:val="2"/>
          </w:tcPr>
          <w:p>
            <w:pPr>
              <w:jc w:val="center"/>
              <w:ind w:left="500"/>
              <w:spacing w:after="0" w:line="133" w:lineRule="exact"/>
              <w:rPr>
                <w:rFonts w:ascii="Arial" w:cs="Arial" w:eastAsia="Arial" w:hAnsi="Arial"/>
                <w:sz w:val="12"/>
                <w:szCs w:val="12"/>
                <w:u w:val="single" w:color="auto"/>
                <w:color w:val="0000FF"/>
                <w:w w:val="89"/>
              </w:rPr>
            </w:pPr>
            <w:hyperlink w:anchor="page4">
              <w:r>
                <w:rPr>
                  <w:rFonts w:ascii="Arial" w:cs="Arial" w:eastAsia="Arial" w:hAnsi="Arial"/>
                  <w:sz w:val="12"/>
                  <w:szCs w:val="12"/>
                  <w:u w:val="single" w:color="auto"/>
                  <w:color w:val="0000FF"/>
                  <w:w w:val="89"/>
                </w:rPr>
                <w:t>3</w:t>
              </w:r>
            </w:hyperlink>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500" w:type="dxa"/>
            <w:vAlign w:val="bottom"/>
            <w:gridSpan w:val="16"/>
          </w:tcPr>
          <w:p>
            <w:pPr>
              <w:spacing w:after="0" w:line="133" w:lineRule="exact"/>
              <w:rPr>
                <w:rFonts w:ascii="Arial" w:cs="Arial" w:eastAsia="Arial" w:hAnsi="Arial"/>
                <w:sz w:val="12"/>
                <w:szCs w:val="12"/>
                <w:color w:val="0000FF"/>
              </w:rPr>
            </w:pPr>
            <w:hyperlink w:anchor="page5">
              <w:r>
                <w:rPr>
                  <w:rFonts w:ascii="Arial" w:cs="Arial" w:eastAsia="Arial" w:hAnsi="Arial"/>
                  <w:sz w:val="12"/>
                  <w:szCs w:val="12"/>
                  <w:color w:val="0000FF"/>
                </w:rPr>
                <w:t>Condensed Consolidated Statements of Operations for the Three and Six Months Ended June 30, 2022 and 2021</w:t>
              </w:r>
            </w:hyperlink>
          </w:p>
        </w:tc>
        <w:tc>
          <w:tcPr>
            <w:tcW w:w="660" w:type="dxa"/>
            <w:vAlign w:val="bottom"/>
            <w:gridSpan w:val="2"/>
          </w:tcPr>
          <w:p>
            <w:pPr>
              <w:jc w:val="center"/>
              <w:ind w:left="500"/>
              <w:spacing w:after="0" w:line="133" w:lineRule="exact"/>
              <w:rPr>
                <w:rFonts w:ascii="Arial" w:cs="Arial" w:eastAsia="Arial" w:hAnsi="Arial"/>
                <w:sz w:val="12"/>
                <w:szCs w:val="12"/>
                <w:u w:val="single" w:color="auto"/>
                <w:color w:val="0000FF"/>
                <w:w w:val="89"/>
              </w:rPr>
            </w:pPr>
            <w:hyperlink w:anchor="page5">
              <w:r>
                <w:rPr>
                  <w:rFonts w:ascii="Arial" w:cs="Arial" w:eastAsia="Arial" w:hAnsi="Arial"/>
                  <w:sz w:val="12"/>
                  <w:szCs w:val="12"/>
                  <w:u w:val="single" w:color="auto"/>
                  <w:color w:val="0000FF"/>
                  <w:w w:val="89"/>
                </w:rPr>
                <w:t>4</w:t>
              </w:r>
            </w:hyperlink>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340" w:type="dxa"/>
            <w:vAlign w:val="bottom"/>
            <w:tcBorders>
              <w:bottom w:val="single" w:sz="8" w:color="0000FF"/>
            </w:tcBorders>
            <w:gridSpan w:val="15"/>
          </w:tcPr>
          <w:p>
            <w:pPr>
              <w:spacing w:after="0" w:line="133" w:lineRule="exact"/>
              <w:rPr>
                <w:rFonts w:ascii="Arial" w:cs="Arial" w:eastAsia="Arial" w:hAnsi="Arial"/>
                <w:sz w:val="12"/>
                <w:szCs w:val="12"/>
                <w:color w:val="0000FF"/>
                <w:w w:val="89"/>
              </w:rPr>
            </w:pPr>
            <w:hyperlink w:anchor="page6">
              <w:r>
                <w:rPr>
                  <w:rFonts w:ascii="Arial" w:cs="Arial" w:eastAsia="Arial" w:hAnsi="Arial"/>
                  <w:sz w:val="12"/>
                  <w:szCs w:val="12"/>
                  <w:color w:val="0000FF"/>
                  <w:w w:val="89"/>
                </w:rPr>
                <w:t>Condensed Consolidated Statements of Comprehensive (Loss) Income for the Three and Six Months Ended June 30, 2022 and 2021</w:t>
              </w:r>
            </w:hyperlink>
          </w:p>
        </w:tc>
        <w:tc>
          <w:tcPr>
            <w:tcW w:w="3160" w:type="dxa"/>
            <w:vAlign w:val="bottom"/>
          </w:tcPr>
          <w:p>
            <w:pPr>
              <w:spacing w:after="0"/>
              <w:rPr>
                <w:sz w:val="11"/>
                <w:szCs w:val="11"/>
                <w:color w:val="auto"/>
              </w:rPr>
            </w:pPr>
          </w:p>
        </w:tc>
        <w:tc>
          <w:tcPr>
            <w:tcW w:w="660" w:type="dxa"/>
            <w:vAlign w:val="bottom"/>
            <w:gridSpan w:val="2"/>
          </w:tcPr>
          <w:p>
            <w:pPr>
              <w:jc w:val="center"/>
              <w:ind w:left="500"/>
              <w:spacing w:after="0" w:line="133" w:lineRule="exact"/>
              <w:rPr>
                <w:rFonts w:ascii="Arial" w:cs="Arial" w:eastAsia="Arial" w:hAnsi="Arial"/>
                <w:sz w:val="12"/>
                <w:szCs w:val="12"/>
                <w:u w:val="single" w:color="auto"/>
                <w:color w:val="0000FF"/>
                <w:w w:val="89"/>
              </w:rPr>
            </w:pPr>
            <w:hyperlink w:anchor="page6">
              <w:r>
                <w:rPr>
                  <w:rFonts w:ascii="Arial" w:cs="Arial" w:eastAsia="Arial" w:hAnsi="Arial"/>
                  <w:sz w:val="12"/>
                  <w:szCs w:val="12"/>
                  <w:u w:val="single" w:color="auto"/>
                  <w:color w:val="0000FF"/>
                  <w:w w:val="89"/>
                </w:rPr>
                <w:t>5</w:t>
              </w:r>
            </w:hyperlink>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60" w:type="dxa"/>
            <w:vAlign w:val="bottom"/>
            <w:tcBorders>
              <w:bottom w:val="single" w:sz="8" w:color="0000FF"/>
            </w:tcBorders>
            <w:gridSpan w:val="14"/>
          </w:tcPr>
          <w:p>
            <w:pPr>
              <w:spacing w:after="0" w:line="133" w:lineRule="exact"/>
              <w:rPr>
                <w:rFonts w:ascii="Arial" w:cs="Arial" w:eastAsia="Arial" w:hAnsi="Arial"/>
                <w:sz w:val="12"/>
                <w:szCs w:val="12"/>
                <w:color w:val="0000FF"/>
                <w:w w:val="89"/>
              </w:rPr>
            </w:pPr>
            <w:hyperlink w:anchor="page7">
              <w:r>
                <w:rPr>
                  <w:rFonts w:ascii="Arial" w:cs="Arial" w:eastAsia="Arial" w:hAnsi="Arial"/>
                  <w:sz w:val="12"/>
                  <w:szCs w:val="12"/>
                  <w:color w:val="0000FF"/>
                  <w:w w:val="89"/>
                </w:rPr>
                <w:t>Condensed Consolidated Statements of Stockholders' Equity for the Three and Six Months Ended June 30, 2022 and 2021</w:t>
              </w:r>
            </w:hyperlink>
          </w:p>
        </w:tc>
        <w:tc>
          <w:tcPr>
            <w:tcW w:w="3640" w:type="dxa"/>
            <w:vAlign w:val="bottom"/>
            <w:gridSpan w:val="2"/>
          </w:tcPr>
          <w:p>
            <w:pPr>
              <w:spacing w:after="0"/>
              <w:rPr>
                <w:sz w:val="11"/>
                <w:szCs w:val="11"/>
                <w:color w:val="auto"/>
              </w:rPr>
            </w:pPr>
          </w:p>
        </w:tc>
        <w:tc>
          <w:tcPr>
            <w:tcW w:w="660" w:type="dxa"/>
            <w:vAlign w:val="bottom"/>
            <w:gridSpan w:val="2"/>
          </w:tcPr>
          <w:p>
            <w:pPr>
              <w:jc w:val="center"/>
              <w:ind w:left="500"/>
              <w:spacing w:after="0" w:line="133" w:lineRule="exact"/>
              <w:rPr>
                <w:rFonts w:ascii="Arial" w:cs="Arial" w:eastAsia="Arial" w:hAnsi="Arial"/>
                <w:sz w:val="12"/>
                <w:szCs w:val="12"/>
                <w:u w:val="single" w:color="auto"/>
                <w:color w:val="0000FF"/>
                <w:w w:val="89"/>
              </w:rPr>
            </w:pPr>
            <w:hyperlink w:anchor="page7">
              <w:r>
                <w:rPr>
                  <w:rFonts w:ascii="Arial" w:cs="Arial" w:eastAsia="Arial" w:hAnsi="Arial"/>
                  <w:sz w:val="12"/>
                  <w:szCs w:val="12"/>
                  <w:u w:val="single" w:color="auto"/>
                  <w:color w:val="0000FF"/>
                  <w:w w:val="89"/>
                </w:rPr>
                <w:t>6</w:t>
              </w:r>
            </w:hyperlink>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500" w:type="dxa"/>
            <w:vAlign w:val="bottom"/>
            <w:gridSpan w:val="16"/>
          </w:tcPr>
          <w:p>
            <w:pPr>
              <w:spacing w:after="0" w:line="133" w:lineRule="exact"/>
              <w:rPr>
                <w:rFonts w:ascii="Arial" w:cs="Arial" w:eastAsia="Arial" w:hAnsi="Arial"/>
                <w:sz w:val="12"/>
                <w:szCs w:val="12"/>
                <w:color w:val="0000FF"/>
              </w:rPr>
            </w:pPr>
            <w:hyperlink w:anchor="page9">
              <w:r>
                <w:rPr>
                  <w:rFonts w:ascii="Arial" w:cs="Arial" w:eastAsia="Arial" w:hAnsi="Arial"/>
                  <w:sz w:val="12"/>
                  <w:szCs w:val="12"/>
                  <w:color w:val="0000FF"/>
                </w:rPr>
                <w:t>Condensed Consolidated Statements of Cash Flows for the Six Months Ended June 30, 2022 and 2021</w:t>
              </w:r>
            </w:hyperlink>
          </w:p>
        </w:tc>
        <w:tc>
          <w:tcPr>
            <w:tcW w:w="660" w:type="dxa"/>
            <w:vAlign w:val="bottom"/>
            <w:gridSpan w:val="2"/>
          </w:tcPr>
          <w:p>
            <w:pPr>
              <w:jc w:val="center"/>
              <w:ind w:left="500"/>
              <w:spacing w:after="0" w:line="133" w:lineRule="exact"/>
              <w:rPr>
                <w:rFonts w:ascii="Arial" w:cs="Arial" w:eastAsia="Arial" w:hAnsi="Arial"/>
                <w:sz w:val="12"/>
                <w:szCs w:val="12"/>
                <w:u w:val="single" w:color="auto"/>
                <w:color w:val="0000FF"/>
                <w:w w:val="89"/>
              </w:rPr>
            </w:pPr>
            <w:hyperlink w:anchor="page9">
              <w:r>
                <w:rPr>
                  <w:rFonts w:ascii="Arial" w:cs="Arial" w:eastAsia="Arial" w:hAnsi="Arial"/>
                  <w:sz w:val="12"/>
                  <w:szCs w:val="12"/>
                  <w:u w:val="single" w:color="auto"/>
                  <w:color w:val="0000FF"/>
                  <w:w w:val="89"/>
                </w:rPr>
                <w:t>8</w:t>
              </w:r>
            </w:hyperlink>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900" w:type="dxa"/>
            <w:vAlign w:val="bottom"/>
            <w:tcBorders>
              <w:top w:val="single" w:sz="8" w:color="0000FF"/>
            </w:tcBorders>
            <w:gridSpan w:val="12"/>
          </w:tcPr>
          <w:p>
            <w:pPr>
              <w:spacing w:after="0" w:line="133" w:lineRule="exact"/>
              <w:rPr>
                <w:rFonts w:ascii="Arial" w:cs="Arial" w:eastAsia="Arial" w:hAnsi="Arial"/>
                <w:sz w:val="12"/>
                <w:szCs w:val="12"/>
                <w:color w:val="0000FF"/>
              </w:rPr>
            </w:pPr>
            <w:hyperlink w:anchor="page11">
              <w:r>
                <w:rPr>
                  <w:rFonts w:ascii="Arial" w:cs="Arial" w:eastAsia="Arial" w:hAnsi="Arial"/>
                  <w:sz w:val="12"/>
                  <w:szCs w:val="12"/>
                  <w:color w:val="0000FF"/>
                </w:rPr>
                <w:t>Notes to Condensed Consolidated Unaudited Financial Statements</w:t>
              </w:r>
            </w:hyperlink>
          </w:p>
        </w:tc>
        <w:tc>
          <w:tcPr>
            <w:tcW w:w="4600" w:type="dxa"/>
            <w:vAlign w:val="bottom"/>
            <w:gridSpan w:val="4"/>
          </w:tcPr>
          <w:p>
            <w:pPr>
              <w:spacing w:after="0"/>
              <w:rPr>
                <w:sz w:val="11"/>
                <w:szCs w:val="11"/>
                <w:color w:val="auto"/>
              </w:rPr>
            </w:pPr>
          </w:p>
        </w:tc>
        <w:tc>
          <w:tcPr>
            <w:tcW w:w="1200" w:type="dxa"/>
            <w:vAlign w:val="bottom"/>
            <w:gridSpan w:val="3"/>
          </w:tcPr>
          <w:p>
            <w:pPr>
              <w:jc w:val="center"/>
              <w:spacing w:after="0" w:line="133" w:lineRule="exact"/>
              <w:rPr>
                <w:rFonts w:ascii="Arial" w:cs="Arial" w:eastAsia="Arial" w:hAnsi="Arial"/>
                <w:sz w:val="12"/>
                <w:szCs w:val="12"/>
                <w:color w:val="0000FF"/>
                <w:w w:val="89"/>
              </w:rPr>
            </w:pPr>
            <w:hyperlink w:anchor="page11">
              <w:r>
                <w:rPr>
                  <w:rFonts w:ascii="Arial" w:cs="Arial" w:eastAsia="Arial" w:hAnsi="Arial"/>
                  <w:sz w:val="12"/>
                  <w:szCs w:val="12"/>
                  <w:color w:val="0000FF"/>
                  <w:w w:val="89"/>
                </w:rPr>
                <w:t>10</w:t>
              </w:r>
            </w:hyperlink>
          </w:p>
        </w:tc>
        <w:tc>
          <w:tcPr>
            <w:tcW w:w="2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40" w:type="dxa"/>
            <w:vAlign w:val="bottom"/>
          </w:tcPr>
          <w:p>
            <w:pPr>
              <w:spacing w:after="0"/>
              <w:rPr>
                <w:sz w:val="11"/>
                <w:szCs w:val="11"/>
                <w:color w:val="auto"/>
              </w:rPr>
            </w:pPr>
          </w:p>
        </w:tc>
        <w:tc>
          <w:tcPr>
            <w:tcW w:w="4680" w:type="dxa"/>
            <w:vAlign w:val="bottom"/>
            <w:gridSpan w:val="13"/>
          </w:tcPr>
          <w:p>
            <w:pPr>
              <w:spacing w:after="0" w:line="133" w:lineRule="exact"/>
              <w:rPr>
                <w:rFonts w:ascii="Arial" w:cs="Arial" w:eastAsia="Arial" w:hAnsi="Arial"/>
                <w:sz w:val="12"/>
                <w:szCs w:val="12"/>
                <w:color w:val="0000FF"/>
                <w:w w:val="90"/>
              </w:rPr>
            </w:pPr>
            <w:hyperlink w:anchor="page20">
              <w:r>
                <w:rPr>
                  <w:rFonts w:ascii="Arial" w:cs="Arial" w:eastAsia="Arial" w:hAnsi="Arial"/>
                  <w:sz w:val="12"/>
                  <w:szCs w:val="12"/>
                  <w:color w:val="0000FF"/>
                  <w:w w:val="90"/>
                </w:rPr>
                <w:t>Item 2. Management’s Discussion and Analysis of Financial Condition and Results of Operations</w:t>
              </w:r>
            </w:hyperlink>
          </w:p>
        </w:tc>
        <w:tc>
          <w:tcPr>
            <w:tcW w:w="4960" w:type="dxa"/>
            <w:vAlign w:val="bottom"/>
            <w:gridSpan w:val="5"/>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jc w:val="center"/>
              <w:ind w:right="540"/>
              <w:spacing w:after="0" w:line="133" w:lineRule="exact"/>
              <w:rPr>
                <w:rFonts w:ascii="Arial" w:cs="Arial" w:eastAsia="Arial" w:hAnsi="Arial"/>
                <w:sz w:val="12"/>
                <w:szCs w:val="12"/>
                <w:color w:val="0000FF"/>
                <w:w w:val="89"/>
              </w:rPr>
            </w:pPr>
            <w:hyperlink w:anchor="page20">
              <w:r>
                <w:rPr>
                  <w:rFonts w:ascii="Arial" w:cs="Arial" w:eastAsia="Arial" w:hAnsi="Arial"/>
                  <w:sz w:val="12"/>
                  <w:szCs w:val="12"/>
                  <w:color w:val="0000FF"/>
                  <w:w w:val="89"/>
                </w:rPr>
                <w:t>19</w:t>
              </w:r>
            </w:hyperlink>
          </w:p>
        </w:tc>
        <w:tc>
          <w:tcPr>
            <w:tcW w:w="2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40" w:type="dxa"/>
            <w:vAlign w:val="bottom"/>
          </w:tcPr>
          <w:p>
            <w:pPr>
              <w:spacing w:after="0"/>
              <w:rPr>
                <w:sz w:val="11"/>
                <w:szCs w:val="11"/>
                <w:color w:val="auto"/>
              </w:rPr>
            </w:pPr>
          </w:p>
        </w:tc>
        <w:tc>
          <w:tcPr>
            <w:tcW w:w="4680" w:type="dxa"/>
            <w:vAlign w:val="bottom"/>
            <w:gridSpan w:val="13"/>
          </w:tcPr>
          <w:p>
            <w:pPr>
              <w:spacing w:after="0" w:line="133" w:lineRule="exact"/>
              <w:rPr>
                <w:rFonts w:ascii="Arial" w:cs="Arial" w:eastAsia="Arial" w:hAnsi="Arial"/>
                <w:sz w:val="12"/>
                <w:szCs w:val="12"/>
                <w:color w:val="0000FF"/>
              </w:rPr>
            </w:pPr>
            <w:hyperlink w:anchor="page27">
              <w:r>
                <w:rPr>
                  <w:rFonts w:ascii="Arial" w:cs="Arial" w:eastAsia="Arial" w:hAnsi="Arial"/>
                  <w:sz w:val="12"/>
                  <w:szCs w:val="12"/>
                  <w:color w:val="0000FF"/>
                </w:rPr>
                <w:t>Item 3. Qualitative and Quantitative Disclosure about Market Risk</w:t>
              </w:r>
            </w:hyperlink>
          </w:p>
        </w:tc>
        <w:tc>
          <w:tcPr>
            <w:tcW w:w="4960" w:type="dxa"/>
            <w:vAlign w:val="bottom"/>
            <w:gridSpan w:val="5"/>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jc w:val="center"/>
              <w:ind w:right="540"/>
              <w:spacing w:after="0" w:line="133" w:lineRule="exact"/>
              <w:rPr>
                <w:rFonts w:ascii="Arial" w:cs="Arial" w:eastAsia="Arial" w:hAnsi="Arial"/>
                <w:sz w:val="12"/>
                <w:szCs w:val="12"/>
                <w:color w:val="0000FF"/>
                <w:w w:val="89"/>
              </w:rPr>
            </w:pPr>
            <w:hyperlink w:anchor="page27">
              <w:r>
                <w:rPr>
                  <w:rFonts w:ascii="Arial" w:cs="Arial" w:eastAsia="Arial" w:hAnsi="Arial"/>
                  <w:sz w:val="12"/>
                  <w:szCs w:val="12"/>
                  <w:color w:val="0000FF"/>
                  <w:w w:val="89"/>
                </w:rPr>
                <w:t>25</w:t>
              </w:r>
            </w:hyperlink>
          </w:p>
        </w:tc>
        <w:tc>
          <w:tcPr>
            <w:tcW w:w="2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100" w:type="dxa"/>
            <w:vAlign w:val="bottom"/>
            <w:gridSpan w:val="9"/>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40" w:type="dxa"/>
            <w:vAlign w:val="bottom"/>
          </w:tcPr>
          <w:p>
            <w:pPr>
              <w:spacing w:after="0"/>
              <w:rPr>
                <w:sz w:val="11"/>
                <w:szCs w:val="11"/>
                <w:color w:val="auto"/>
              </w:rPr>
            </w:pPr>
          </w:p>
        </w:tc>
        <w:tc>
          <w:tcPr>
            <w:tcW w:w="9640" w:type="dxa"/>
            <w:vAlign w:val="bottom"/>
            <w:gridSpan w:val="18"/>
          </w:tcPr>
          <w:p>
            <w:pPr>
              <w:spacing w:after="0" w:line="133" w:lineRule="exact"/>
              <w:rPr>
                <w:rFonts w:ascii="Arial" w:cs="Arial" w:eastAsia="Arial" w:hAnsi="Arial"/>
                <w:sz w:val="12"/>
                <w:szCs w:val="12"/>
                <w:color w:val="0000FF"/>
              </w:rPr>
            </w:pPr>
            <w:hyperlink w:anchor="page27">
              <w:r>
                <w:rPr>
                  <w:rFonts w:ascii="Arial" w:cs="Arial" w:eastAsia="Arial" w:hAnsi="Arial"/>
                  <w:sz w:val="12"/>
                  <w:szCs w:val="12"/>
                  <w:color w:val="0000FF"/>
                </w:rPr>
                <w:t>Item 4. Controls and Procedures</w:t>
              </w:r>
            </w:hyperlink>
          </w:p>
        </w:tc>
        <w:tc>
          <w:tcPr>
            <w:tcW w:w="540" w:type="dxa"/>
            <w:vAlign w:val="bottom"/>
          </w:tcPr>
          <w:p>
            <w:pPr>
              <w:spacing w:after="0"/>
              <w:rPr>
                <w:sz w:val="11"/>
                <w:szCs w:val="11"/>
                <w:color w:val="auto"/>
              </w:rPr>
            </w:pPr>
          </w:p>
        </w:tc>
        <w:tc>
          <w:tcPr>
            <w:tcW w:w="660" w:type="dxa"/>
            <w:vAlign w:val="bottom"/>
            <w:gridSpan w:val="2"/>
          </w:tcPr>
          <w:p>
            <w:pPr>
              <w:jc w:val="center"/>
              <w:ind w:right="540"/>
              <w:spacing w:after="0" w:line="133" w:lineRule="exact"/>
              <w:rPr>
                <w:rFonts w:ascii="Arial" w:cs="Arial" w:eastAsia="Arial" w:hAnsi="Arial"/>
                <w:sz w:val="12"/>
                <w:szCs w:val="12"/>
                <w:color w:val="0000FF"/>
                <w:w w:val="89"/>
              </w:rPr>
            </w:pPr>
            <w:hyperlink w:anchor="page27">
              <w:r>
                <w:rPr>
                  <w:rFonts w:ascii="Arial" w:cs="Arial" w:eastAsia="Arial" w:hAnsi="Arial"/>
                  <w:sz w:val="12"/>
                  <w:szCs w:val="12"/>
                  <w:color w:val="0000FF"/>
                  <w:w w:val="89"/>
                </w:rPr>
                <w:t>25</w:t>
              </w:r>
            </w:hyperlink>
          </w:p>
        </w:tc>
        <w:tc>
          <w:tcPr>
            <w:tcW w:w="2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10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10080" w:type="dxa"/>
            <w:vAlign w:val="bottom"/>
            <w:gridSpan w:val="19"/>
          </w:tcPr>
          <w:p>
            <w:pPr>
              <w:spacing w:after="0" w:line="133" w:lineRule="exact"/>
              <w:rPr>
                <w:rFonts w:ascii="Arial" w:cs="Arial" w:eastAsia="Arial" w:hAnsi="Arial"/>
                <w:sz w:val="12"/>
                <w:szCs w:val="12"/>
                <w:color w:val="0000FF"/>
              </w:rPr>
            </w:pPr>
            <w:hyperlink w:anchor="page27">
              <w:r>
                <w:rPr>
                  <w:rFonts w:ascii="Arial" w:cs="Arial" w:eastAsia="Arial" w:hAnsi="Arial"/>
                  <w:sz w:val="12"/>
                  <w:szCs w:val="12"/>
                  <w:color w:val="0000FF"/>
                </w:rPr>
                <w:t>Part II. Other Information</w:t>
              </w:r>
            </w:hyperlink>
          </w:p>
        </w:tc>
        <w:tc>
          <w:tcPr>
            <w:tcW w:w="1200" w:type="dxa"/>
            <w:vAlign w:val="bottom"/>
            <w:gridSpan w:val="3"/>
          </w:tcPr>
          <w:p>
            <w:pPr>
              <w:jc w:val="center"/>
              <w:spacing w:after="0" w:line="133" w:lineRule="exact"/>
              <w:rPr>
                <w:rFonts w:ascii="Arial" w:cs="Arial" w:eastAsia="Arial" w:hAnsi="Arial"/>
                <w:sz w:val="12"/>
                <w:szCs w:val="12"/>
                <w:color w:val="0000FF"/>
                <w:w w:val="89"/>
              </w:rPr>
            </w:pPr>
            <w:hyperlink w:anchor="page27">
              <w:r>
                <w:rPr>
                  <w:rFonts w:ascii="Arial" w:cs="Arial" w:eastAsia="Arial" w:hAnsi="Arial"/>
                  <w:sz w:val="12"/>
                  <w:szCs w:val="12"/>
                  <w:color w:val="0000FF"/>
                  <w:w w:val="89"/>
                </w:rPr>
                <w:t>26</w:t>
              </w:r>
            </w:hyperlink>
          </w:p>
        </w:tc>
        <w:tc>
          <w:tcPr>
            <w:tcW w:w="20" w:type="dxa"/>
            <w:vAlign w:val="bottom"/>
          </w:tcPr>
          <w:p>
            <w:pPr>
              <w:spacing w:after="0"/>
              <w:rPr>
                <w:sz w:val="11"/>
                <w:szCs w:val="1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40" w:type="dxa"/>
            <w:vAlign w:val="bottom"/>
          </w:tcPr>
          <w:p>
            <w:pPr>
              <w:spacing w:after="0"/>
              <w:rPr>
                <w:sz w:val="11"/>
                <w:szCs w:val="11"/>
                <w:color w:val="auto"/>
              </w:rPr>
            </w:pPr>
          </w:p>
        </w:tc>
        <w:tc>
          <w:tcPr>
            <w:tcW w:w="1240" w:type="dxa"/>
            <w:vAlign w:val="bottom"/>
            <w:gridSpan w:val="8"/>
          </w:tcPr>
          <w:p>
            <w:pPr>
              <w:spacing w:after="0" w:line="133" w:lineRule="exact"/>
              <w:rPr>
                <w:rFonts w:ascii="Arial" w:cs="Arial" w:eastAsia="Arial" w:hAnsi="Arial"/>
                <w:sz w:val="12"/>
                <w:szCs w:val="12"/>
                <w:color w:val="0000FF"/>
                <w:w w:val="86"/>
              </w:rPr>
            </w:pPr>
            <w:hyperlink w:anchor="page28">
              <w:r>
                <w:rPr>
                  <w:rFonts w:ascii="Arial" w:cs="Arial" w:eastAsia="Arial" w:hAnsi="Arial"/>
                  <w:sz w:val="12"/>
                  <w:szCs w:val="12"/>
                  <w:color w:val="0000FF"/>
                  <w:w w:val="86"/>
                </w:rPr>
                <w:t>Item 1. Legal Proceedings</w:t>
              </w:r>
            </w:hyperlink>
          </w:p>
        </w:tc>
        <w:tc>
          <w:tcPr>
            <w:tcW w:w="8400" w:type="dxa"/>
            <w:vAlign w:val="bottom"/>
            <w:gridSpan w:val="10"/>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jc w:val="center"/>
              <w:ind w:right="540"/>
              <w:spacing w:after="0" w:line="133" w:lineRule="exact"/>
              <w:rPr>
                <w:rFonts w:ascii="Arial" w:cs="Arial" w:eastAsia="Arial" w:hAnsi="Arial"/>
                <w:sz w:val="12"/>
                <w:szCs w:val="12"/>
                <w:color w:val="0000FF"/>
                <w:w w:val="89"/>
              </w:rPr>
            </w:pPr>
            <w:hyperlink w:anchor="page28">
              <w:r>
                <w:rPr>
                  <w:rFonts w:ascii="Arial" w:cs="Arial" w:eastAsia="Arial" w:hAnsi="Arial"/>
                  <w:sz w:val="12"/>
                  <w:szCs w:val="12"/>
                  <w:color w:val="0000FF"/>
                  <w:w w:val="89"/>
                </w:rPr>
                <w:t>26</w:t>
              </w:r>
            </w:hyperlink>
          </w:p>
        </w:tc>
        <w:tc>
          <w:tcPr>
            <w:tcW w:w="2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0" w:type="dxa"/>
            <w:vAlign w:val="bottom"/>
            <w:tcBorders>
              <w:left w:val="single" w:sz="8" w:color="0000FF"/>
            </w:tcBorders>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40" w:type="dxa"/>
            <w:vAlign w:val="bottom"/>
          </w:tcPr>
          <w:p>
            <w:pPr>
              <w:spacing w:after="0"/>
              <w:rPr>
                <w:sz w:val="11"/>
                <w:szCs w:val="11"/>
                <w:color w:val="auto"/>
              </w:rPr>
            </w:pPr>
          </w:p>
        </w:tc>
        <w:tc>
          <w:tcPr>
            <w:tcW w:w="1060" w:type="dxa"/>
            <w:vAlign w:val="bottom"/>
            <w:gridSpan w:val="7"/>
          </w:tcPr>
          <w:p>
            <w:pPr>
              <w:spacing w:after="0" w:line="133" w:lineRule="exact"/>
              <w:rPr>
                <w:rFonts w:ascii="Arial" w:cs="Arial" w:eastAsia="Arial" w:hAnsi="Arial"/>
                <w:sz w:val="12"/>
                <w:szCs w:val="12"/>
                <w:color w:val="0000FF"/>
                <w:w w:val="90"/>
              </w:rPr>
            </w:pPr>
            <w:hyperlink w:anchor="page28">
              <w:r>
                <w:rPr>
                  <w:rFonts w:ascii="Arial" w:cs="Arial" w:eastAsia="Arial" w:hAnsi="Arial"/>
                  <w:sz w:val="12"/>
                  <w:szCs w:val="12"/>
                  <w:color w:val="0000FF"/>
                  <w:w w:val="90"/>
                </w:rPr>
                <w:t>Item 1A. Risk Factors</w:t>
              </w:r>
            </w:hyperlink>
          </w:p>
        </w:tc>
        <w:tc>
          <w:tcPr>
            <w:tcW w:w="180" w:type="dxa"/>
            <w:vAlign w:val="bottom"/>
          </w:tcPr>
          <w:p>
            <w:pPr>
              <w:spacing w:after="0"/>
              <w:rPr>
                <w:sz w:val="11"/>
                <w:szCs w:val="11"/>
                <w:color w:val="auto"/>
              </w:rPr>
            </w:pPr>
          </w:p>
        </w:tc>
        <w:tc>
          <w:tcPr>
            <w:tcW w:w="8400" w:type="dxa"/>
            <w:vAlign w:val="bottom"/>
            <w:gridSpan w:val="10"/>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jc w:val="center"/>
              <w:ind w:right="540"/>
              <w:spacing w:after="0" w:line="133" w:lineRule="exact"/>
              <w:rPr>
                <w:rFonts w:ascii="Arial" w:cs="Arial" w:eastAsia="Arial" w:hAnsi="Arial"/>
                <w:sz w:val="12"/>
                <w:szCs w:val="12"/>
                <w:color w:val="0000FF"/>
                <w:w w:val="89"/>
              </w:rPr>
            </w:pPr>
            <w:hyperlink w:anchor="page28">
              <w:r>
                <w:rPr>
                  <w:rFonts w:ascii="Arial" w:cs="Arial" w:eastAsia="Arial" w:hAnsi="Arial"/>
                  <w:sz w:val="12"/>
                  <w:szCs w:val="12"/>
                  <w:color w:val="0000FF"/>
                  <w:w w:val="89"/>
                </w:rPr>
                <w:t>26</w:t>
              </w:r>
            </w:hyperlink>
          </w:p>
        </w:tc>
        <w:tc>
          <w:tcPr>
            <w:tcW w:w="2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40" w:type="dxa"/>
            <w:vAlign w:val="bottom"/>
          </w:tcPr>
          <w:p>
            <w:pPr>
              <w:spacing w:after="0"/>
              <w:rPr>
                <w:sz w:val="11"/>
                <w:szCs w:val="11"/>
                <w:color w:val="auto"/>
              </w:rPr>
            </w:pPr>
          </w:p>
        </w:tc>
        <w:tc>
          <w:tcPr>
            <w:tcW w:w="9640" w:type="dxa"/>
            <w:vAlign w:val="bottom"/>
            <w:gridSpan w:val="18"/>
          </w:tcPr>
          <w:p>
            <w:pPr>
              <w:spacing w:after="0" w:line="133" w:lineRule="exact"/>
              <w:rPr>
                <w:rFonts w:ascii="Arial" w:cs="Arial" w:eastAsia="Arial" w:hAnsi="Arial"/>
                <w:sz w:val="12"/>
                <w:szCs w:val="12"/>
                <w:color w:val="0000FF"/>
              </w:rPr>
            </w:pPr>
            <w:hyperlink w:anchor="page28">
              <w:r>
                <w:rPr>
                  <w:rFonts w:ascii="Arial" w:cs="Arial" w:eastAsia="Arial" w:hAnsi="Arial"/>
                  <w:sz w:val="12"/>
                  <w:szCs w:val="12"/>
                  <w:color w:val="0000FF"/>
                </w:rPr>
                <w:t>Item 5. Other Information</w:t>
              </w:r>
            </w:hyperlink>
          </w:p>
        </w:tc>
        <w:tc>
          <w:tcPr>
            <w:tcW w:w="1200" w:type="dxa"/>
            <w:vAlign w:val="bottom"/>
            <w:gridSpan w:val="3"/>
          </w:tcPr>
          <w:p>
            <w:pPr>
              <w:jc w:val="center"/>
              <w:spacing w:after="0" w:line="133" w:lineRule="exact"/>
              <w:rPr>
                <w:rFonts w:ascii="Arial" w:cs="Arial" w:eastAsia="Arial" w:hAnsi="Arial"/>
                <w:sz w:val="12"/>
                <w:szCs w:val="12"/>
                <w:color w:val="0000FF"/>
                <w:w w:val="89"/>
              </w:rPr>
            </w:pPr>
            <w:hyperlink w:anchor="page28">
              <w:r>
                <w:rPr>
                  <w:rFonts w:ascii="Arial" w:cs="Arial" w:eastAsia="Arial" w:hAnsi="Arial"/>
                  <w:sz w:val="12"/>
                  <w:szCs w:val="12"/>
                  <w:color w:val="0000FF"/>
                  <w:w w:val="89"/>
                </w:rPr>
                <w:t>26</w:t>
              </w:r>
            </w:hyperlink>
          </w:p>
        </w:tc>
        <w:tc>
          <w:tcPr>
            <w:tcW w:w="2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84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40" w:type="dxa"/>
            <w:vAlign w:val="bottom"/>
          </w:tcPr>
          <w:p>
            <w:pPr>
              <w:spacing w:after="0"/>
              <w:rPr>
                <w:sz w:val="11"/>
                <w:szCs w:val="11"/>
                <w:color w:val="auto"/>
              </w:rPr>
            </w:pPr>
          </w:p>
        </w:tc>
        <w:tc>
          <w:tcPr>
            <w:tcW w:w="1240" w:type="dxa"/>
            <w:vAlign w:val="bottom"/>
            <w:gridSpan w:val="8"/>
          </w:tcPr>
          <w:p>
            <w:pPr>
              <w:spacing w:after="0" w:line="133" w:lineRule="exact"/>
              <w:rPr>
                <w:rFonts w:ascii="Arial" w:cs="Arial" w:eastAsia="Arial" w:hAnsi="Arial"/>
                <w:sz w:val="12"/>
                <w:szCs w:val="12"/>
                <w:color w:val="0000FF"/>
              </w:rPr>
            </w:pPr>
            <w:hyperlink w:anchor="page28">
              <w:r>
                <w:rPr>
                  <w:rFonts w:ascii="Arial" w:cs="Arial" w:eastAsia="Arial" w:hAnsi="Arial"/>
                  <w:sz w:val="12"/>
                  <w:szCs w:val="12"/>
                  <w:color w:val="0000FF"/>
                </w:rPr>
                <w:t>Item 6. Exhibits</w:t>
              </w:r>
            </w:hyperlink>
          </w:p>
        </w:tc>
        <w:tc>
          <w:tcPr>
            <w:tcW w:w="8400" w:type="dxa"/>
            <w:vAlign w:val="bottom"/>
            <w:gridSpan w:val="10"/>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jc w:val="center"/>
              <w:ind w:right="540"/>
              <w:spacing w:after="0" w:line="133" w:lineRule="exact"/>
              <w:rPr>
                <w:rFonts w:ascii="Arial" w:cs="Arial" w:eastAsia="Arial" w:hAnsi="Arial"/>
                <w:sz w:val="12"/>
                <w:szCs w:val="12"/>
                <w:color w:val="0000FF"/>
                <w:w w:val="89"/>
              </w:rPr>
            </w:pPr>
            <w:hyperlink w:anchor="page28">
              <w:r>
                <w:rPr>
                  <w:rFonts w:ascii="Arial" w:cs="Arial" w:eastAsia="Arial" w:hAnsi="Arial"/>
                  <w:sz w:val="12"/>
                  <w:szCs w:val="12"/>
                  <w:color w:val="0000FF"/>
                  <w:w w:val="89"/>
                </w:rPr>
                <w:t>27</w:t>
              </w:r>
            </w:hyperlink>
          </w:p>
        </w:tc>
        <w:tc>
          <w:tcPr>
            <w:tcW w:w="2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880" w:type="dxa"/>
            <w:vAlign w:val="bottom"/>
            <w:gridSpan w:val="1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10080" w:type="dxa"/>
            <w:vAlign w:val="bottom"/>
            <w:gridSpan w:val="19"/>
          </w:tcPr>
          <w:p>
            <w:pPr>
              <w:spacing w:after="0" w:line="133" w:lineRule="exact"/>
              <w:rPr>
                <w:rFonts w:ascii="Arial" w:cs="Arial" w:eastAsia="Arial" w:hAnsi="Arial"/>
                <w:sz w:val="12"/>
                <w:szCs w:val="12"/>
                <w:color w:val="0000FF"/>
              </w:rPr>
            </w:pPr>
            <w:hyperlink w:anchor="page29">
              <w:r>
                <w:rPr>
                  <w:rFonts w:ascii="Arial" w:cs="Arial" w:eastAsia="Arial" w:hAnsi="Arial"/>
                  <w:sz w:val="12"/>
                  <w:szCs w:val="12"/>
                  <w:color w:val="0000FF"/>
                </w:rPr>
                <w:t>Signatures</w:t>
              </w:r>
            </w:hyperlink>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979"/>
        </w:trPr>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2" w:name="page3"/>
    <w:bookmarkEnd w:id="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jc w:val="center"/>
        <w:ind w:left="420"/>
        <w:spacing w:after="0"/>
        <w:rPr>
          <w:sz w:val="20"/>
          <w:szCs w:val="20"/>
          <w:color w:val="auto"/>
        </w:rPr>
      </w:pPr>
      <w:r>
        <w:rPr>
          <w:rFonts w:ascii="Arial" w:cs="Arial" w:eastAsia="Arial" w:hAnsi="Arial"/>
          <w:sz w:val="12"/>
          <w:szCs w:val="12"/>
          <w:b w:val="1"/>
          <w:bCs w:val="1"/>
          <w:color w:val="auto"/>
        </w:rPr>
        <w:t>FORWARD-LOOKING STATEMENTS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1"/>
          <w:szCs w:val="11"/>
          <w:color w:val="auto"/>
        </w:rPr>
        <w:t>This Quarterly Report on Form 10-Q for the fiscal quarter ended June 30, 2022 (this "Quarterly Report"), contains forward-looking statements within the meaning of federal securities laws, which statements involve substantial risks and uncertainties. The forward-looking statements made in this Quarterly Report are based primarily on our current expectations and projections about future events and trends that we believe may affect our business, financial condition, operating results, and prospects and relate only to events as of the date on which the statements are made. In some cases, you can identify forward-looking statements because they contain words such as “may,” “will,” “should,” “might,” “expects,” “plans,” “anticipates,” “could,” “intends,” “target,” “projects,” “contemplates,” “believes,” “estimates,” “predicts,” “potential,” or “continue,” or the negative of these words or other similar terms or expressions that concern our expectations, strategy, plans, or intentions. We cannot assure you that the results, events, and circumstances reflected in the forward-looking statements will be achieved or occur, and actual results, events, or circumstances could differ materially from those described in the forward-looking statements. Our forward-looking statements do not reflect the potential impact of any future acquisitions, mergers, dispositions, joint ventures, or investments we may make. The outcome of the events described in these forward-looking statements is subject to risks, uncertainties, and other factors described in the section titled "Management's Discussion and Analysis of Financial Condition and Results of Operations" in this Quarterly Report and "Risk Factors" in our Annual Report on Form 10-K for the fiscal year ended December 31, 2021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Examples of forward-looking statements include, among others, statements made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3" w:name="page4"/>
    <w:bookmarkEnd w:id="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Condensed Consolidated Financial Statements</w:t>
      </w:r>
    </w:p>
    <w:p>
      <w:pPr>
        <w:spacing w:after="0" w:line="379" w:lineRule="exact"/>
        <w:rPr>
          <w:sz w:val="20"/>
          <w:szCs w:val="20"/>
          <w:color w:val="auto"/>
        </w:rPr>
      </w:pPr>
    </w:p>
    <w:p>
      <w:pPr>
        <w:jc w:val="right"/>
        <w:ind w:right="447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67" w:right="1440"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APPFOLIO,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par values)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980" w:type="dxa"/>
            <w:vAlign w:val="bottom"/>
          </w:tcPr>
          <w:p>
            <w:pPr>
              <w:spacing w:after="0"/>
              <w:rPr>
                <w:sz w:val="10"/>
                <w:szCs w:val="10"/>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b w:val="1"/>
                <w:bCs w:val="1"/>
                <w:color w:val="auto"/>
              </w:rPr>
              <w:t>June 30,</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jc w:val="right"/>
              <w:ind w:right="426"/>
              <w:spacing w:after="0"/>
              <w:rPr>
                <w:sz w:val="20"/>
                <w:szCs w:val="20"/>
                <w:color w:val="auto"/>
              </w:rPr>
            </w:pPr>
            <w:r>
              <w:rPr>
                <w:rFonts w:ascii="Arial" w:cs="Arial" w:eastAsia="Arial" w:hAnsi="Arial"/>
                <w:sz w:val="11"/>
                <w:szCs w:val="11"/>
                <w:b w:val="1"/>
                <w:bCs w:val="1"/>
                <w:color w:val="auto"/>
              </w:rPr>
              <w:t>December 31,</w:t>
            </w:r>
          </w:p>
        </w:tc>
      </w:tr>
      <w:tr>
        <w:trPr>
          <w:trHeight w:val="142"/>
        </w:trPr>
        <w:tc>
          <w:tcPr>
            <w:tcW w:w="79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2021</w:t>
            </w:r>
          </w:p>
        </w:tc>
      </w:tr>
      <w:tr>
        <w:trPr>
          <w:trHeight w:val="126"/>
        </w:trPr>
        <w:tc>
          <w:tcPr>
            <w:tcW w:w="79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Assets</w:t>
            </w:r>
          </w:p>
        </w:tc>
        <w:tc>
          <w:tcPr>
            <w:tcW w:w="1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142"/>
        </w:trPr>
        <w:tc>
          <w:tcPr>
            <w:tcW w:w="798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6"/>
        </w:trPr>
        <w:tc>
          <w:tcPr>
            <w:tcW w:w="79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Cash and cash equivalents</w:t>
            </w:r>
          </w:p>
        </w:tc>
        <w:tc>
          <w:tcPr>
            <w:tcW w:w="1100" w:type="dxa"/>
            <w:vAlign w:val="bottom"/>
            <w:shd w:val="clear" w:color="auto" w:fill="CCEEFF"/>
          </w:tcPr>
          <w:p>
            <w:pPr>
              <w:jc w:val="right"/>
              <w:ind w:right="966"/>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42,626</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57,847</w:t>
            </w:r>
          </w:p>
        </w:tc>
      </w:tr>
      <w:tr>
        <w:trPr>
          <w:trHeight w:val="142"/>
        </w:trPr>
        <w:tc>
          <w:tcPr>
            <w:tcW w:w="7980" w:type="dxa"/>
            <w:vAlign w:val="bottom"/>
          </w:tcPr>
          <w:p>
            <w:pPr>
              <w:ind w:left="220"/>
              <w:spacing w:after="0"/>
              <w:rPr>
                <w:sz w:val="20"/>
                <w:szCs w:val="20"/>
                <w:color w:val="auto"/>
              </w:rPr>
            </w:pPr>
            <w:r>
              <w:rPr>
                <w:rFonts w:ascii="Arial" w:cs="Arial" w:eastAsia="Arial" w:hAnsi="Arial"/>
                <w:sz w:val="11"/>
                <w:szCs w:val="11"/>
                <w:color w:val="auto"/>
              </w:rPr>
              <w:t>Investment securities—current</w:t>
            </w: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75,425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64,600</w:t>
            </w:r>
          </w:p>
        </w:tc>
      </w:tr>
      <w:tr>
        <w:trPr>
          <w:trHeight w:val="146"/>
        </w:trPr>
        <w:tc>
          <w:tcPr>
            <w:tcW w:w="79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Accounts receivable, net</w:t>
            </w:r>
          </w:p>
        </w:tc>
        <w:tc>
          <w:tcPr>
            <w:tcW w:w="1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16,175</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12,595</w:t>
            </w:r>
          </w:p>
        </w:tc>
      </w:tr>
      <w:tr>
        <w:trPr>
          <w:trHeight w:val="142"/>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Prepaid expenses and other current assets</w:t>
            </w:r>
          </w:p>
        </w:tc>
        <w:tc>
          <w:tcPr>
            <w:tcW w:w="1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22,157</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23,553</w:t>
            </w:r>
          </w:p>
        </w:tc>
      </w:tr>
      <w:tr>
        <w:trPr>
          <w:trHeight w:val="135"/>
        </w:trPr>
        <w:tc>
          <w:tcPr>
            <w:tcW w:w="7980" w:type="dxa"/>
            <w:vAlign w:val="bottom"/>
            <w:shd w:val="clear" w:color="auto" w:fill="CCEEFF"/>
          </w:tcPr>
          <w:p>
            <w:pPr>
              <w:ind w:left="440"/>
              <w:spacing w:after="0" w:line="122" w:lineRule="exact"/>
              <w:rPr>
                <w:sz w:val="20"/>
                <w:szCs w:val="20"/>
                <w:color w:val="auto"/>
              </w:rPr>
            </w:pPr>
            <w:r>
              <w:rPr>
                <w:rFonts w:ascii="Arial" w:cs="Arial" w:eastAsia="Arial" w:hAnsi="Arial"/>
                <w:sz w:val="11"/>
                <w:szCs w:val="11"/>
                <w:color w:val="auto"/>
              </w:rPr>
              <w:t>Total current assets</w:t>
            </w: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156,383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158,595</w:t>
            </w:r>
          </w:p>
        </w:tc>
      </w:tr>
      <w:tr>
        <w:trPr>
          <w:trHeight w:val="142"/>
        </w:trPr>
        <w:tc>
          <w:tcPr>
            <w:tcW w:w="7980" w:type="dxa"/>
            <w:vAlign w:val="bottom"/>
          </w:tcPr>
          <w:p>
            <w:pPr>
              <w:ind w:left="20"/>
              <w:spacing w:after="0"/>
              <w:rPr>
                <w:sz w:val="20"/>
                <w:szCs w:val="20"/>
                <w:color w:val="auto"/>
              </w:rPr>
            </w:pPr>
            <w:r>
              <w:rPr>
                <w:rFonts w:ascii="Arial" w:cs="Arial" w:eastAsia="Arial" w:hAnsi="Arial"/>
                <w:sz w:val="11"/>
                <w:szCs w:val="11"/>
                <w:color w:val="auto"/>
              </w:rPr>
              <w:t>Investment securities—noncurrent</w:t>
            </w: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49,909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61,076</w:t>
            </w:r>
          </w:p>
        </w:tc>
      </w:tr>
      <w:tr>
        <w:trPr>
          <w:trHeight w:val="146"/>
        </w:trPr>
        <w:tc>
          <w:tcPr>
            <w:tcW w:w="7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Property and equipment, net</w:t>
            </w:r>
          </w:p>
        </w:tc>
        <w:tc>
          <w:tcPr>
            <w:tcW w:w="1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28,270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30,479</w:t>
            </w:r>
          </w:p>
        </w:tc>
      </w:tr>
      <w:tr>
        <w:trPr>
          <w:trHeight w:val="142"/>
        </w:trPr>
        <w:tc>
          <w:tcPr>
            <w:tcW w:w="7980" w:type="dxa"/>
            <w:vAlign w:val="bottom"/>
          </w:tcPr>
          <w:p>
            <w:pPr>
              <w:ind w:left="20"/>
              <w:spacing w:after="0"/>
              <w:rPr>
                <w:sz w:val="20"/>
                <w:szCs w:val="20"/>
                <w:color w:val="auto"/>
              </w:rPr>
            </w:pPr>
            <w:r>
              <w:rPr>
                <w:rFonts w:ascii="Arial" w:cs="Arial" w:eastAsia="Arial" w:hAnsi="Arial"/>
                <w:sz w:val="11"/>
                <w:szCs w:val="11"/>
                <w:color w:val="auto"/>
              </w:rPr>
              <w:t>Operating lease right-of-use assets</w:t>
            </w: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29,228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41,710</w:t>
            </w:r>
          </w:p>
        </w:tc>
      </w:tr>
      <w:tr>
        <w:trPr>
          <w:trHeight w:val="146"/>
        </w:trPr>
        <w:tc>
          <w:tcPr>
            <w:tcW w:w="7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Capitalized software development costs, net</w:t>
            </w:r>
          </w:p>
        </w:tc>
        <w:tc>
          <w:tcPr>
            <w:tcW w:w="1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37,496</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41,212</w:t>
            </w:r>
          </w:p>
        </w:tc>
      </w:tr>
      <w:tr>
        <w:trPr>
          <w:trHeight w:val="142"/>
        </w:trPr>
        <w:tc>
          <w:tcPr>
            <w:tcW w:w="7980" w:type="dxa"/>
            <w:vAlign w:val="bottom"/>
          </w:tcPr>
          <w:p>
            <w:pPr>
              <w:ind w:left="20"/>
              <w:spacing w:after="0"/>
              <w:rPr>
                <w:sz w:val="20"/>
                <w:szCs w:val="20"/>
                <w:color w:val="auto"/>
              </w:rPr>
            </w:pPr>
            <w:r>
              <w:rPr>
                <w:rFonts w:ascii="Arial" w:cs="Arial" w:eastAsia="Arial" w:hAnsi="Arial"/>
                <w:sz w:val="11"/>
                <w:szCs w:val="11"/>
                <w:color w:val="auto"/>
              </w:rPr>
              <w:t>Goodwill</w:t>
            </w: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56,147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56,147</w:t>
            </w:r>
          </w:p>
        </w:tc>
      </w:tr>
      <w:tr>
        <w:trPr>
          <w:trHeight w:val="146"/>
        </w:trPr>
        <w:tc>
          <w:tcPr>
            <w:tcW w:w="7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Intangible assets, net</w:t>
            </w:r>
          </w:p>
        </w:tc>
        <w:tc>
          <w:tcPr>
            <w:tcW w:w="1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9,408</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11,711</w:t>
            </w:r>
          </w:p>
        </w:tc>
      </w:tr>
      <w:tr>
        <w:trPr>
          <w:trHeight w:val="14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long-term assets</w:t>
            </w:r>
          </w:p>
        </w:tc>
        <w:tc>
          <w:tcPr>
            <w:tcW w:w="1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8,587</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7,087</w:t>
            </w:r>
          </w:p>
        </w:tc>
      </w:tr>
      <w:tr>
        <w:trPr>
          <w:trHeight w:val="153"/>
        </w:trPr>
        <w:tc>
          <w:tcPr>
            <w:tcW w:w="7980" w:type="dxa"/>
            <w:vAlign w:val="bottom"/>
            <w:tcBorders>
              <w:bottom w:val="single" w:sz="8" w:color="CCEEFF"/>
            </w:tcBorders>
            <w:shd w:val="clear" w:color="auto" w:fill="CCEEFF"/>
          </w:tcPr>
          <w:p>
            <w:pPr>
              <w:ind w:left="440"/>
              <w:spacing w:after="0" w:line="122" w:lineRule="exact"/>
              <w:rPr>
                <w:sz w:val="20"/>
                <w:szCs w:val="20"/>
                <w:color w:val="auto"/>
              </w:rPr>
            </w:pPr>
            <w:r>
              <w:rPr>
                <w:rFonts w:ascii="Arial" w:cs="Arial" w:eastAsia="Arial" w:hAnsi="Arial"/>
                <w:sz w:val="11"/>
                <w:szCs w:val="11"/>
                <w:color w:val="auto"/>
              </w:rPr>
              <w:t>Total assets</w:t>
            </w:r>
          </w:p>
        </w:tc>
        <w:tc>
          <w:tcPr>
            <w:tcW w:w="1100" w:type="dxa"/>
            <w:vAlign w:val="bottom"/>
            <w:tcBorders>
              <w:bottom w:val="single" w:sz="8" w:color="auto"/>
            </w:tcBorders>
            <w:shd w:val="clear" w:color="auto" w:fill="CCEEFF"/>
          </w:tcPr>
          <w:p>
            <w:pPr>
              <w:jc w:val="right"/>
              <w:ind w:right="96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375,428</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408,017</w:t>
            </w:r>
          </w:p>
        </w:tc>
      </w:tr>
      <w:tr>
        <w:trPr>
          <w:trHeight w:val="122"/>
        </w:trPr>
        <w:tc>
          <w:tcPr>
            <w:tcW w:w="79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Liabilities and Stockholders’ Equity</w:t>
            </w: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46"/>
        </w:trPr>
        <w:tc>
          <w:tcPr>
            <w:tcW w:w="7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1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42"/>
        </w:trPr>
        <w:tc>
          <w:tcPr>
            <w:tcW w:w="7980" w:type="dxa"/>
            <w:vAlign w:val="bottom"/>
          </w:tcPr>
          <w:p>
            <w:pPr>
              <w:ind w:left="220"/>
              <w:spacing w:after="0"/>
              <w:rPr>
                <w:sz w:val="20"/>
                <w:szCs w:val="20"/>
                <w:color w:val="auto"/>
              </w:rPr>
            </w:pPr>
            <w:r>
              <w:rPr>
                <w:rFonts w:ascii="Arial" w:cs="Arial" w:eastAsia="Arial" w:hAnsi="Arial"/>
                <w:sz w:val="11"/>
                <w:szCs w:val="11"/>
                <w:color w:val="auto"/>
              </w:rPr>
              <w:t>Accounts payable</w:t>
            </w:r>
          </w:p>
        </w:tc>
        <w:tc>
          <w:tcPr>
            <w:tcW w:w="1100" w:type="dxa"/>
            <w:vAlign w:val="bottom"/>
          </w:tcPr>
          <w:p>
            <w:pPr>
              <w:jc w:val="right"/>
              <w:ind w:right="96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1,338</w:t>
            </w:r>
          </w:p>
        </w:tc>
        <w:tc>
          <w:tcPr>
            <w:tcW w:w="120" w:type="dxa"/>
            <w:vAlign w:val="bottom"/>
          </w:tcPr>
          <w:p>
            <w:pPr>
              <w:spacing w:after="0"/>
              <w:rPr>
                <w:sz w:val="12"/>
                <w:szCs w:val="12"/>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1,704</w:t>
            </w:r>
          </w:p>
        </w:tc>
      </w:tr>
      <w:tr>
        <w:trPr>
          <w:trHeight w:val="146"/>
        </w:trPr>
        <w:tc>
          <w:tcPr>
            <w:tcW w:w="79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Accrued employee expenses—current</w:t>
            </w:r>
          </w:p>
        </w:tc>
        <w:tc>
          <w:tcPr>
            <w:tcW w:w="1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26,757</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30,065</w:t>
            </w:r>
          </w:p>
        </w:tc>
      </w:tr>
      <w:tr>
        <w:trPr>
          <w:trHeight w:val="142"/>
        </w:trPr>
        <w:tc>
          <w:tcPr>
            <w:tcW w:w="7980" w:type="dxa"/>
            <w:vAlign w:val="bottom"/>
          </w:tcPr>
          <w:p>
            <w:pPr>
              <w:ind w:left="220"/>
              <w:spacing w:after="0"/>
              <w:rPr>
                <w:sz w:val="20"/>
                <w:szCs w:val="20"/>
                <w:color w:val="auto"/>
              </w:rPr>
            </w:pPr>
            <w:r>
              <w:rPr>
                <w:rFonts w:ascii="Arial" w:cs="Arial" w:eastAsia="Arial" w:hAnsi="Arial"/>
                <w:sz w:val="11"/>
                <w:szCs w:val="11"/>
                <w:color w:val="auto"/>
              </w:rPr>
              <w:t>Accrued expenses</w:t>
            </w: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15,807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13,284</w:t>
            </w:r>
          </w:p>
        </w:tc>
      </w:tr>
      <w:tr>
        <w:trPr>
          <w:trHeight w:val="146"/>
        </w:trPr>
        <w:tc>
          <w:tcPr>
            <w:tcW w:w="79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Deferred revenue</w:t>
            </w:r>
          </w:p>
        </w:tc>
        <w:tc>
          <w:tcPr>
            <w:tcW w:w="1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3,075</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2,512</w:t>
            </w:r>
          </w:p>
        </w:tc>
      </w:tr>
      <w:tr>
        <w:trPr>
          <w:trHeight w:val="142"/>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Other current liabilities</w:t>
            </w:r>
          </w:p>
        </w:tc>
        <w:tc>
          <w:tcPr>
            <w:tcW w:w="1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7,742</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5,077</w:t>
            </w:r>
          </w:p>
        </w:tc>
      </w:tr>
      <w:tr>
        <w:trPr>
          <w:trHeight w:val="135"/>
        </w:trPr>
        <w:tc>
          <w:tcPr>
            <w:tcW w:w="7980" w:type="dxa"/>
            <w:vAlign w:val="bottom"/>
            <w:shd w:val="clear" w:color="auto" w:fill="CCEEFF"/>
          </w:tcPr>
          <w:p>
            <w:pPr>
              <w:ind w:left="440"/>
              <w:spacing w:after="0" w:line="122" w:lineRule="exact"/>
              <w:rPr>
                <w:sz w:val="20"/>
                <w:szCs w:val="20"/>
                <w:color w:val="auto"/>
              </w:rPr>
            </w:pPr>
            <w:r>
              <w:rPr>
                <w:rFonts w:ascii="Arial" w:cs="Arial" w:eastAsia="Arial" w:hAnsi="Arial"/>
                <w:sz w:val="11"/>
                <w:szCs w:val="11"/>
                <w:color w:val="auto"/>
              </w:rPr>
              <w:t>Total current liabilities</w:t>
            </w: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54,719</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52,642</w:t>
            </w:r>
          </w:p>
        </w:tc>
      </w:tr>
      <w:tr>
        <w:trPr>
          <w:trHeight w:val="142"/>
        </w:trPr>
        <w:tc>
          <w:tcPr>
            <w:tcW w:w="7980" w:type="dxa"/>
            <w:vAlign w:val="bottom"/>
          </w:tcPr>
          <w:p>
            <w:pPr>
              <w:ind w:left="20"/>
              <w:spacing w:after="0"/>
              <w:rPr>
                <w:sz w:val="20"/>
                <w:szCs w:val="20"/>
                <w:color w:val="auto"/>
              </w:rPr>
            </w:pPr>
            <w:r>
              <w:rPr>
                <w:rFonts w:ascii="Arial" w:cs="Arial" w:eastAsia="Arial" w:hAnsi="Arial"/>
                <w:sz w:val="11"/>
                <w:szCs w:val="11"/>
                <w:color w:val="auto"/>
              </w:rPr>
              <w:t>Operating lease liabilities</w:t>
            </w: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54,044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55,733</w:t>
            </w:r>
          </w:p>
        </w:tc>
      </w:tr>
      <w:tr>
        <w:trPr>
          <w:trHeight w:val="146"/>
        </w:trPr>
        <w:tc>
          <w:tcPr>
            <w:tcW w:w="7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liabilities</w:t>
            </w:r>
          </w:p>
        </w:tc>
        <w:tc>
          <w:tcPr>
            <w:tcW w:w="1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1,674</w:t>
            </w:r>
          </w:p>
        </w:tc>
        <w:tc>
          <w:tcPr>
            <w:tcW w:w="1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2,261</w:t>
            </w:r>
          </w:p>
        </w:tc>
      </w:tr>
      <w:tr>
        <w:trPr>
          <w:trHeight w:val="131"/>
        </w:trPr>
        <w:tc>
          <w:tcPr>
            <w:tcW w:w="7980" w:type="dxa"/>
            <w:vAlign w:val="bottom"/>
            <w:tcBorders>
              <w:bottom w:val="single" w:sz="8" w:color="CCEEFF"/>
            </w:tcBorders>
          </w:tcPr>
          <w:p>
            <w:pPr>
              <w:ind w:left="440"/>
              <w:spacing w:after="0" w:line="120" w:lineRule="exact"/>
              <w:rPr>
                <w:sz w:val="20"/>
                <w:szCs w:val="20"/>
                <w:color w:val="auto"/>
              </w:rPr>
            </w:pPr>
            <w:r>
              <w:rPr>
                <w:rFonts w:ascii="Arial" w:cs="Arial" w:eastAsia="Arial" w:hAnsi="Arial"/>
                <w:sz w:val="11"/>
                <w:szCs w:val="11"/>
                <w:color w:val="auto"/>
              </w:rPr>
              <w:t>Total liabilities</w:t>
            </w:r>
          </w:p>
        </w:tc>
        <w:tc>
          <w:tcPr>
            <w:tcW w:w="1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110,437</w:t>
            </w: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110,636</w:t>
            </w:r>
          </w:p>
        </w:tc>
      </w:tr>
      <w:tr>
        <w:trPr>
          <w:trHeight w:val="126"/>
        </w:trPr>
        <w:tc>
          <w:tcPr>
            <w:tcW w:w="79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Commitments and contingencies (Note 7)</w:t>
            </w:r>
          </w:p>
        </w:tc>
        <w:tc>
          <w:tcPr>
            <w:tcW w:w="1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142"/>
        </w:trPr>
        <w:tc>
          <w:tcPr>
            <w:tcW w:w="7980" w:type="dxa"/>
            <w:vAlign w:val="bottom"/>
          </w:tcPr>
          <w:p>
            <w:pPr>
              <w:ind w:left="20"/>
              <w:spacing w:after="0"/>
              <w:rPr>
                <w:sz w:val="20"/>
                <w:szCs w:val="20"/>
                <w:color w:val="auto"/>
              </w:rPr>
            </w:pPr>
            <w:r>
              <w:rPr>
                <w:rFonts w:ascii="Arial" w:cs="Arial" w:eastAsia="Arial" w:hAnsi="Arial"/>
                <w:sz w:val="11"/>
                <w:szCs w:val="11"/>
                <w:color w:val="auto"/>
              </w:rPr>
              <w:t>Stockholders’ equity:</w:t>
            </w: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6"/>
        </w:trPr>
        <w:tc>
          <w:tcPr>
            <w:tcW w:w="7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Class A common stock</w:t>
            </w:r>
          </w:p>
        </w:tc>
        <w:tc>
          <w:tcPr>
            <w:tcW w:w="1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42"/>
        </w:trPr>
        <w:tc>
          <w:tcPr>
            <w:tcW w:w="7980" w:type="dxa"/>
            <w:vAlign w:val="bottom"/>
          </w:tcPr>
          <w:p>
            <w:pPr>
              <w:ind w:left="20"/>
              <w:spacing w:after="0"/>
              <w:rPr>
                <w:sz w:val="20"/>
                <w:szCs w:val="20"/>
                <w:color w:val="auto"/>
              </w:rPr>
            </w:pPr>
            <w:r>
              <w:rPr>
                <w:rFonts w:ascii="Arial" w:cs="Arial" w:eastAsia="Arial" w:hAnsi="Arial"/>
                <w:sz w:val="11"/>
                <w:szCs w:val="11"/>
                <w:color w:val="auto"/>
              </w:rPr>
              <w:t>Class B common stock</w:t>
            </w: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46"/>
        </w:trPr>
        <w:tc>
          <w:tcPr>
            <w:tcW w:w="7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Additional paid-in capital</w:t>
            </w:r>
          </w:p>
        </w:tc>
        <w:tc>
          <w:tcPr>
            <w:tcW w:w="1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185,542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171,930</w:t>
            </w:r>
          </w:p>
        </w:tc>
      </w:tr>
      <w:tr>
        <w:trPr>
          <w:trHeight w:val="142"/>
        </w:trPr>
        <w:tc>
          <w:tcPr>
            <w:tcW w:w="7980" w:type="dxa"/>
            <w:vAlign w:val="bottom"/>
          </w:tcPr>
          <w:p>
            <w:pPr>
              <w:ind w:left="20"/>
              <w:spacing w:after="0"/>
              <w:rPr>
                <w:sz w:val="20"/>
                <w:szCs w:val="20"/>
                <w:color w:val="auto"/>
              </w:rPr>
            </w:pPr>
            <w:r>
              <w:rPr>
                <w:rFonts w:ascii="Arial" w:cs="Arial" w:eastAsia="Arial" w:hAnsi="Arial"/>
                <w:sz w:val="11"/>
                <w:szCs w:val="11"/>
                <w:color w:val="auto"/>
              </w:rPr>
              <w:t>Accumulated other comprehensive loss</w:t>
            </w: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(1,939)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(194)</w:t>
            </w:r>
          </w:p>
        </w:tc>
      </w:tr>
      <w:tr>
        <w:trPr>
          <w:trHeight w:val="146"/>
        </w:trPr>
        <w:tc>
          <w:tcPr>
            <w:tcW w:w="7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Treasury stock</w:t>
            </w:r>
          </w:p>
        </w:tc>
        <w:tc>
          <w:tcPr>
            <w:tcW w:w="1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(25,756)</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(25,756)</w:t>
            </w:r>
          </w:p>
        </w:tc>
      </w:tr>
      <w:tr>
        <w:trPr>
          <w:trHeight w:val="14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Retained earnings</w:t>
            </w:r>
          </w:p>
        </w:tc>
        <w:tc>
          <w:tcPr>
            <w:tcW w:w="1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107,140</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151,397</w:t>
            </w:r>
          </w:p>
        </w:tc>
      </w:tr>
      <w:tr>
        <w:trPr>
          <w:trHeight w:val="135"/>
        </w:trPr>
        <w:tc>
          <w:tcPr>
            <w:tcW w:w="7980" w:type="dxa"/>
            <w:vAlign w:val="bottom"/>
            <w:shd w:val="clear" w:color="auto" w:fill="CCEEFF"/>
          </w:tcPr>
          <w:p>
            <w:pPr>
              <w:ind w:left="440"/>
              <w:spacing w:after="0" w:line="122" w:lineRule="exact"/>
              <w:rPr>
                <w:sz w:val="20"/>
                <w:szCs w:val="20"/>
                <w:color w:val="auto"/>
              </w:rPr>
            </w:pPr>
            <w:r>
              <w:rPr>
                <w:rFonts w:ascii="Arial" w:cs="Arial" w:eastAsia="Arial" w:hAnsi="Arial"/>
                <w:sz w:val="11"/>
                <w:szCs w:val="11"/>
                <w:color w:val="auto"/>
              </w:rPr>
              <w:t>Total stockholders’ equity</w:t>
            </w:r>
          </w:p>
        </w:tc>
        <w:tc>
          <w:tcPr>
            <w:tcW w:w="1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264,991</w:t>
            </w:r>
          </w:p>
        </w:tc>
        <w:tc>
          <w:tcPr>
            <w:tcW w:w="1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297,381</w:t>
            </w:r>
          </w:p>
        </w:tc>
      </w:tr>
      <w:tr>
        <w:trPr>
          <w:trHeight w:val="131"/>
        </w:trPr>
        <w:tc>
          <w:tcPr>
            <w:tcW w:w="7980" w:type="dxa"/>
            <w:vAlign w:val="bottom"/>
          </w:tcPr>
          <w:p>
            <w:pPr>
              <w:ind w:left="440"/>
              <w:spacing w:after="0" w:line="120" w:lineRule="exact"/>
              <w:rPr>
                <w:sz w:val="20"/>
                <w:szCs w:val="20"/>
                <w:color w:val="auto"/>
              </w:rPr>
            </w:pPr>
            <w:r>
              <w:rPr>
                <w:rFonts w:ascii="Arial" w:cs="Arial" w:eastAsia="Arial" w:hAnsi="Arial"/>
                <w:sz w:val="11"/>
                <w:szCs w:val="11"/>
                <w:color w:val="auto"/>
              </w:rPr>
              <w:t>Total liabilities and stockholders’ equity</w:t>
            </w:r>
          </w:p>
        </w:tc>
        <w:tc>
          <w:tcPr>
            <w:tcW w:w="1100" w:type="dxa"/>
            <w:vAlign w:val="bottom"/>
            <w:tcBorders>
              <w:bottom w:val="single" w:sz="8" w:color="auto"/>
            </w:tcBorders>
          </w:tcPr>
          <w:p>
            <w:pPr>
              <w:jc w:val="right"/>
              <w:ind w:right="96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375,428</w:t>
            </w:r>
          </w:p>
        </w:tc>
        <w:tc>
          <w:tcPr>
            <w:tcW w:w="120" w:type="dxa"/>
            <w:vAlign w:val="bottom"/>
          </w:tcPr>
          <w:p>
            <w:pPr>
              <w:spacing w:after="0"/>
              <w:rPr>
                <w:sz w:val="11"/>
                <w:szCs w:val="11"/>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408,017</w:t>
            </w:r>
          </w:p>
        </w:tc>
      </w:tr>
      <w:tr>
        <w:trPr>
          <w:trHeight w:val="20"/>
        </w:trPr>
        <w:tc>
          <w:tcPr>
            <w:tcW w:w="7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to Condensed Consolidated Financial Statements are an integral part of these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APPFOLIO,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5"/>
          </w:tcPr>
          <w:p>
            <w:pPr>
              <w:jc w:val="center"/>
              <w:ind w:left="303"/>
              <w:spacing w:after="0"/>
              <w:rPr>
                <w:sz w:val="20"/>
                <w:szCs w:val="20"/>
                <w:color w:val="auto"/>
              </w:rPr>
            </w:pPr>
            <w:r>
              <w:rPr>
                <w:rFonts w:ascii="Arial" w:cs="Arial" w:eastAsia="Arial" w:hAnsi="Arial"/>
                <w:sz w:val="10"/>
                <w:szCs w:val="10"/>
                <w:b w:val="1"/>
                <w:bCs w:val="1"/>
                <w:color w:val="auto"/>
                <w:w w:val="86"/>
              </w:rPr>
              <w:t>Three Months Ended</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4"/>
          </w:tcPr>
          <w:p>
            <w:pPr>
              <w:jc w:val="right"/>
              <w:ind w:right="32"/>
              <w:spacing w:after="0"/>
              <w:rPr>
                <w:sz w:val="20"/>
                <w:szCs w:val="20"/>
                <w:color w:val="auto"/>
              </w:rPr>
            </w:pPr>
            <w:r>
              <w:rPr>
                <w:rFonts w:ascii="Arial" w:cs="Arial" w:eastAsia="Arial" w:hAnsi="Arial"/>
                <w:sz w:val="10"/>
                <w:szCs w:val="10"/>
                <w:b w:val="1"/>
                <w:bCs w:val="1"/>
                <w:color w:val="auto"/>
              </w:rPr>
              <w:t>Six Months Ended</w:t>
            </w:r>
          </w:p>
        </w:tc>
        <w:tc>
          <w:tcPr>
            <w:tcW w:w="760" w:type="dxa"/>
            <w:vAlign w:val="bottom"/>
          </w:tcPr>
          <w:p>
            <w:pPr>
              <w:spacing w:after="0"/>
              <w:rPr>
                <w:sz w:val="10"/>
                <w:szCs w:val="10"/>
                <w:color w:val="auto"/>
              </w:rPr>
            </w:pPr>
          </w:p>
        </w:tc>
      </w:tr>
      <w:tr>
        <w:trPr>
          <w:trHeight w:val="125"/>
        </w:trPr>
        <w:tc>
          <w:tcPr>
            <w:tcW w:w="58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4"/>
          </w:tcPr>
          <w:p>
            <w:pPr>
              <w:jc w:val="center"/>
              <w:ind w:left="663"/>
              <w:spacing w:after="0"/>
              <w:rPr>
                <w:sz w:val="20"/>
                <w:szCs w:val="20"/>
                <w:color w:val="auto"/>
              </w:rPr>
            </w:pPr>
            <w:r>
              <w:rPr>
                <w:rFonts w:ascii="Arial" w:cs="Arial" w:eastAsia="Arial" w:hAnsi="Arial"/>
                <w:sz w:val="10"/>
                <w:szCs w:val="10"/>
                <w:b w:val="1"/>
                <w:bCs w:val="1"/>
                <w:color w:val="auto"/>
                <w:w w:val="84"/>
              </w:rPr>
              <w:t>June 30,</w:t>
            </w: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10"/>
                <w:szCs w:val="10"/>
                <w:color w:val="auto"/>
              </w:rPr>
            </w:pPr>
          </w:p>
        </w:tc>
      </w:tr>
      <w:tr>
        <w:trPr>
          <w:trHeight w:val="115"/>
        </w:trPr>
        <w:tc>
          <w:tcPr>
            <w:tcW w:w="58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w w:val="80"/>
              </w:rPr>
              <w:t>2021</w:t>
            </w:r>
          </w:p>
        </w:tc>
        <w:tc>
          <w:tcPr>
            <w:tcW w:w="12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2021</w:t>
            </w:r>
          </w:p>
        </w:tc>
      </w:tr>
      <w:tr>
        <w:trPr>
          <w:trHeight w:val="14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117,450</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89,040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222,746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167,961</w:t>
            </w:r>
          </w:p>
        </w:tc>
      </w:tr>
      <w:tr>
        <w:trPr>
          <w:trHeight w:val="153"/>
        </w:trPr>
        <w:tc>
          <w:tcPr>
            <w:tcW w:w="5840" w:type="dxa"/>
            <w:vAlign w:val="bottom"/>
          </w:tcPr>
          <w:p>
            <w:pPr>
              <w:spacing w:after="0"/>
              <w:rPr>
                <w:sz w:val="20"/>
                <w:szCs w:val="20"/>
                <w:color w:val="auto"/>
              </w:rPr>
            </w:pPr>
            <w:r>
              <w:rPr>
                <w:rFonts w:ascii="Arial" w:cs="Arial" w:eastAsia="Arial" w:hAnsi="Arial"/>
                <w:sz w:val="12"/>
                <w:szCs w:val="12"/>
                <w:color w:val="auto"/>
              </w:rPr>
              <w:t>Costs and operating expenses: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5840" w:type="dxa"/>
            <w:vAlign w:val="bottom"/>
            <w:shd w:val="clear" w:color="auto" w:fill="CCEEFF"/>
          </w:tcPr>
          <w:p>
            <w:pPr>
              <w:ind w:left="220"/>
              <w:spacing w:after="0" w:line="153" w:lineRule="exact"/>
              <w:rPr>
                <w:sz w:val="20"/>
                <w:szCs w:val="20"/>
                <w:color w:val="auto"/>
              </w:rPr>
            </w:pPr>
            <w:r>
              <w:rPr>
                <w:rFonts w:ascii="Arial" w:cs="Arial" w:eastAsia="Arial" w:hAnsi="Arial"/>
                <w:sz w:val="12"/>
                <w:szCs w:val="12"/>
                <w:color w:val="auto"/>
              </w:rPr>
              <w:t>Cost of revenue (exclusive of depreciation and amortization)</w:t>
            </w:r>
            <w:r>
              <w:rPr>
                <w:rFonts w:ascii="Arial" w:cs="Arial" w:eastAsia="Arial" w:hAnsi="Arial"/>
                <w:sz w:val="15"/>
                <w:szCs w:val="15"/>
                <w:color w:val="auto"/>
                <w:vertAlign w:val="superscript"/>
              </w:rPr>
              <w:t>(1)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47,430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32,819</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90,777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66,117</w:t>
            </w:r>
          </w:p>
        </w:tc>
      </w:tr>
      <w:tr>
        <w:trPr>
          <w:trHeight w:val="153"/>
        </w:trPr>
        <w:tc>
          <w:tcPr>
            <w:tcW w:w="5840" w:type="dxa"/>
            <w:vAlign w:val="bottom"/>
          </w:tcPr>
          <w:p>
            <w:pPr>
              <w:ind w:left="220"/>
              <w:spacing w:after="0" w:line="153"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5"/>
                <w:szCs w:val="15"/>
                <w:color w:val="auto"/>
                <w:vertAlign w:val="superscript"/>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26,995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17,714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51,914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33,893</w:t>
            </w:r>
          </w:p>
        </w:tc>
      </w:tr>
      <w:tr>
        <w:trPr>
          <w:trHeight w:val="153"/>
        </w:trPr>
        <w:tc>
          <w:tcPr>
            <w:tcW w:w="5840" w:type="dxa"/>
            <w:vAlign w:val="bottom"/>
            <w:shd w:val="clear" w:color="auto" w:fill="CCEEFF"/>
          </w:tcPr>
          <w:p>
            <w:pPr>
              <w:ind w:left="220"/>
              <w:spacing w:after="0" w:line="153" w:lineRule="exact"/>
              <w:rPr>
                <w:sz w:val="20"/>
                <w:szCs w:val="20"/>
                <w:color w:val="auto"/>
              </w:rPr>
            </w:pPr>
            <w:r>
              <w:rPr>
                <w:rFonts w:ascii="Arial" w:cs="Arial" w:eastAsia="Arial" w:hAnsi="Arial"/>
                <w:sz w:val="12"/>
                <w:szCs w:val="12"/>
                <w:color w:val="auto"/>
              </w:rPr>
              <w:t>Research and product development</w:t>
            </w:r>
            <w:r>
              <w:rPr>
                <w:rFonts w:ascii="Arial" w:cs="Arial" w:eastAsia="Arial" w:hAnsi="Arial"/>
                <w:sz w:val="15"/>
                <w:szCs w:val="15"/>
                <w:color w:val="auto"/>
                <w:vertAlign w:val="superscript"/>
              </w:rPr>
              <w:t>(1)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26,687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15,506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51,007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29,889</w:t>
            </w:r>
          </w:p>
        </w:tc>
      </w:tr>
      <w:tr>
        <w:trPr>
          <w:trHeight w:val="153"/>
        </w:trPr>
        <w:tc>
          <w:tcPr>
            <w:tcW w:w="5840" w:type="dxa"/>
            <w:vAlign w:val="bottom"/>
          </w:tcPr>
          <w:p>
            <w:pPr>
              <w:ind w:left="220"/>
              <w:spacing w:after="0" w:line="153" w:lineRule="exact"/>
              <w:rPr>
                <w:sz w:val="20"/>
                <w:szCs w:val="20"/>
                <w:color w:val="auto"/>
              </w:rPr>
            </w:pPr>
            <w:r>
              <w:rPr>
                <w:rFonts w:ascii="Arial" w:cs="Arial" w:eastAsia="Arial" w:hAnsi="Arial"/>
                <w:sz w:val="12"/>
                <w:szCs w:val="12"/>
                <w:color w:val="auto"/>
              </w:rPr>
              <w:t>General and administrative</w:t>
            </w:r>
            <w:r>
              <w:rPr>
                <w:rFonts w:ascii="Arial" w:cs="Arial" w:eastAsia="Arial" w:hAnsi="Arial"/>
                <w:sz w:val="15"/>
                <w:szCs w:val="15"/>
                <w:color w:val="auto"/>
                <w:vertAlign w:val="superscript"/>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37,947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14,206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56,911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27,567</w:t>
            </w:r>
          </w:p>
        </w:tc>
      </w:tr>
      <w:tr>
        <w:trPr>
          <w:trHeight w:val="153"/>
        </w:trPr>
        <w:tc>
          <w:tcPr>
            <w:tcW w:w="5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Depreciation and amortization</w:t>
            </w: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8,321</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7,649</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16,736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15,018</w:t>
            </w:r>
          </w:p>
        </w:tc>
      </w:tr>
      <w:tr>
        <w:trPr>
          <w:trHeight w:val="142"/>
        </w:trPr>
        <w:tc>
          <w:tcPr>
            <w:tcW w:w="58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costs and operating expenses</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147,380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87,894</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267,345</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172,484</w:t>
            </w:r>
          </w:p>
        </w:tc>
      </w:tr>
      <w:tr>
        <w:trPr>
          <w:trHeight w:val="142"/>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(Loss) income from operations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(29,930)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1,146</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(44,599)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(4,523)</w:t>
            </w:r>
          </w:p>
        </w:tc>
      </w:tr>
      <w:tr>
        <w:trPr>
          <w:trHeight w:val="153"/>
        </w:trPr>
        <w:tc>
          <w:tcPr>
            <w:tcW w:w="5840" w:type="dxa"/>
            <w:vAlign w:val="bottom"/>
          </w:tcPr>
          <w:p>
            <w:pPr>
              <w:spacing w:after="0"/>
              <w:rPr>
                <w:sz w:val="20"/>
                <w:szCs w:val="20"/>
                <w:color w:val="auto"/>
              </w:rPr>
            </w:pPr>
            <w:r>
              <w:rPr>
                <w:rFonts w:ascii="Arial" w:cs="Arial" w:eastAsia="Arial" w:hAnsi="Arial"/>
                <w:sz w:val="12"/>
                <w:szCs w:val="12"/>
                <w:color w:val="auto"/>
              </w:rPr>
              <w:t>Other income, net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496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1,058</w:t>
            </w:r>
          </w:p>
        </w:tc>
      </w:tr>
      <w:tr>
        <w:trPr>
          <w:trHeight w:val="15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108</w:t>
            </w:r>
          </w:p>
        </w:tc>
      </w:tr>
      <w:tr>
        <w:trPr>
          <w:trHeight w:val="142"/>
        </w:trPr>
        <w:tc>
          <w:tcPr>
            <w:tcW w:w="5840" w:type="dxa"/>
            <w:vAlign w:val="bottom"/>
          </w:tcPr>
          <w:p>
            <w:pPr>
              <w:spacing w:after="0"/>
              <w:rPr>
                <w:sz w:val="20"/>
                <w:szCs w:val="20"/>
                <w:color w:val="auto"/>
              </w:rPr>
            </w:pPr>
            <w:r>
              <w:rPr>
                <w:rFonts w:ascii="Arial" w:cs="Arial" w:eastAsia="Arial" w:hAnsi="Arial"/>
                <w:sz w:val="12"/>
                <w:szCs w:val="12"/>
                <w:color w:val="auto"/>
              </w:rPr>
              <w:t>(Loss) income before provision for (benefit from) income taxes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(29,734)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1,697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(44,306)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(3,357)</w:t>
            </w:r>
          </w:p>
        </w:tc>
      </w:tr>
      <w:tr>
        <w:trPr>
          <w:trHeight w:val="15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Provision for (benefit from) income taxes</w:t>
            </w: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(5,857)</w:t>
            </w:r>
          </w:p>
        </w:tc>
      </w:tr>
      <w:tr>
        <w:trPr>
          <w:trHeight w:val="158"/>
        </w:trPr>
        <w:tc>
          <w:tcPr>
            <w:tcW w:w="5840" w:type="dxa"/>
            <w:vAlign w:val="bottom"/>
          </w:tcPr>
          <w:p>
            <w:pPr>
              <w:spacing w:after="0"/>
              <w:rPr>
                <w:sz w:val="20"/>
                <w:szCs w:val="20"/>
                <w:color w:val="auto"/>
              </w:rPr>
            </w:pPr>
            <w:r>
              <w:rPr>
                <w:rFonts w:ascii="Arial" w:cs="Arial" w:eastAsia="Arial" w:hAnsi="Arial"/>
                <w:sz w:val="12"/>
                <w:szCs w:val="12"/>
                <w:color w:val="auto"/>
              </w:rPr>
              <w:t>Net (loss)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(29,970)</w:t>
            </w:r>
          </w:p>
        </w:tc>
        <w:tc>
          <w:tcPr>
            <w:tcW w:w="80" w:type="dxa"/>
            <w:vAlign w:val="bottom"/>
          </w:tcPr>
          <w:p>
            <w:pPr>
              <w:spacing w:after="0"/>
              <w:rPr>
                <w:sz w:val="13"/>
                <w:szCs w:val="13"/>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2"/>
                <w:szCs w:val="12"/>
                <w:color w:val="auto"/>
                <w:w w:val="89"/>
              </w:rPr>
              <w:t>$</w:t>
            </w: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2,021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(44,257)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2,500</w:t>
            </w:r>
          </w:p>
        </w:tc>
      </w:tr>
      <w:tr>
        <w:trPr>
          <w:trHeight w:val="162"/>
        </w:trPr>
        <w:tc>
          <w:tcPr>
            <w:tcW w:w="58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153"/>
        </w:trPr>
        <w:tc>
          <w:tcPr>
            <w:tcW w:w="5840" w:type="dxa"/>
            <w:vAlign w:val="bottom"/>
          </w:tcPr>
          <w:p>
            <w:pPr>
              <w:spacing w:after="0"/>
              <w:rPr>
                <w:sz w:val="20"/>
                <w:szCs w:val="20"/>
                <w:color w:val="auto"/>
              </w:rPr>
            </w:pPr>
            <w:r>
              <w:rPr>
                <w:rFonts w:ascii="Arial" w:cs="Arial" w:eastAsia="Arial" w:hAnsi="Arial"/>
                <w:sz w:val="12"/>
                <w:szCs w:val="12"/>
                <w:color w:val="auto"/>
              </w:rPr>
              <w:t>Net (loss) income per common share:</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5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(0.86)</w:t>
            </w: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0.07</w:t>
            </w:r>
          </w:p>
        </w:tc>
      </w:tr>
      <w:tr>
        <w:trPr>
          <w:trHeight w:val="153"/>
        </w:trPr>
        <w:tc>
          <w:tcPr>
            <w:tcW w:w="5840" w:type="dxa"/>
            <w:vAlign w:val="bottom"/>
          </w:tcPr>
          <w:p>
            <w:pPr>
              <w:ind w:left="220"/>
              <w:spacing w:after="0"/>
              <w:rPr>
                <w:sz w:val="20"/>
                <w:szCs w:val="20"/>
                <w:color w:val="auto"/>
              </w:rPr>
            </w:pPr>
            <w:r>
              <w:rPr>
                <w:rFonts w:ascii="Arial" w:cs="Arial" w:eastAsia="Arial" w:hAnsi="Arial"/>
                <w:sz w:val="12"/>
                <w:szCs w:val="12"/>
                <w:color w:val="auto"/>
              </w:rPr>
              <w:t>Diluted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(0.86)</w:t>
            </w:r>
          </w:p>
        </w:tc>
        <w:tc>
          <w:tcPr>
            <w:tcW w:w="80" w:type="dxa"/>
            <w:vAlign w:val="bottom"/>
          </w:tcPr>
          <w:p>
            <w:pPr>
              <w:spacing w:after="0"/>
              <w:rPr>
                <w:sz w:val="13"/>
                <w:szCs w:val="13"/>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2"/>
                <w:szCs w:val="12"/>
                <w:color w:val="auto"/>
                <w:w w:val="89"/>
              </w:rPr>
              <w:t>$</w:t>
            </w: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0.06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0.07</w:t>
            </w:r>
          </w:p>
        </w:tc>
      </w:tr>
      <w:tr>
        <w:trPr>
          <w:trHeight w:val="15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common shares outstanding:</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3"/>
        </w:trPr>
        <w:tc>
          <w:tcPr>
            <w:tcW w:w="5840" w:type="dxa"/>
            <w:vAlign w:val="bottom"/>
          </w:tcPr>
          <w:p>
            <w:pPr>
              <w:ind w:left="220"/>
              <w:spacing w:after="0"/>
              <w:rPr>
                <w:sz w:val="20"/>
                <w:szCs w:val="20"/>
                <w:color w:val="auto"/>
              </w:rPr>
            </w:pPr>
            <w:r>
              <w:rPr>
                <w:rFonts w:ascii="Arial" w:cs="Arial" w:eastAsia="Arial" w:hAnsi="Arial"/>
                <w:sz w:val="12"/>
                <w:szCs w:val="12"/>
                <w:color w:val="auto"/>
              </w:rPr>
              <w:t>Basic</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34,927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34,548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34,881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34,479</w:t>
            </w:r>
          </w:p>
        </w:tc>
      </w:tr>
      <w:tr>
        <w:trPr>
          <w:trHeight w:val="153"/>
        </w:trPr>
        <w:tc>
          <w:tcPr>
            <w:tcW w:w="5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Diluted</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34,927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35,674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34,881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35,697</w:t>
            </w:r>
          </w:p>
        </w:tc>
      </w:tr>
      <w:tr>
        <w:trPr>
          <w:trHeight w:val="306"/>
        </w:trPr>
        <w:tc>
          <w:tcPr>
            <w:tcW w:w="5840" w:type="dxa"/>
            <w:vAlign w:val="bottom"/>
          </w:tcPr>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 xml:space="preserve"> Includes stock-based compensation expense as follows: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26"/>
        </w:trPr>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5"/>
          </w:tcPr>
          <w:p>
            <w:pPr>
              <w:jc w:val="center"/>
              <w:ind w:left="523"/>
              <w:spacing w:after="0"/>
              <w:rPr>
                <w:sz w:val="20"/>
                <w:szCs w:val="20"/>
                <w:color w:val="auto"/>
              </w:rPr>
            </w:pPr>
            <w:r>
              <w:rPr>
                <w:rFonts w:ascii="Arial" w:cs="Arial" w:eastAsia="Arial" w:hAnsi="Arial"/>
                <w:sz w:val="10"/>
                <w:szCs w:val="10"/>
                <w:b w:val="1"/>
                <w:bCs w:val="1"/>
                <w:color w:val="auto"/>
                <w:w w:val="88"/>
              </w:rPr>
              <w:t>Three Months Ended</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4"/>
          </w:tcPr>
          <w:p>
            <w:pPr>
              <w:jc w:val="right"/>
              <w:ind w:right="52"/>
              <w:spacing w:after="0"/>
              <w:rPr>
                <w:sz w:val="20"/>
                <w:szCs w:val="20"/>
                <w:color w:val="auto"/>
              </w:rPr>
            </w:pPr>
            <w:r>
              <w:rPr>
                <w:rFonts w:ascii="Arial" w:cs="Arial" w:eastAsia="Arial" w:hAnsi="Arial"/>
                <w:sz w:val="10"/>
                <w:szCs w:val="10"/>
                <w:b w:val="1"/>
                <w:bCs w:val="1"/>
                <w:color w:val="auto"/>
              </w:rPr>
              <w:t>Six Months Ended</w:t>
            </w:r>
          </w:p>
        </w:tc>
        <w:tc>
          <w:tcPr>
            <w:tcW w:w="760" w:type="dxa"/>
            <w:vAlign w:val="bottom"/>
          </w:tcPr>
          <w:p>
            <w:pPr>
              <w:spacing w:after="0"/>
              <w:rPr>
                <w:sz w:val="10"/>
                <w:szCs w:val="10"/>
                <w:color w:val="auto"/>
              </w:rPr>
            </w:pPr>
          </w:p>
        </w:tc>
      </w:tr>
      <w:tr>
        <w:trPr>
          <w:trHeight w:val="125"/>
        </w:trPr>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5"/>
          </w:tcPr>
          <w:p>
            <w:pPr>
              <w:jc w:val="center"/>
              <w:ind w:left="543"/>
              <w:spacing w:after="0"/>
              <w:rPr>
                <w:sz w:val="20"/>
                <w:szCs w:val="20"/>
                <w:color w:val="auto"/>
              </w:rPr>
            </w:pPr>
            <w:r>
              <w:rPr>
                <w:rFonts w:ascii="Arial" w:cs="Arial" w:eastAsia="Arial" w:hAnsi="Arial"/>
                <w:sz w:val="10"/>
                <w:szCs w:val="10"/>
                <w:b w:val="1"/>
                <w:bCs w:val="1"/>
                <w:color w:val="auto"/>
                <w:w w:val="84"/>
              </w:rPr>
              <w:t>June 30,</w:t>
            </w: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10"/>
                <w:szCs w:val="10"/>
                <w:color w:val="auto"/>
              </w:rPr>
            </w:pPr>
          </w:p>
        </w:tc>
      </w:tr>
      <w:tr>
        <w:trPr>
          <w:trHeight w:val="115"/>
        </w:trPr>
        <w:tc>
          <w:tcPr>
            <w:tcW w:w="5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2021</w:t>
            </w: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2021</w:t>
            </w:r>
          </w:p>
        </w:tc>
      </w:tr>
      <w:tr>
        <w:trPr>
          <w:trHeight w:val="134"/>
        </w:trPr>
        <w:tc>
          <w:tcPr>
            <w:tcW w:w="58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Stock-based compensation expense included in costs and operating expenses:</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3"/>
        </w:trPr>
        <w:tc>
          <w:tcPr>
            <w:tcW w:w="5840" w:type="dxa"/>
            <w:vAlign w:val="bottom"/>
          </w:tcPr>
          <w:p>
            <w:pPr>
              <w:ind w:left="140"/>
              <w:spacing w:after="0"/>
              <w:rPr>
                <w:sz w:val="20"/>
                <w:szCs w:val="20"/>
                <w:color w:val="auto"/>
              </w:rPr>
            </w:pPr>
            <w:r>
              <w:rPr>
                <w:rFonts w:ascii="Arial" w:cs="Arial" w:eastAsia="Arial" w:hAnsi="Arial"/>
                <w:sz w:val="12"/>
                <w:szCs w:val="12"/>
                <w:color w:val="auto"/>
              </w:rPr>
              <w:t>Cost of revenue (exclusive of depreciation and amortization)</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spacing w:after="0"/>
              <w:rPr>
                <w:sz w:val="20"/>
                <w:szCs w:val="20"/>
                <w:color w:val="auto"/>
              </w:rPr>
            </w:pPr>
            <w:r>
              <w:rPr>
                <w:rFonts w:ascii="Arial" w:cs="Arial" w:eastAsia="Arial" w:hAnsi="Arial"/>
                <w:sz w:val="12"/>
                <w:szCs w:val="12"/>
                <w:color w:val="auto"/>
              </w:rPr>
              <w:t>726</w:t>
            </w:r>
          </w:p>
        </w:tc>
        <w:tc>
          <w:tcPr>
            <w:tcW w:w="8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463</w:t>
            </w:r>
          </w:p>
        </w:tc>
        <w:tc>
          <w:tcPr>
            <w:tcW w:w="280" w:type="dxa"/>
            <w:vAlign w:val="bottom"/>
          </w:tcPr>
          <w:p>
            <w:pPr>
              <w:spacing w:after="0"/>
              <w:rPr>
                <w:sz w:val="13"/>
                <w:szCs w:val="13"/>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1,084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934</w:t>
            </w:r>
          </w:p>
        </w:tc>
      </w:tr>
      <w:tr>
        <w:trPr>
          <w:trHeight w:val="153"/>
        </w:trPr>
        <w:tc>
          <w:tcPr>
            <w:tcW w:w="5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Sales and marketing</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2,013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447</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849</w:t>
            </w:r>
          </w:p>
        </w:tc>
      </w:tr>
      <w:tr>
        <w:trPr>
          <w:trHeight w:val="153"/>
        </w:trPr>
        <w:tc>
          <w:tcPr>
            <w:tcW w:w="5840" w:type="dxa"/>
            <w:vAlign w:val="bottom"/>
          </w:tcPr>
          <w:p>
            <w:pPr>
              <w:ind w:left="140"/>
              <w:spacing w:after="0"/>
              <w:rPr>
                <w:sz w:val="20"/>
                <w:szCs w:val="20"/>
                <w:color w:val="auto"/>
              </w:rPr>
            </w:pPr>
            <w:r>
              <w:rPr>
                <w:rFonts w:ascii="Arial" w:cs="Arial" w:eastAsia="Arial" w:hAnsi="Arial"/>
                <w:sz w:val="12"/>
                <w:szCs w:val="12"/>
                <w:color w:val="auto"/>
              </w:rPr>
              <w:t>Research and product development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color w:val="auto"/>
              </w:rPr>
              <w:t>4,024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1,214</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6,830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2,071</w:t>
            </w:r>
          </w:p>
        </w:tc>
      </w:tr>
      <w:tr>
        <w:trPr>
          <w:trHeight w:val="153"/>
        </w:trPr>
        <w:tc>
          <w:tcPr>
            <w:tcW w:w="5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General and administrative</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3,198</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1,090</w:t>
            </w:r>
          </w:p>
        </w:tc>
        <w:tc>
          <w:tcPr>
            <w:tcW w:w="28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5,992</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2,136</w:t>
            </w:r>
          </w:p>
        </w:tc>
      </w:tr>
      <w:tr>
        <w:trPr>
          <w:trHeight w:val="142"/>
        </w:trPr>
        <w:tc>
          <w:tcPr>
            <w:tcW w:w="5840" w:type="dxa"/>
            <w:vAlign w:val="bottom"/>
          </w:tcPr>
          <w:p>
            <w:pPr>
              <w:spacing w:after="0"/>
              <w:rPr>
                <w:sz w:val="20"/>
                <w:szCs w:val="20"/>
                <w:color w:val="auto"/>
              </w:rPr>
            </w:pPr>
            <w:r>
              <w:rPr>
                <w:rFonts w:ascii="Arial" w:cs="Arial" w:eastAsia="Arial" w:hAnsi="Arial"/>
                <w:sz w:val="12"/>
                <w:szCs w:val="12"/>
                <w:color w:val="auto"/>
              </w:rPr>
              <w:t>Total stock-based compensation expense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spacing w:after="0"/>
              <w:rPr>
                <w:sz w:val="20"/>
                <w:szCs w:val="20"/>
                <w:color w:val="auto"/>
              </w:rPr>
            </w:pPr>
            <w:r>
              <w:rPr>
                <w:rFonts w:ascii="Arial" w:cs="Arial" w:eastAsia="Arial" w:hAnsi="Arial"/>
                <w:sz w:val="12"/>
                <w:szCs w:val="12"/>
                <w:color w:val="auto"/>
              </w:rPr>
              <w:t>9,961</w:t>
            </w:r>
          </w:p>
        </w:tc>
        <w:tc>
          <w:tcPr>
            <w:tcW w:w="80" w:type="dxa"/>
            <w:vAlign w:val="bottom"/>
          </w:tcPr>
          <w:p>
            <w:pPr>
              <w:spacing w:after="0"/>
              <w:rPr>
                <w:sz w:val="12"/>
                <w:szCs w:val="12"/>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3,214</w:t>
            </w:r>
          </w:p>
        </w:tc>
        <w:tc>
          <w:tcPr>
            <w:tcW w:w="280" w:type="dxa"/>
            <w:vAlign w:val="bottom"/>
          </w:tcPr>
          <w:p>
            <w:pPr>
              <w:spacing w:after="0"/>
              <w:rPr>
                <w:sz w:val="12"/>
                <w:szCs w:val="12"/>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17,379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5,990</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APPFOLIO,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COMPREHENSIVE (LOSS) INCOME</w:t>
      </w:r>
    </w:p>
    <w:p>
      <w:pPr>
        <w:spacing w:after="0" w:line="42"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(UNAUDITED)</w:t>
      </w:r>
    </w:p>
    <w:p>
      <w:pPr>
        <w:spacing w:after="0" w:line="42"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gridSpan w:val="3"/>
          </w:tcPr>
          <w:p>
            <w:pPr>
              <w:jc w:val="right"/>
              <w:ind w:right="384"/>
              <w:spacing w:after="0"/>
              <w:rPr>
                <w:sz w:val="20"/>
                <w:szCs w:val="20"/>
                <w:color w:val="auto"/>
              </w:rPr>
            </w:pPr>
            <w:r>
              <w:rPr>
                <w:rFonts w:ascii="Arial" w:cs="Arial" w:eastAsia="Arial" w:hAnsi="Arial"/>
                <w:sz w:val="10"/>
                <w:szCs w:val="10"/>
                <w:b w:val="1"/>
                <w:bCs w:val="1"/>
                <w:color w:val="auto"/>
                <w:w w:val="94"/>
              </w:rPr>
              <w:t>Three Months Ended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Six Months Ended</w:t>
            </w:r>
          </w:p>
        </w:tc>
        <w:tc>
          <w:tcPr>
            <w:tcW w:w="840" w:type="dxa"/>
            <w:vAlign w:val="bottom"/>
          </w:tcPr>
          <w:p>
            <w:pPr>
              <w:spacing w:after="0"/>
              <w:rPr>
                <w:sz w:val="10"/>
                <w:szCs w:val="10"/>
                <w:color w:val="auto"/>
              </w:rPr>
            </w:pPr>
          </w:p>
        </w:tc>
      </w:tr>
      <w:tr>
        <w:trPr>
          <w:trHeight w:val="125"/>
        </w:trPr>
        <w:tc>
          <w:tcPr>
            <w:tcW w:w="59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644"/>
              <w:spacing w:after="0"/>
              <w:rPr>
                <w:sz w:val="20"/>
                <w:szCs w:val="20"/>
                <w:color w:val="auto"/>
              </w:rPr>
            </w:pPr>
            <w:r>
              <w:rPr>
                <w:rFonts w:ascii="Arial" w:cs="Arial" w:eastAsia="Arial" w:hAnsi="Arial"/>
                <w:sz w:val="10"/>
                <w:szCs w:val="10"/>
                <w:b w:val="1"/>
                <w:bCs w:val="1"/>
                <w:color w:val="auto"/>
              </w:rPr>
              <w:t>June 30,</w:t>
            </w: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rPr>
              <w:t>June 30,</w:t>
            </w:r>
          </w:p>
        </w:tc>
        <w:tc>
          <w:tcPr>
            <w:tcW w:w="840" w:type="dxa"/>
            <w:vAlign w:val="bottom"/>
            <w:tcBorders>
              <w:bottom w:val="single" w:sz="8" w:color="auto"/>
            </w:tcBorders>
          </w:tcPr>
          <w:p>
            <w:pPr>
              <w:spacing w:after="0"/>
              <w:rPr>
                <w:sz w:val="10"/>
                <w:szCs w:val="10"/>
                <w:color w:val="auto"/>
              </w:rPr>
            </w:pPr>
          </w:p>
        </w:tc>
      </w:tr>
      <w:tr>
        <w:trPr>
          <w:trHeight w:val="115"/>
        </w:trPr>
        <w:tc>
          <w:tcPr>
            <w:tcW w:w="594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2022</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2021</w:t>
            </w:r>
          </w:p>
        </w:tc>
      </w:tr>
      <w:tr>
        <w:trPr>
          <w:trHeight w:val="143"/>
        </w:trPr>
        <w:tc>
          <w:tcPr>
            <w:tcW w:w="5940" w:type="dxa"/>
            <w:vAlign w:val="bottom"/>
            <w:shd w:val="clear" w:color="auto" w:fill="CCEEFF"/>
          </w:tcPr>
          <w:p>
            <w:pPr>
              <w:spacing w:after="0"/>
              <w:rPr>
                <w:sz w:val="20"/>
                <w:szCs w:val="20"/>
                <w:color w:val="auto"/>
              </w:rPr>
            </w:pPr>
            <w:r>
              <w:rPr>
                <w:rFonts w:ascii="Arial" w:cs="Arial" w:eastAsia="Arial" w:hAnsi="Arial"/>
                <w:sz w:val="12"/>
                <w:szCs w:val="12"/>
                <w:color w:val="auto"/>
              </w:rPr>
              <w:t>Net (loss) income</w:t>
            </w:r>
          </w:p>
        </w:tc>
        <w:tc>
          <w:tcPr>
            <w:tcW w:w="800" w:type="dxa"/>
            <w:vAlign w:val="bottom"/>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(29,970)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(44,257)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2,500</w:t>
            </w:r>
          </w:p>
        </w:tc>
      </w:tr>
      <w:tr>
        <w:trPr>
          <w:trHeight w:val="153"/>
        </w:trPr>
        <w:tc>
          <w:tcPr>
            <w:tcW w:w="5940" w:type="dxa"/>
            <w:vAlign w:val="bottom"/>
          </w:tcPr>
          <w:p>
            <w:pPr>
              <w:spacing w:after="0"/>
              <w:rPr>
                <w:sz w:val="20"/>
                <w:szCs w:val="20"/>
                <w:color w:val="auto"/>
              </w:rPr>
            </w:pPr>
            <w:r>
              <w:rPr>
                <w:rFonts w:ascii="Arial" w:cs="Arial" w:eastAsia="Arial" w:hAnsi="Arial"/>
                <w:sz w:val="12"/>
                <w:szCs w:val="12"/>
                <w:color w:val="auto"/>
              </w:rPr>
              <w:t>Other comprehensive loss: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3"/>
        </w:trPr>
        <w:tc>
          <w:tcPr>
            <w:tcW w:w="59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unrealized losses on investment securities</w:t>
            </w:r>
          </w:p>
        </w:tc>
        <w:tc>
          <w:tcPr>
            <w:tcW w:w="8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(1,745)</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w:t>
            </w:r>
          </w:p>
        </w:tc>
      </w:tr>
      <w:tr>
        <w:trPr>
          <w:trHeight w:val="142"/>
        </w:trPr>
        <w:tc>
          <w:tcPr>
            <w:tcW w:w="5940" w:type="dxa"/>
            <w:vAlign w:val="bottom"/>
          </w:tcPr>
          <w:p>
            <w:pPr>
              <w:spacing w:after="0"/>
              <w:rPr>
                <w:sz w:val="20"/>
                <w:szCs w:val="20"/>
                <w:color w:val="auto"/>
              </w:rPr>
            </w:pPr>
            <w:r>
              <w:rPr>
                <w:rFonts w:ascii="Arial" w:cs="Arial" w:eastAsia="Arial" w:hAnsi="Arial"/>
                <w:sz w:val="12"/>
                <w:szCs w:val="12"/>
                <w:color w:val="auto"/>
              </w:rPr>
              <w:t>Comprehensive (loss) income</w:t>
            </w:r>
          </w:p>
        </w:tc>
        <w:tc>
          <w:tcPr>
            <w:tcW w:w="800" w:type="dxa"/>
            <w:vAlign w:val="bottom"/>
            <w:tcBorders>
              <w:bottom w:val="single" w:sz="8" w:color="auto"/>
            </w:tcBorders>
          </w:tcPr>
          <w:p>
            <w:pPr>
              <w:jc w:val="right"/>
              <w:ind w:right="664"/>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(30,370)</w:t>
            </w: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70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1,973</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(46,002)</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2,434</w:t>
            </w:r>
          </w:p>
        </w:tc>
      </w:tr>
      <w:tr>
        <w:trPr>
          <w:trHeight w:val="20"/>
        </w:trPr>
        <w:tc>
          <w:tcPr>
            <w:tcW w:w="5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7" w:name="page8"/>
    <w:bookmarkEnd w:id="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APPFOLIO,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STOCKHOLDERS' EQUITY</w:t>
      </w:r>
    </w:p>
    <w:p>
      <w:pPr>
        <w:spacing w:after="0" w:line="42"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(UNAUDITED)</w:t>
      </w:r>
    </w:p>
    <w:p>
      <w:pPr>
        <w:spacing w:after="0" w:line="42"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Accumulated</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Additional</w:t>
            </w:r>
          </w:p>
        </w:tc>
        <w:tc>
          <w:tcPr>
            <w:tcW w:w="200" w:type="dxa"/>
            <w:vAlign w:val="bottom"/>
          </w:tcPr>
          <w:p>
            <w:pPr>
              <w:spacing w:after="0"/>
              <w:rPr>
                <w:sz w:val="10"/>
                <w:szCs w:val="1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Other</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rPr>
                <w:sz w:val="10"/>
                <w:szCs w:val="10"/>
                <w:color w:val="auto"/>
              </w:rPr>
            </w:pPr>
          </w:p>
        </w:tc>
        <w:tc>
          <w:tcPr>
            <w:tcW w:w="1620" w:type="dxa"/>
            <w:vAlign w:val="bottom"/>
            <w:gridSpan w:val="5"/>
          </w:tcPr>
          <w:p>
            <w:pPr>
              <w:ind w:left="460"/>
              <w:spacing w:after="0"/>
              <w:rPr>
                <w:sz w:val="20"/>
                <w:szCs w:val="20"/>
                <w:color w:val="auto"/>
              </w:rPr>
            </w:pPr>
            <w:r>
              <w:rPr>
                <w:rFonts w:ascii="Arial" w:cs="Arial" w:eastAsia="Arial" w:hAnsi="Arial"/>
                <w:sz w:val="10"/>
                <w:szCs w:val="10"/>
                <w:b w:val="1"/>
                <w:bCs w:val="1"/>
                <w:color w:val="auto"/>
              </w:rPr>
              <w:t>Common Stock</w:t>
            </w:r>
          </w:p>
        </w:tc>
        <w:tc>
          <w:tcPr>
            <w:tcW w:w="1620" w:type="dxa"/>
            <w:vAlign w:val="bottom"/>
            <w:gridSpan w:val="5"/>
          </w:tcPr>
          <w:p>
            <w:pPr>
              <w:ind w:left="460"/>
              <w:spacing w:after="0"/>
              <w:rPr>
                <w:sz w:val="20"/>
                <w:szCs w:val="20"/>
                <w:color w:val="auto"/>
              </w:rPr>
            </w:pPr>
            <w:r>
              <w:rPr>
                <w:rFonts w:ascii="Arial" w:cs="Arial" w:eastAsia="Arial" w:hAnsi="Arial"/>
                <w:sz w:val="10"/>
                <w:szCs w:val="10"/>
                <w:b w:val="1"/>
                <w:bCs w:val="1"/>
                <w:color w:val="auto"/>
              </w:rPr>
              <w:t>Common Stock</w:t>
            </w:r>
          </w:p>
        </w:tc>
        <w:tc>
          <w:tcPr>
            <w:tcW w:w="140" w:type="dxa"/>
            <w:vAlign w:val="bottom"/>
          </w:tcPr>
          <w:p>
            <w:pPr>
              <w:spacing w:after="0"/>
              <w:rPr>
                <w:sz w:val="10"/>
                <w:szCs w:val="1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3"/>
              </w:rPr>
              <w:t>Paid-in</w:t>
            </w:r>
          </w:p>
        </w:tc>
        <w:tc>
          <w:tcPr>
            <w:tcW w:w="200" w:type="dxa"/>
            <w:vAlign w:val="bottom"/>
          </w:tcPr>
          <w:p>
            <w:pPr>
              <w:spacing w:after="0"/>
              <w:rPr>
                <w:sz w:val="10"/>
                <w:szCs w:val="1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5"/>
              </w:rPr>
              <w:t>Comprehensive</w:t>
            </w:r>
          </w:p>
        </w:tc>
        <w:tc>
          <w:tcPr>
            <w:tcW w:w="16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0"/>
                <w:szCs w:val="10"/>
                <w:b w:val="1"/>
                <w:bCs w:val="1"/>
                <w:color w:val="auto"/>
              </w:rPr>
              <w:t>Treasury</w:t>
            </w:r>
          </w:p>
        </w:tc>
        <w:tc>
          <w:tcPr>
            <w:tcW w:w="200" w:type="dxa"/>
            <w:vAlign w:val="bottom"/>
          </w:tcPr>
          <w:p>
            <w:pPr>
              <w:spacing w:after="0"/>
              <w:rPr>
                <w:sz w:val="10"/>
                <w:szCs w:val="10"/>
                <w:color w:val="auto"/>
              </w:rPr>
            </w:pPr>
          </w:p>
        </w:tc>
        <w:tc>
          <w:tcPr>
            <w:tcW w:w="880" w:type="dxa"/>
            <w:vAlign w:val="bottom"/>
            <w:gridSpan w:val="2"/>
          </w:tcPr>
          <w:p>
            <w:pPr>
              <w:ind w:left="120"/>
              <w:spacing w:after="0"/>
              <w:rPr>
                <w:sz w:val="20"/>
                <w:szCs w:val="20"/>
                <w:color w:val="auto"/>
              </w:rPr>
            </w:pPr>
            <w:r>
              <w:rPr>
                <w:rFonts w:ascii="Arial" w:cs="Arial" w:eastAsia="Arial" w:hAnsi="Arial"/>
                <w:sz w:val="10"/>
                <w:szCs w:val="10"/>
                <w:b w:val="1"/>
                <w:bCs w:val="1"/>
                <w:color w:val="auto"/>
              </w:rPr>
              <w:t>Retained</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8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Arial" w:cs="Arial" w:eastAsia="Arial" w:hAnsi="Arial"/>
                <w:sz w:val="10"/>
                <w:szCs w:val="10"/>
                <w:b w:val="1"/>
                <w:bCs w:val="1"/>
                <w:color w:val="auto"/>
              </w:rPr>
              <w:t>Class A</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Arial" w:cs="Arial" w:eastAsia="Arial" w:hAnsi="Arial"/>
                <w:sz w:val="10"/>
                <w:szCs w:val="10"/>
                <w:b w:val="1"/>
                <w:bCs w:val="1"/>
                <w:color w:val="auto"/>
              </w:rPr>
              <w:t>Class B</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Capital</w:t>
            </w:r>
          </w:p>
        </w:tc>
        <w:tc>
          <w:tcPr>
            <w:tcW w:w="20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5"/>
              </w:rPr>
              <w:t>Loss</w:t>
            </w:r>
          </w:p>
        </w:tc>
        <w:tc>
          <w:tcPr>
            <w:tcW w:w="160" w:type="dxa"/>
            <w:vAlign w:val="bottom"/>
          </w:tcPr>
          <w:p>
            <w:pPr>
              <w:spacing w:after="0"/>
              <w:rPr>
                <w:sz w:val="11"/>
                <w:szCs w:val="11"/>
                <w:color w:val="auto"/>
              </w:rPr>
            </w:pPr>
          </w:p>
        </w:tc>
        <w:tc>
          <w:tcPr>
            <w:tcW w:w="820" w:type="dxa"/>
            <w:vAlign w:val="bottom"/>
            <w:gridSpan w:val="2"/>
          </w:tcPr>
          <w:p>
            <w:pPr>
              <w:ind w:left="180"/>
              <w:spacing w:after="0"/>
              <w:rPr>
                <w:sz w:val="20"/>
                <w:szCs w:val="20"/>
                <w:color w:val="auto"/>
              </w:rPr>
            </w:pPr>
            <w:r>
              <w:rPr>
                <w:rFonts w:ascii="Arial" w:cs="Arial" w:eastAsia="Arial" w:hAnsi="Arial"/>
                <w:sz w:val="10"/>
                <w:szCs w:val="10"/>
                <w:b w:val="1"/>
                <w:bCs w:val="1"/>
                <w:color w:val="auto"/>
              </w:rPr>
              <w:t>Stock</w:t>
            </w:r>
          </w:p>
        </w:tc>
        <w:tc>
          <w:tcPr>
            <w:tcW w:w="20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Arial" w:cs="Arial" w:eastAsia="Arial" w:hAnsi="Arial"/>
                <w:sz w:val="10"/>
                <w:szCs w:val="10"/>
                <w:b w:val="1"/>
                <w:bCs w:val="1"/>
                <w:color w:val="auto"/>
              </w:rPr>
              <w:t>Earnings</w:t>
            </w:r>
          </w:p>
        </w:tc>
        <w:tc>
          <w:tcPr>
            <w:tcW w:w="240" w:type="dxa"/>
            <w:vAlign w:val="bottom"/>
          </w:tcPr>
          <w:p>
            <w:pPr>
              <w:spacing w:after="0"/>
              <w:rPr>
                <w:sz w:val="11"/>
                <w:szCs w:val="11"/>
                <w:color w:val="auto"/>
              </w:rPr>
            </w:pPr>
          </w:p>
        </w:tc>
        <w:tc>
          <w:tcPr>
            <w:tcW w:w="760" w:type="dxa"/>
            <w:vAlign w:val="bottom"/>
          </w:tcPr>
          <w:p>
            <w:pPr>
              <w:jc w:val="right"/>
              <w:ind w:right="346"/>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8"/>
        </w:trPr>
        <w:tc>
          <w:tcPr>
            <w:tcW w:w="2680" w:type="dxa"/>
            <w:vAlign w:val="bottom"/>
          </w:tcPr>
          <w:p>
            <w:pPr>
              <w:spacing w:after="0"/>
              <w:rPr>
                <w:sz w:val="10"/>
                <w:szCs w:val="10"/>
                <w:color w:val="auto"/>
              </w:rPr>
            </w:pPr>
          </w:p>
        </w:tc>
        <w:tc>
          <w:tcPr>
            <w:tcW w:w="800" w:type="dxa"/>
            <w:vAlign w:val="bottom"/>
            <w:tcBorders>
              <w:top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Shares</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46"/>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Pr>
          <w:p>
            <w:pPr>
              <w:spacing w:after="0"/>
              <w:rPr>
                <w:sz w:val="10"/>
                <w:szCs w:val="10"/>
                <w:color w:val="auto"/>
              </w:rPr>
            </w:pPr>
          </w:p>
        </w:tc>
        <w:tc>
          <w:tcPr>
            <w:tcW w:w="800" w:type="dxa"/>
            <w:vAlign w:val="bottom"/>
            <w:tcBorders>
              <w:top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Shares</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46"/>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19,417</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15,408</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171,930</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(194)</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w w:val="92"/>
              </w:rPr>
              <w:t>(25,756)</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151,397</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297,381</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9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spacing w:after="0"/>
              <w:rPr>
                <w:sz w:val="20"/>
                <w:szCs w:val="20"/>
                <w:color w:val="auto"/>
              </w:rPr>
            </w:pPr>
            <w:r>
              <w:rPr>
                <w:rFonts w:ascii="Arial" w:cs="Arial" w:eastAsia="Arial" w:hAnsi="Arial"/>
                <w:sz w:val="11"/>
                <w:szCs w:val="11"/>
                <w:color w:val="auto"/>
              </w:rPr>
              <w:t>Stock-based compensation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7,967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7,967</w:t>
            </w:r>
          </w:p>
        </w:tc>
        <w:tc>
          <w:tcPr>
            <w:tcW w:w="0" w:type="dxa"/>
            <w:vAlign w:val="bottom"/>
          </w:tcPr>
          <w:p>
            <w:pPr>
              <w:spacing w:after="0"/>
              <w:rPr>
                <w:sz w:val="1"/>
                <w:szCs w:val="1"/>
                <w:color w:val="auto"/>
              </w:rPr>
            </w:pPr>
          </w:p>
        </w:tc>
      </w:tr>
      <w:tr>
        <w:trPr>
          <w:trHeight w:val="112"/>
        </w:trPr>
        <w:tc>
          <w:tcPr>
            <w:tcW w:w="2680" w:type="dxa"/>
            <w:vAlign w:val="bottom"/>
          </w:tcPr>
          <w:p>
            <w:pPr>
              <w:spacing w:after="0" w:line="112" w:lineRule="exact"/>
              <w:rPr>
                <w:sz w:val="20"/>
                <w:szCs w:val="20"/>
                <w:color w:val="auto"/>
              </w:rPr>
            </w:pPr>
            <w:r>
              <w:rPr>
                <w:rFonts w:ascii="Arial" w:cs="Arial" w:eastAsia="Arial" w:hAnsi="Arial"/>
                <w:sz w:val="11"/>
                <w:szCs w:val="11"/>
                <w:color w:val="auto"/>
                <w:w w:val="94"/>
              </w:rPr>
              <w:t>Vesting of restricted stock units, net of shares withheld for</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(1,073)</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vMerge w:val="restart"/>
          </w:tcPr>
          <w:p>
            <w:pPr>
              <w:ind w:left="9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20" w:type="dxa"/>
            <w:vAlign w:val="bottom"/>
            <w:gridSpan w:val="2"/>
            <w:vMerge w:val="restart"/>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(1,073)</w:t>
            </w:r>
          </w:p>
        </w:tc>
        <w:tc>
          <w:tcPr>
            <w:tcW w:w="0" w:type="dxa"/>
            <w:vAlign w:val="bottom"/>
          </w:tcPr>
          <w:p>
            <w:pPr>
              <w:spacing w:after="0"/>
              <w:rPr>
                <w:sz w:val="1"/>
                <w:szCs w:val="1"/>
                <w:color w:val="auto"/>
              </w:rPr>
            </w:pPr>
          </w:p>
        </w:tc>
      </w:tr>
      <w:tr>
        <w:trPr>
          <w:trHeight w:val="138"/>
        </w:trPr>
        <w:tc>
          <w:tcPr>
            <w:tcW w:w="2680" w:type="dxa"/>
            <w:vAlign w:val="bottom"/>
          </w:tcPr>
          <w:p>
            <w:pPr>
              <w:spacing w:after="0"/>
              <w:rPr>
                <w:sz w:val="20"/>
                <w:szCs w:val="20"/>
                <w:color w:val="auto"/>
              </w:rPr>
            </w:pPr>
            <w:r>
              <w:rPr>
                <w:rFonts w:ascii="Arial" w:cs="Arial" w:eastAsia="Arial" w:hAnsi="Arial"/>
                <w:sz w:val="11"/>
                <w:szCs w:val="11"/>
                <w:color w:val="auto"/>
              </w:rPr>
              <w:t>taxes</w:t>
            </w: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8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w w:val="94"/>
              </w:rPr>
              <w:t>Conversion of Class B common stock to Class A common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572</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(572)</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680" w:type="dxa"/>
            <w:vAlign w:val="bottom"/>
            <w:shd w:val="clear" w:color="auto" w:fill="CCEEFF"/>
          </w:tcPr>
          <w:p>
            <w:pPr>
              <w:spacing w:after="0"/>
              <w:rPr>
                <w:sz w:val="20"/>
                <w:szCs w:val="20"/>
                <w:color w:val="auto"/>
              </w:rPr>
            </w:pPr>
            <w:r>
              <w:rPr>
                <w:rFonts w:ascii="Arial" w:cs="Arial" w:eastAsia="Arial" w:hAnsi="Arial"/>
                <w:sz w:val="11"/>
                <w:szCs w:val="11"/>
                <w:color w:val="auto"/>
              </w:rPr>
              <w:t>stock</w:t>
            </w: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(1,345)</w:t>
            </w: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spacing w:after="0"/>
              <w:rPr>
                <w:sz w:val="20"/>
                <w:szCs w:val="20"/>
                <w:color w:val="auto"/>
              </w:rPr>
            </w:pPr>
            <w:r>
              <w:rPr>
                <w:rFonts w:ascii="Arial" w:cs="Arial" w:eastAsia="Arial" w:hAnsi="Arial"/>
                <w:sz w:val="11"/>
                <w:szCs w:val="11"/>
                <w:color w:val="auto"/>
              </w:rPr>
              <w:t>Net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(14,287)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(14,287)</w:t>
            </w:r>
          </w:p>
        </w:tc>
        <w:tc>
          <w:tcPr>
            <w:tcW w:w="0" w:type="dxa"/>
            <w:vAlign w:val="bottom"/>
          </w:tcPr>
          <w:p>
            <w:pPr>
              <w:spacing w:after="0"/>
              <w:rPr>
                <w:sz w:val="1"/>
                <w:szCs w:val="1"/>
                <w:color w:val="auto"/>
              </w:rPr>
            </w:pPr>
          </w:p>
        </w:tc>
      </w:tr>
      <w:tr>
        <w:trPr>
          <w:trHeight w:val="131"/>
        </w:trPr>
        <w:tc>
          <w:tcPr>
            <w:tcW w:w="2680" w:type="dxa"/>
            <w:vAlign w:val="bottom"/>
          </w:tcPr>
          <w:p>
            <w:pPr>
              <w:spacing w:after="0"/>
              <w:rPr>
                <w:sz w:val="20"/>
                <w:szCs w:val="20"/>
                <w:color w:val="auto"/>
              </w:rPr>
            </w:pPr>
            <w:r>
              <w:rPr>
                <w:rFonts w:ascii="Arial" w:cs="Arial" w:eastAsia="Arial" w:hAnsi="Arial"/>
                <w:sz w:val="11"/>
                <w:szCs w:val="11"/>
                <w:b w:val="1"/>
                <w:bCs w:val="1"/>
                <w:color w:val="auto"/>
              </w:rPr>
              <w:t>Balance at March 31, 2022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20,023</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14,836</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178,924</w:t>
            </w:r>
          </w:p>
        </w:tc>
        <w:tc>
          <w:tcPr>
            <w:tcW w:w="80" w:type="dxa"/>
            <w:vAlign w:val="bottom"/>
          </w:tcPr>
          <w:p>
            <w:pPr>
              <w:spacing w:after="0"/>
              <w:rPr>
                <w:sz w:val="11"/>
                <w:szCs w:val="11"/>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(1,539)</w:t>
            </w:r>
          </w:p>
        </w:tc>
        <w:tc>
          <w:tcPr>
            <w:tcW w:w="80" w:type="dxa"/>
            <w:vAlign w:val="bottom"/>
          </w:tcPr>
          <w:p>
            <w:pPr>
              <w:spacing w:after="0"/>
              <w:rPr>
                <w:sz w:val="11"/>
                <w:szCs w:val="11"/>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tcPr>
          <w:p>
            <w:pPr>
              <w:ind w:left="340"/>
              <w:spacing w:after="0"/>
              <w:rPr>
                <w:sz w:val="20"/>
                <w:szCs w:val="20"/>
                <w:color w:val="auto"/>
              </w:rPr>
            </w:pPr>
            <w:r>
              <w:rPr>
                <w:rFonts w:ascii="Arial" w:cs="Arial" w:eastAsia="Arial" w:hAnsi="Arial"/>
                <w:sz w:val="11"/>
                <w:szCs w:val="11"/>
                <w:color w:val="auto"/>
                <w:w w:val="92"/>
              </w:rPr>
              <w:t>(25,756)</w:t>
            </w:r>
          </w:p>
        </w:tc>
        <w:tc>
          <w:tcPr>
            <w:tcW w:w="80" w:type="dxa"/>
            <w:vAlign w:val="bottom"/>
          </w:tcPr>
          <w:p>
            <w:pPr>
              <w:spacing w:after="0"/>
              <w:rPr>
                <w:sz w:val="11"/>
                <w:szCs w:val="11"/>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137,110</w:t>
            </w:r>
          </w:p>
        </w:tc>
        <w:tc>
          <w:tcPr>
            <w:tcW w:w="80" w:type="dxa"/>
            <w:vAlign w:val="bottom"/>
          </w:tcPr>
          <w:p>
            <w:pPr>
              <w:spacing w:after="0"/>
              <w:rPr>
                <w:sz w:val="11"/>
                <w:szCs w:val="11"/>
                <w:color w:val="auto"/>
              </w:rPr>
            </w:pPr>
          </w:p>
        </w:tc>
        <w:tc>
          <w:tcPr>
            <w:tcW w:w="2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288,743</w:t>
            </w: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10,639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9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10,639</w:t>
            </w:r>
          </w:p>
        </w:tc>
        <w:tc>
          <w:tcPr>
            <w:tcW w:w="0" w:type="dxa"/>
            <w:vAlign w:val="bottom"/>
          </w:tcPr>
          <w:p>
            <w:pPr>
              <w:spacing w:after="0"/>
              <w:rPr>
                <w:sz w:val="1"/>
                <w:szCs w:val="1"/>
                <w:color w:val="auto"/>
              </w:rPr>
            </w:pPr>
          </w:p>
        </w:tc>
      </w:tr>
      <w:tr>
        <w:trPr>
          <w:trHeight w:val="114"/>
        </w:trPr>
        <w:tc>
          <w:tcPr>
            <w:tcW w:w="268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w w:val="94"/>
              </w:rPr>
              <w:t>Vesting of restricted stock units, net of shares withheld for</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(4,524)</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(4,524)</w:t>
            </w:r>
          </w:p>
        </w:tc>
        <w:tc>
          <w:tcPr>
            <w:tcW w:w="0" w:type="dxa"/>
            <w:vAlign w:val="bottom"/>
          </w:tcPr>
          <w:p>
            <w:pPr>
              <w:spacing w:after="0"/>
              <w:rPr>
                <w:sz w:val="1"/>
                <w:szCs w:val="1"/>
                <w:color w:val="auto"/>
              </w:rPr>
            </w:pPr>
          </w:p>
        </w:tc>
      </w:tr>
      <w:tr>
        <w:trPr>
          <w:trHeight w:val="140"/>
        </w:trPr>
        <w:tc>
          <w:tcPr>
            <w:tcW w:w="2680" w:type="dxa"/>
            <w:vAlign w:val="bottom"/>
            <w:shd w:val="clear" w:color="auto" w:fill="CCEEFF"/>
          </w:tcPr>
          <w:p>
            <w:pPr>
              <w:spacing w:after="0"/>
              <w:rPr>
                <w:sz w:val="20"/>
                <w:szCs w:val="20"/>
                <w:color w:val="auto"/>
              </w:rPr>
            </w:pPr>
            <w:r>
              <w:rPr>
                <w:rFonts w:ascii="Arial" w:cs="Arial" w:eastAsia="Arial" w:hAnsi="Arial"/>
                <w:sz w:val="11"/>
                <w:szCs w:val="11"/>
                <w:color w:val="auto"/>
              </w:rPr>
              <w:t>taxes</w:t>
            </w: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80" w:type="dxa"/>
            <w:vAlign w:val="bottom"/>
          </w:tcPr>
          <w:p>
            <w:pPr>
              <w:spacing w:after="0" w:line="112" w:lineRule="exact"/>
              <w:rPr>
                <w:sz w:val="20"/>
                <w:szCs w:val="20"/>
                <w:color w:val="auto"/>
              </w:rPr>
            </w:pPr>
            <w:r>
              <w:rPr>
                <w:rFonts w:ascii="Arial" w:cs="Arial" w:eastAsia="Arial" w:hAnsi="Arial"/>
                <w:sz w:val="11"/>
                <w:szCs w:val="11"/>
                <w:color w:val="auto"/>
                <w:w w:val="94"/>
              </w:rPr>
              <w:t>Conversion of Class B common stock to Class A common</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160" w:type="dxa"/>
            <w:vAlign w:val="bottom"/>
            <w:gridSpan w:val="2"/>
            <w:vMerge w:val="restart"/>
          </w:tcPr>
          <w:p>
            <w:pPr>
              <w:ind w:left="9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20" w:type="dxa"/>
            <w:vAlign w:val="bottom"/>
            <w:gridSpan w:val="2"/>
            <w:vMerge w:val="restart"/>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680" w:type="dxa"/>
            <w:vAlign w:val="bottom"/>
          </w:tcPr>
          <w:p>
            <w:pPr>
              <w:spacing w:after="0"/>
              <w:rPr>
                <w:sz w:val="20"/>
                <w:szCs w:val="20"/>
                <w:color w:val="auto"/>
              </w:rPr>
            </w:pPr>
            <w:r>
              <w:rPr>
                <w:rFonts w:ascii="Arial" w:cs="Arial" w:eastAsia="Arial" w:hAnsi="Arial"/>
                <w:sz w:val="11"/>
                <w:szCs w:val="11"/>
                <w:color w:val="auto"/>
              </w:rPr>
              <w:t>stock</w:t>
            </w: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spacing w:after="0"/>
              <w:rPr>
                <w:sz w:val="20"/>
                <w:szCs w:val="20"/>
                <w:color w:val="auto"/>
              </w:rPr>
            </w:pPr>
            <w:r>
              <w:rPr>
                <w:rFonts w:ascii="Arial" w:cs="Arial" w:eastAsia="Arial" w:hAnsi="Arial"/>
                <w:sz w:val="11"/>
                <w:szCs w:val="11"/>
                <w:color w:val="auto"/>
              </w:rPr>
              <w:t>Issuance of restricted stock awards</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(400)</w:t>
            </w: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spacing w:after="0"/>
              <w:rPr>
                <w:sz w:val="20"/>
                <w:szCs w:val="20"/>
                <w:color w:val="auto"/>
              </w:rPr>
            </w:pPr>
            <w:r>
              <w:rPr>
                <w:rFonts w:ascii="Arial" w:cs="Arial" w:eastAsia="Arial" w:hAnsi="Arial"/>
                <w:sz w:val="11"/>
                <w:szCs w:val="11"/>
                <w:color w:val="auto"/>
              </w:rPr>
              <w:t>Net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(29,970)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(29,970)</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20"/>
                <w:szCs w:val="20"/>
                <w:color w:val="auto"/>
              </w:rPr>
            </w:pPr>
            <w:r>
              <w:rPr>
                <w:rFonts w:ascii="Arial" w:cs="Arial" w:eastAsia="Arial" w:hAnsi="Arial"/>
                <w:sz w:val="11"/>
                <w:szCs w:val="11"/>
                <w:b w:val="1"/>
                <w:bCs w:val="1"/>
                <w:color w:val="auto"/>
              </w:rPr>
              <w:t>Balance June 30, 2022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20,173</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14,826</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185,542</w:t>
            </w: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(1,939)</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1"/>
                <w:szCs w:val="11"/>
                <w:color w:val="auto"/>
                <w:w w:val="92"/>
              </w:rPr>
              <w:t>(25,756)</w:t>
            </w: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107,140</w:t>
            </w:r>
          </w:p>
        </w:tc>
        <w:tc>
          <w:tcPr>
            <w:tcW w:w="8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264,991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8" w:name="page9"/>
    <w:bookmarkEnd w:id="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5"/>
              </w:rPr>
              <w:t>Accumulated</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Additional</w:t>
            </w:r>
          </w:p>
        </w:tc>
        <w:tc>
          <w:tcPr>
            <w:tcW w:w="180" w:type="dxa"/>
            <w:vAlign w:val="bottom"/>
          </w:tcPr>
          <w:p>
            <w:pPr>
              <w:spacing w:after="0"/>
              <w:rPr>
                <w:sz w:val="10"/>
                <w:szCs w:val="1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Other</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60" w:type="dxa"/>
            <w:vAlign w:val="bottom"/>
          </w:tcPr>
          <w:p>
            <w:pPr>
              <w:spacing w:after="0"/>
              <w:rPr>
                <w:sz w:val="10"/>
                <w:szCs w:val="10"/>
                <w:color w:val="auto"/>
              </w:rPr>
            </w:pPr>
          </w:p>
        </w:tc>
        <w:tc>
          <w:tcPr>
            <w:tcW w:w="1660" w:type="dxa"/>
            <w:vAlign w:val="bottom"/>
            <w:gridSpan w:val="5"/>
          </w:tcPr>
          <w:p>
            <w:pPr>
              <w:ind w:left="460"/>
              <w:spacing w:after="0"/>
              <w:rPr>
                <w:sz w:val="20"/>
                <w:szCs w:val="20"/>
                <w:color w:val="auto"/>
              </w:rPr>
            </w:pPr>
            <w:r>
              <w:rPr>
                <w:rFonts w:ascii="Arial" w:cs="Arial" w:eastAsia="Arial" w:hAnsi="Arial"/>
                <w:sz w:val="10"/>
                <w:szCs w:val="10"/>
                <w:b w:val="1"/>
                <w:bCs w:val="1"/>
                <w:color w:val="auto"/>
              </w:rPr>
              <w:t>Common Stock</w:t>
            </w:r>
          </w:p>
        </w:tc>
        <w:tc>
          <w:tcPr>
            <w:tcW w:w="1640" w:type="dxa"/>
            <w:vAlign w:val="bottom"/>
            <w:gridSpan w:val="5"/>
          </w:tcPr>
          <w:p>
            <w:pPr>
              <w:ind w:left="460"/>
              <w:spacing w:after="0"/>
              <w:rPr>
                <w:sz w:val="20"/>
                <w:szCs w:val="20"/>
                <w:color w:val="auto"/>
              </w:rPr>
            </w:pPr>
            <w:r>
              <w:rPr>
                <w:rFonts w:ascii="Arial" w:cs="Arial" w:eastAsia="Arial" w:hAnsi="Arial"/>
                <w:sz w:val="10"/>
                <w:szCs w:val="10"/>
                <w:b w:val="1"/>
                <w:bCs w:val="1"/>
                <w:color w:val="auto"/>
              </w:rPr>
              <w:t>Common Stock</w:t>
            </w:r>
          </w:p>
        </w:tc>
        <w:tc>
          <w:tcPr>
            <w:tcW w:w="14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Paid-in</w:t>
            </w:r>
          </w:p>
        </w:tc>
        <w:tc>
          <w:tcPr>
            <w:tcW w:w="180" w:type="dxa"/>
            <w:vAlign w:val="bottom"/>
          </w:tcPr>
          <w:p>
            <w:pPr>
              <w:spacing w:after="0"/>
              <w:rPr>
                <w:sz w:val="10"/>
                <w:szCs w:val="1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5"/>
              </w:rPr>
              <w:t>Comprehensive</w:t>
            </w:r>
          </w:p>
        </w:tc>
        <w:tc>
          <w:tcPr>
            <w:tcW w:w="16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0"/>
                <w:szCs w:val="10"/>
                <w:b w:val="1"/>
                <w:bCs w:val="1"/>
                <w:color w:val="auto"/>
              </w:rPr>
              <w:t>Treasury</w:t>
            </w:r>
          </w:p>
        </w:tc>
        <w:tc>
          <w:tcPr>
            <w:tcW w:w="200" w:type="dxa"/>
            <w:vAlign w:val="bottom"/>
          </w:tcPr>
          <w:p>
            <w:pPr>
              <w:spacing w:after="0"/>
              <w:rPr>
                <w:sz w:val="10"/>
                <w:szCs w:val="10"/>
                <w:color w:val="auto"/>
              </w:rPr>
            </w:pPr>
          </w:p>
        </w:tc>
        <w:tc>
          <w:tcPr>
            <w:tcW w:w="880" w:type="dxa"/>
            <w:vAlign w:val="bottom"/>
            <w:gridSpan w:val="2"/>
          </w:tcPr>
          <w:p>
            <w:pPr>
              <w:ind w:left="120"/>
              <w:spacing w:after="0"/>
              <w:rPr>
                <w:sz w:val="20"/>
                <w:szCs w:val="20"/>
                <w:color w:val="auto"/>
              </w:rPr>
            </w:pPr>
            <w:r>
              <w:rPr>
                <w:rFonts w:ascii="Arial" w:cs="Arial" w:eastAsia="Arial" w:hAnsi="Arial"/>
                <w:sz w:val="10"/>
                <w:szCs w:val="10"/>
                <w:b w:val="1"/>
                <w:bCs w:val="1"/>
                <w:color w:val="auto"/>
              </w:rPr>
              <w:t>Retained</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b w:val="1"/>
                <w:bCs w:val="1"/>
                <w:color w:val="auto"/>
              </w:rPr>
              <w:t>Class A</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Arial" w:cs="Arial" w:eastAsia="Arial" w:hAnsi="Arial"/>
                <w:sz w:val="10"/>
                <w:szCs w:val="10"/>
                <w:b w:val="1"/>
                <w:bCs w:val="1"/>
                <w:color w:val="auto"/>
              </w:rPr>
              <w:t>Class B</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Capital</w:t>
            </w:r>
          </w:p>
        </w:tc>
        <w:tc>
          <w:tcPr>
            <w:tcW w:w="180" w:type="dxa"/>
            <w:vAlign w:val="bottom"/>
          </w:tcPr>
          <w:p>
            <w:pPr>
              <w:spacing w:after="0"/>
              <w:rPr>
                <w:sz w:val="11"/>
                <w:szCs w:val="1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5"/>
              </w:rPr>
              <w:t>Income (Loss)</w:t>
            </w:r>
          </w:p>
        </w:tc>
        <w:tc>
          <w:tcPr>
            <w:tcW w:w="160" w:type="dxa"/>
            <w:vAlign w:val="bottom"/>
          </w:tcPr>
          <w:p>
            <w:pPr>
              <w:spacing w:after="0"/>
              <w:rPr>
                <w:sz w:val="11"/>
                <w:szCs w:val="11"/>
                <w:color w:val="auto"/>
              </w:rPr>
            </w:pPr>
          </w:p>
        </w:tc>
        <w:tc>
          <w:tcPr>
            <w:tcW w:w="820" w:type="dxa"/>
            <w:vAlign w:val="bottom"/>
            <w:gridSpan w:val="2"/>
          </w:tcPr>
          <w:p>
            <w:pPr>
              <w:ind w:left="180"/>
              <w:spacing w:after="0"/>
              <w:rPr>
                <w:sz w:val="20"/>
                <w:szCs w:val="20"/>
                <w:color w:val="auto"/>
              </w:rPr>
            </w:pPr>
            <w:r>
              <w:rPr>
                <w:rFonts w:ascii="Arial" w:cs="Arial" w:eastAsia="Arial" w:hAnsi="Arial"/>
                <w:sz w:val="10"/>
                <w:szCs w:val="10"/>
                <w:b w:val="1"/>
                <w:bCs w:val="1"/>
                <w:color w:val="auto"/>
              </w:rPr>
              <w:t>Stock</w:t>
            </w:r>
          </w:p>
        </w:tc>
        <w:tc>
          <w:tcPr>
            <w:tcW w:w="20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Arial" w:cs="Arial" w:eastAsia="Arial" w:hAnsi="Arial"/>
                <w:sz w:val="10"/>
                <w:szCs w:val="10"/>
                <w:b w:val="1"/>
                <w:bCs w:val="1"/>
                <w:color w:val="auto"/>
              </w:rPr>
              <w:t>Earnings</w:t>
            </w:r>
          </w:p>
        </w:tc>
        <w:tc>
          <w:tcPr>
            <w:tcW w:w="220" w:type="dxa"/>
            <w:vAlign w:val="bottom"/>
          </w:tcPr>
          <w:p>
            <w:pPr>
              <w:spacing w:after="0"/>
              <w:rPr>
                <w:sz w:val="11"/>
                <w:szCs w:val="11"/>
                <w:color w:val="auto"/>
              </w:rPr>
            </w:pPr>
          </w:p>
        </w:tc>
        <w:tc>
          <w:tcPr>
            <w:tcW w:w="760" w:type="dxa"/>
            <w:vAlign w:val="bottom"/>
          </w:tcPr>
          <w:p>
            <w:pPr>
              <w:jc w:val="right"/>
              <w:ind w:right="326"/>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8"/>
        </w:trPr>
        <w:tc>
          <w:tcPr>
            <w:tcW w:w="2660" w:type="dxa"/>
            <w:vAlign w:val="bottom"/>
          </w:tcPr>
          <w:p>
            <w:pPr>
              <w:spacing w:after="0"/>
              <w:rPr>
                <w:sz w:val="10"/>
                <w:szCs w:val="10"/>
                <w:color w:val="auto"/>
              </w:rPr>
            </w:pPr>
          </w:p>
        </w:tc>
        <w:tc>
          <w:tcPr>
            <w:tcW w:w="800" w:type="dxa"/>
            <w:vAlign w:val="bottom"/>
            <w:tcBorders>
              <w:top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66"/>
              <w:spacing w:after="0"/>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46"/>
              <w:spacing w:after="0"/>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18,729</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15,659</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161,247</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CCEEFF"/>
            </w:tcBorders>
            <w:shd w:val="clear" w:color="auto" w:fill="CCEEFF"/>
          </w:tcPr>
          <w:p>
            <w:pPr>
              <w:jc w:val="center"/>
              <w:ind w:left="787"/>
              <w:spacing w:after="0"/>
              <w:rPr>
                <w:sz w:val="20"/>
                <w:szCs w:val="20"/>
                <w:color w:val="auto"/>
              </w:rPr>
            </w:pPr>
            <w:r>
              <w:rPr>
                <w:rFonts w:ascii="Arial" w:cs="Arial" w:eastAsia="Arial" w:hAnsi="Arial"/>
                <w:sz w:val="11"/>
                <w:szCs w:val="11"/>
                <w:color w:val="auto"/>
                <w:w w:val="81"/>
              </w:rPr>
              <w:t>56</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w w:val="92"/>
              </w:rPr>
              <w:t>(25,756)</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150,369</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285,920</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left="707"/>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6"/>
        </w:trPr>
        <w:tc>
          <w:tcPr>
            <w:tcW w:w="2660" w:type="dxa"/>
            <w:vAlign w:val="bottom"/>
            <w:shd w:val="clear" w:color="auto" w:fill="CCEEFF"/>
          </w:tcPr>
          <w:p>
            <w:pPr>
              <w:spacing w:after="0"/>
              <w:rPr>
                <w:sz w:val="20"/>
                <w:szCs w:val="20"/>
                <w:color w:val="auto"/>
              </w:rPr>
            </w:pPr>
            <w:r>
              <w:rPr>
                <w:rFonts w:ascii="Arial" w:cs="Arial" w:eastAsia="Arial" w:hAnsi="Arial"/>
                <w:sz w:val="11"/>
                <w:szCs w:val="11"/>
                <w:color w:val="auto"/>
              </w:rPr>
              <w:t>Stock-based compensation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3,295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left="707"/>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3,295</w:t>
            </w:r>
          </w:p>
        </w:tc>
        <w:tc>
          <w:tcPr>
            <w:tcW w:w="0" w:type="dxa"/>
            <w:vAlign w:val="bottom"/>
          </w:tcPr>
          <w:p>
            <w:pPr>
              <w:spacing w:after="0"/>
              <w:rPr>
                <w:sz w:val="1"/>
                <w:szCs w:val="1"/>
                <w:color w:val="auto"/>
              </w:rPr>
            </w:pPr>
          </w:p>
        </w:tc>
      </w:tr>
      <w:tr>
        <w:trPr>
          <w:trHeight w:val="112"/>
        </w:trPr>
        <w:tc>
          <w:tcPr>
            <w:tcW w:w="2660" w:type="dxa"/>
            <w:vAlign w:val="bottom"/>
          </w:tcPr>
          <w:p>
            <w:pPr>
              <w:spacing w:after="0" w:line="112" w:lineRule="exact"/>
              <w:rPr>
                <w:sz w:val="20"/>
                <w:szCs w:val="20"/>
                <w:color w:val="auto"/>
              </w:rPr>
            </w:pPr>
            <w:r>
              <w:rPr>
                <w:rFonts w:ascii="Arial" w:cs="Arial" w:eastAsia="Arial" w:hAnsi="Arial"/>
                <w:sz w:val="11"/>
                <w:szCs w:val="11"/>
                <w:color w:val="auto"/>
                <w:w w:val="93"/>
              </w:rPr>
              <w:t>Vesting of restricted stock units, net of shares withheld for</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(3,992)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restart"/>
          </w:tcPr>
          <w:p>
            <w:pPr>
              <w:jc w:val="center"/>
              <w:ind w:left="707"/>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820" w:type="dxa"/>
            <w:vAlign w:val="bottom"/>
            <w:gridSpan w:val="2"/>
            <w:vMerge w:val="restart"/>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(3,992)</w:t>
            </w:r>
          </w:p>
        </w:tc>
        <w:tc>
          <w:tcPr>
            <w:tcW w:w="0" w:type="dxa"/>
            <w:vAlign w:val="bottom"/>
          </w:tcPr>
          <w:p>
            <w:pPr>
              <w:spacing w:after="0"/>
              <w:rPr>
                <w:sz w:val="1"/>
                <w:szCs w:val="1"/>
                <w:color w:val="auto"/>
              </w:rPr>
            </w:pPr>
          </w:p>
        </w:tc>
      </w:tr>
      <w:tr>
        <w:trPr>
          <w:trHeight w:val="138"/>
        </w:trPr>
        <w:tc>
          <w:tcPr>
            <w:tcW w:w="2660" w:type="dxa"/>
            <w:vAlign w:val="bottom"/>
          </w:tcPr>
          <w:p>
            <w:pPr>
              <w:spacing w:after="0"/>
              <w:rPr>
                <w:sz w:val="20"/>
                <w:szCs w:val="20"/>
                <w:color w:val="auto"/>
              </w:rPr>
            </w:pPr>
            <w:r>
              <w:rPr>
                <w:rFonts w:ascii="Arial" w:cs="Arial" w:eastAsia="Arial" w:hAnsi="Arial"/>
                <w:sz w:val="11"/>
                <w:szCs w:val="11"/>
                <w:color w:val="auto"/>
              </w:rPr>
              <w:t>taxes</w:t>
            </w: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6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w w:val="93"/>
              </w:rPr>
              <w:t>Conversion of Class B common stock to Class A common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108</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(108)</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center"/>
              <w:ind w:left="707"/>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660" w:type="dxa"/>
            <w:vAlign w:val="bottom"/>
            <w:shd w:val="clear" w:color="auto" w:fill="CCEEFF"/>
          </w:tcPr>
          <w:p>
            <w:pPr>
              <w:spacing w:after="0"/>
              <w:rPr>
                <w:sz w:val="20"/>
                <w:szCs w:val="20"/>
                <w:color w:val="auto"/>
              </w:rPr>
            </w:pPr>
            <w:r>
              <w:rPr>
                <w:rFonts w:ascii="Arial" w:cs="Arial" w:eastAsia="Arial" w:hAnsi="Arial"/>
                <w:sz w:val="11"/>
                <w:szCs w:val="11"/>
                <w:color w:val="auto"/>
              </w:rPr>
              <w:t>stock</w:t>
            </w: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60" w:type="dxa"/>
            <w:vAlign w:val="bottom"/>
          </w:tcPr>
          <w:p>
            <w:pPr>
              <w:jc w:val="center"/>
              <w:ind w:left="787"/>
              <w:spacing w:after="0"/>
              <w:rPr>
                <w:sz w:val="20"/>
                <w:szCs w:val="20"/>
                <w:color w:val="auto"/>
              </w:rPr>
            </w:pPr>
            <w:r>
              <w:rPr>
                <w:rFonts w:ascii="Arial" w:cs="Arial" w:eastAsia="Arial" w:hAnsi="Arial"/>
                <w:sz w:val="11"/>
                <w:szCs w:val="11"/>
                <w:color w:val="auto"/>
                <w:w w:val="91"/>
              </w:rPr>
              <w:t>(18)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6"/>
        </w:trPr>
        <w:tc>
          <w:tcPr>
            <w:tcW w:w="26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left="707"/>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479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479</w:t>
            </w:r>
          </w:p>
        </w:tc>
        <w:tc>
          <w:tcPr>
            <w:tcW w:w="0" w:type="dxa"/>
            <w:vAlign w:val="bottom"/>
          </w:tcPr>
          <w:p>
            <w:pPr>
              <w:spacing w:after="0"/>
              <w:rPr>
                <w:sz w:val="1"/>
                <w:szCs w:val="1"/>
                <w:color w:val="auto"/>
              </w:rPr>
            </w:pPr>
          </w:p>
        </w:tc>
      </w:tr>
      <w:tr>
        <w:trPr>
          <w:trHeight w:val="131"/>
        </w:trPr>
        <w:tc>
          <w:tcPr>
            <w:tcW w:w="2660" w:type="dxa"/>
            <w:vAlign w:val="bottom"/>
          </w:tcPr>
          <w:p>
            <w:pPr>
              <w:spacing w:after="0"/>
              <w:rPr>
                <w:sz w:val="20"/>
                <w:szCs w:val="20"/>
                <w:color w:val="auto"/>
              </w:rPr>
            </w:pPr>
            <w:r>
              <w:rPr>
                <w:rFonts w:ascii="Arial" w:cs="Arial" w:eastAsia="Arial" w:hAnsi="Arial"/>
                <w:sz w:val="11"/>
                <w:szCs w:val="11"/>
                <w:b w:val="1"/>
                <w:bCs w:val="1"/>
                <w:color w:val="auto"/>
              </w:rPr>
              <w:t>Balance at March 31, 2021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18,902</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15,551</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160,650</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center"/>
              <w:ind w:left="787"/>
              <w:spacing w:after="0"/>
              <w:rPr>
                <w:sz w:val="20"/>
                <w:szCs w:val="20"/>
                <w:color w:val="auto"/>
              </w:rPr>
            </w:pPr>
            <w:r>
              <w:rPr>
                <w:rFonts w:ascii="Arial" w:cs="Arial" w:eastAsia="Arial" w:hAnsi="Arial"/>
                <w:sz w:val="11"/>
                <w:szCs w:val="11"/>
                <w:color w:val="auto"/>
                <w:w w:val="81"/>
              </w:rPr>
              <w:t>38</w:t>
            </w:r>
          </w:p>
        </w:tc>
        <w:tc>
          <w:tcPr>
            <w:tcW w:w="8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ind w:left="340"/>
              <w:spacing w:after="0"/>
              <w:rPr>
                <w:sz w:val="20"/>
                <w:szCs w:val="20"/>
                <w:color w:val="auto"/>
              </w:rPr>
            </w:pPr>
            <w:r>
              <w:rPr>
                <w:rFonts w:ascii="Arial" w:cs="Arial" w:eastAsia="Arial" w:hAnsi="Arial"/>
                <w:sz w:val="11"/>
                <w:szCs w:val="11"/>
                <w:color w:val="auto"/>
                <w:w w:val="92"/>
              </w:rPr>
              <w:t>(25,756)</w:t>
            </w:r>
          </w:p>
        </w:tc>
        <w:tc>
          <w:tcPr>
            <w:tcW w:w="80" w:type="dxa"/>
            <w:vAlign w:val="bottom"/>
          </w:tcPr>
          <w:p>
            <w:pPr>
              <w:spacing w:after="0"/>
              <w:rPr>
                <w:sz w:val="11"/>
                <w:szCs w:val="11"/>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150,848</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285,784</w:t>
            </w:r>
          </w:p>
        </w:tc>
        <w:tc>
          <w:tcPr>
            <w:tcW w:w="0" w:type="dxa"/>
            <w:vAlign w:val="bottom"/>
          </w:tcPr>
          <w:p>
            <w:pPr>
              <w:spacing w:after="0"/>
              <w:rPr>
                <w:sz w:val="1"/>
                <w:szCs w:val="1"/>
                <w:color w:val="auto"/>
              </w:rPr>
            </w:pPr>
          </w:p>
        </w:tc>
      </w:tr>
      <w:tr>
        <w:trPr>
          <w:trHeight w:val="146"/>
        </w:trPr>
        <w:tc>
          <w:tcPr>
            <w:tcW w:w="2660" w:type="dxa"/>
            <w:vAlign w:val="bottom"/>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left="707"/>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545</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3,873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left="707"/>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3,873</w:t>
            </w:r>
          </w:p>
        </w:tc>
        <w:tc>
          <w:tcPr>
            <w:tcW w:w="0" w:type="dxa"/>
            <w:vAlign w:val="bottom"/>
          </w:tcPr>
          <w:p>
            <w:pPr>
              <w:spacing w:after="0"/>
              <w:rPr>
                <w:sz w:val="1"/>
                <w:szCs w:val="1"/>
                <w:color w:val="auto"/>
              </w:rPr>
            </w:pPr>
          </w:p>
        </w:tc>
      </w:tr>
      <w:tr>
        <w:trPr>
          <w:trHeight w:val="114"/>
        </w:trPr>
        <w:tc>
          <w:tcPr>
            <w:tcW w:w="266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w w:val="93"/>
              </w:rPr>
              <w:t>Vesting of restricted stock units, net of shares withheld for</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(4,908)</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center"/>
              <w:ind w:left="707"/>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(4,908)</w:t>
            </w:r>
          </w:p>
        </w:tc>
        <w:tc>
          <w:tcPr>
            <w:tcW w:w="0" w:type="dxa"/>
            <w:vAlign w:val="bottom"/>
          </w:tcPr>
          <w:p>
            <w:pPr>
              <w:spacing w:after="0"/>
              <w:rPr>
                <w:sz w:val="1"/>
                <w:szCs w:val="1"/>
                <w:color w:val="auto"/>
              </w:rPr>
            </w:pPr>
          </w:p>
        </w:tc>
      </w:tr>
      <w:tr>
        <w:trPr>
          <w:trHeight w:val="140"/>
        </w:trPr>
        <w:tc>
          <w:tcPr>
            <w:tcW w:w="2660" w:type="dxa"/>
            <w:vAlign w:val="bottom"/>
            <w:shd w:val="clear" w:color="auto" w:fill="CCEEFF"/>
          </w:tcPr>
          <w:p>
            <w:pPr>
              <w:spacing w:after="0"/>
              <w:rPr>
                <w:sz w:val="20"/>
                <w:szCs w:val="20"/>
                <w:color w:val="auto"/>
              </w:rPr>
            </w:pPr>
            <w:r>
              <w:rPr>
                <w:rFonts w:ascii="Arial" w:cs="Arial" w:eastAsia="Arial" w:hAnsi="Arial"/>
                <w:sz w:val="11"/>
                <w:szCs w:val="11"/>
                <w:color w:val="auto"/>
              </w:rPr>
              <w:t>taxes</w:t>
            </w: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60" w:type="dxa"/>
            <w:vAlign w:val="bottom"/>
          </w:tcPr>
          <w:p>
            <w:pPr>
              <w:spacing w:after="0" w:line="112" w:lineRule="exact"/>
              <w:rPr>
                <w:sz w:val="20"/>
                <w:szCs w:val="20"/>
                <w:color w:val="auto"/>
              </w:rPr>
            </w:pPr>
            <w:r>
              <w:rPr>
                <w:rFonts w:ascii="Arial" w:cs="Arial" w:eastAsia="Arial" w:hAnsi="Arial"/>
                <w:sz w:val="11"/>
                <w:szCs w:val="11"/>
                <w:color w:val="auto"/>
                <w:w w:val="93"/>
              </w:rPr>
              <w:t>Conversion of Class B common stock to Class A common</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140" w:type="dxa"/>
            <w:vAlign w:val="bottom"/>
            <w:gridSpan w:val="2"/>
            <w:vMerge w:val="restart"/>
          </w:tcPr>
          <w:p>
            <w:pPr>
              <w:jc w:val="center"/>
              <w:ind w:left="707"/>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9"/>
                <w:szCs w:val="9"/>
                <w:color w:val="auto"/>
              </w:rPr>
            </w:pPr>
          </w:p>
        </w:tc>
        <w:tc>
          <w:tcPr>
            <w:tcW w:w="820" w:type="dxa"/>
            <w:vAlign w:val="bottom"/>
            <w:gridSpan w:val="2"/>
            <w:vMerge w:val="restart"/>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660" w:type="dxa"/>
            <w:vAlign w:val="bottom"/>
          </w:tcPr>
          <w:p>
            <w:pPr>
              <w:spacing w:after="0"/>
              <w:rPr>
                <w:sz w:val="20"/>
                <w:szCs w:val="20"/>
                <w:color w:val="auto"/>
              </w:rPr>
            </w:pPr>
            <w:r>
              <w:rPr>
                <w:rFonts w:ascii="Arial" w:cs="Arial" w:eastAsia="Arial" w:hAnsi="Arial"/>
                <w:sz w:val="11"/>
                <w:szCs w:val="11"/>
                <w:color w:val="auto"/>
              </w:rPr>
              <w:t>stock</w:t>
            </w: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60" w:type="dxa"/>
            <w:vAlign w:val="bottom"/>
            <w:shd w:val="clear" w:color="auto" w:fill="CCEEFF"/>
          </w:tcPr>
          <w:p>
            <w:pPr>
              <w:spacing w:after="0"/>
              <w:rPr>
                <w:sz w:val="20"/>
                <w:szCs w:val="20"/>
                <w:color w:val="auto"/>
              </w:rPr>
            </w:pPr>
            <w:r>
              <w:rPr>
                <w:rFonts w:ascii="Arial" w:cs="Arial" w:eastAsia="Arial" w:hAnsi="Arial"/>
                <w:sz w:val="11"/>
                <w:szCs w:val="11"/>
                <w:color w:val="auto"/>
              </w:rPr>
              <w:t>Issuance of restricted stock awards</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left="707"/>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60" w:type="dxa"/>
            <w:vAlign w:val="bottom"/>
          </w:tcPr>
          <w:p>
            <w:pPr>
              <w:jc w:val="center"/>
              <w:ind w:left="787"/>
              <w:spacing w:after="0"/>
              <w:rPr>
                <w:sz w:val="20"/>
                <w:szCs w:val="20"/>
                <w:color w:val="auto"/>
              </w:rPr>
            </w:pPr>
            <w:r>
              <w:rPr>
                <w:rFonts w:ascii="Arial" w:cs="Arial" w:eastAsia="Arial" w:hAnsi="Arial"/>
                <w:sz w:val="11"/>
                <w:szCs w:val="11"/>
                <w:color w:val="auto"/>
                <w:w w:val="91"/>
              </w:rPr>
              <w:t>(48)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left="707"/>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2,021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20"/>
                <w:szCs w:val="20"/>
                <w:color w:val="auto"/>
              </w:rPr>
            </w:pPr>
            <w:r>
              <w:rPr>
                <w:rFonts w:ascii="Arial" w:cs="Arial" w:eastAsia="Arial" w:hAnsi="Arial"/>
                <w:sz w:val="11"/>
                <w:szCs w:val="11"/>
                <w:b w:val="1"/>
                <w:bCs w:val="1"/>
                <w:color w:val="auto"/>
              </w:rPr>
              <w:t>Balance at June 30, 2021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18,989</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15,621</w:t>
            </w: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160,160</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center"/>
              <w:ind w:left="787"/>
              <w:spacing w:after="0"/>
              <w:rPr>
                <w:sz w:val="20"/>
                <w:szCs w:val="20"/>
                <w:color w:val="auto"/>
              </w:rPr>
            </w:pPr>
            <w:r>
              <w:rPr>
                <w:rFonts w:ascii="Arial" w:cs="Arial" w:eastAsia="Arial" w:hAnsi="Arial"/>
                <w:sz w:val="11"/>
                <w:szCs w:val="11"/>
                <w:color w:val="auto"/>
                <w:w w:val="91"/>
              </w:rPr>
              <w:t>(10)</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1"/>
                <w:szCs w:val="11"/>
                <w:color w:val="auto"/>
                <w:w w:val="92"/>
              </w:rPr>
              <w:t>(25,756)</w:t>
            </w: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152,869</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287,267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APPFOLIO,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51"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(UNAUDITED)</w:t>
      </w:r>
    </w:p>
    <w:p>
      <w:pPr>
        <w:spacing w:after="0" w:line="51"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(in thousands)</w:t>
      </w:r>
    </w:p>
    <w:p>
      <w:pPr>
        <w:spacing w:after="0" w:line="250" w:lineRule="exact"/>
        <w:rPr>
          <w:sz w:val="20"/>
          <w:szCs w:val="20"/>
          <w:color w:val="auto"/>
        </w:rPr>
      </w:pPr>
    </w:p>
    <w:p>
      <w:pPr>
        <w:jc w:val="center"/>
        <w:ind w:left="8560"/>
        <w:spacing w:after="0"/>
        <w:rPr>
          <w:sz w:val="20"/>
          <w:szCs w:val="20"/>
          <w:color w:val="auto"/>
        </w:rPr>
      </w:pPr>
      <w:r>
        <w:rPr>
          <w:rFonts w:ascii="Arial" w:cs="Arial" w:eastAsia="Arial" w:hAnsi="Arial"/>
          <w:sz w:val="10"/>
          <w:szCs w:val="10"/>
          <w:b w:val="1"/>
          <w:bCs w:val="1"/>
          <w:color w:val="auto"/>
        </w:rPr>
        <w:t>Six Months Ended</w:t>
      </w:r>
    </w:p>
    <w:p>
      <w:pPr>
        <w:jc w:val="center"/>
        <w:ind w:left="8560"/>
        <w:spacing w:after="0" w:line="236" w:lineRule="auto"/>
        <w:rPr>
          <w:sz w:val="20"/>
          <w:szCs w:val="20"/>
          <w:color w:val="auto"/>
        </w:rPr>
      </w:pPr>
      <w:r>
        <w:rPr>
          <w:rFonts w:ascii="Arial" w:cs="Arial" w:eastAsia="Arial" w:hAnsi="Arial"/>
          <w:sz w:val="10"/>
          <w:szCs w:val="10"/>
          <w:b w:val="1"/>
          <w:bCs w:val="1"/>
          <w:color w:val="auto"/>
        </w:rPr>
        <w:t>June 30,</w:t>
      </w:r>
    </w:p>
    <w:tbl>
      <w:tblPr>
        <w:tblLayout w:type="fixed"/>
        <w:tblInd w:w="0" w:type="dxa"/>
        <w:tblCellMar>
          <w:top w:w="0" w:type="dxa"/>
          <w:left w:w="0" w:type="dxa"/>
          <w:bottom w:w="0" w:type="dxa"/>
          <w:right w:w="0" w:type="dxa"/>
        </w:tblCellMar>
      </w:tblPr>
      <w:tr>
        <w:trPr>
          <w:trHeight w:val="128"/>
        </w:trPr>
        <w:tc>
          <w:tcPr>
            <w:tcW w:w="856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2022</w:t>
            </w:r>
          </w:p>
        </w:tc>
        <w:tc>
          <w:tcPr>
            <w:tcW w:w="4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2021</w:t>
            </w:r>
          </w:p>
        </w:tc>
      </w:tr>
      <w:tr>
        <w:trPr>
          <w:trHeight w:val="128"/>
        </w:trPr>
        <w:tc>
          <w:tcPr>
            <w:tcW w:w="8560" w:type="dxa"/>
            <w:vAlign w:val="bottom"/>
            <w:shd w:val="clear" w:color="auto" w:fill="CCEEFF"/>
          </w:tcPr>
          <w:p>
            <w:pPr>
              <w:spacing w:after="0" w:line="124" w:lineRule="exact"/>
              <w:rPr>
                <w:sz w:val="20"/>
                <w:szCs w:val="20"/>
                <w:color w:val="auto"/>
              </w:rPr>
            </w:pPr>
            <w:r>
              <w:rPr>
                <w:rFonts w:ascii="Arial" w:cs="Arial" w:eastAsia="Arial" w:hAnsi="Arial"/>
                <w:sz w:val="11"/>
                <w:szCs w:val="11"/>
                <w:b w:val="1"/>
                <w:bCs w:val="1"/>
                <w:color w:val="auto"/>
              </w:rPr>
              <w:t>Cash from operating activities</w:t>
            </w: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42"/>
        </w:trPr>
        <w:tc>
          <w:tcPr>
            <w:tcW w:w="8560" w:type="dxa"/>
            <w:vAlign w:val="bottom"/>
          </w:tcPr>
          <w:p>
            <w:pPr>
              <w:spacing w:after="0"/>
              <w:rPr>
                <w:sz w:val="20"/>
                <w:szCs w:val="20"/>
                <w:color w:val="auto"/>
              </w:rPr>
            </w:pPr>
            <w:r>
              <w:rPr>
                <w:rFonts w:ascii="Arial" w:cs="Arial" w:eastAsia="Arial" w:hAnsi="Arial"/>
                <w:sz w:val="11"/>
                <w:szCs w:val="11"/>
                <w:color w:val="auto"/>
              </w:rPr>
              <w:t>Net (loss) income</w:t>
            </w: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(44,257)</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2,500</w:t>
            </w:r>
          </w:p>
        </w:tc>
      </w:tr>
      <w:tr>
        <w:trPr>
          <w:trHeight w:val="146"/>
        </w:trPr>
        <w:tc>
          <w:tcPr>
            <w:tcW w:w="8560" w:type="dxa"/>
            <w:vAlign w:val="bottom"/>
            <w:shd w:val="clear" w:color="auto" w:fill="CCEEFF"/>
          </w:tcPr>
          <w:p>
            <w:pPr>
              <w:spacing w:after="0"/>
              <w:rPr>
                <w:sz w:val="20"/>
                <w:szCs w:val="20"/>
                <w:color w:val="auto"/>
              </w:rPr>
            </w:pPr>
            <w:r>
              <w:rPr>
                <w:rFonts w:ascii="Arial" w:cs="Arial" w:eastAsia="Arial" w:hAnsi="Arial"/>
                <w:sz w:val="11"/>
                <w:szCs w:val="11"/>
                <w:color w:val="auto"/>
              </w:rPr>
              <w:t>Adjustments to reconcile net (loss) income to net cash provided by operating activities: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2"/>
        </w:trPr>
        <w:tc>
          <w:tcPr>
            <w:tcW w:w="856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15,637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14,190</w:t>
            </w:r>
          </w:p>
        </w:tc>
      </w:tr>
      <w:tr>
        <w:trPr>
          <w:trHeight w:val="146"/>
        </w:trPr>
        <w:tc>
          <w:tcPr>
            <w:tcW w:w="8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Amortization of operating lease right-of-use assets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1,399</w:t>
            </w:r>
          </w:p>
        </w:tc>
      </w:tr>
      <w:tr>
        <w:trPr>
          <w:trHeight w:val="142"/>
        </w:trPr>
        <w:tc>
          <w:tcPr>
            <w:tcW w:w="8560" w:type="dxa"/>
            <w:vAlign w:val="bottom"/>
          </w:tcPr>
          <w:p>
            <w:pPr>
              <w:ind w:left="220"/>
              <w:spacing w:after="0"/>
              <w:rPr>
                <w:sz w:val="20"/>
                <w:szCs w:val="20"/>
                <w:color w:val="auto"/>
              </w:rPr>
            </w:pPr>
            <w:r>
              <w:rPr>
                <w:rFonts w:ascii="Arial" w:cs="Arial" w:eastAsia="Arial" w:hAnsi="Arial"/>
                <w:sz w:val="11"/>
                <w:szCs w:val="11"/>
                <w:color w:val="auto"/>
              </w:rPr>
              <w:t>Impairment</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19,792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8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Deferred income taxes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(6,086)</w:t>
            </w:r>
          </w:p>
        </w:tc>
      </w:tr>
      <w:tr>
        <w:trPr>
          <w:trHeight w:val="142"/>
        </w:trPr>
        <w:tc>
          <w:tcPr>
            <w:tcW w:w="8560" w:type="dxa"/>
            <w:vAlign w:val="bottom"/>
          </w:tcPr>
          <w:p>
            <w:pPr>
              <w:ind w:left="220"/>
              <w:spacing w:after="0"/>
              <w:rPr>
                <w:sz w:val="20"/>
                <w:szCs w:val="20"/>
                <w:color w:val="auto"/>
              </w:rPr>
            </w:pPr>
            <w:r>
              <w:rPr>
                <w:rFonts w:ascii="Arial" w:cs="Arial" w:eastAsia="Arial" w:hAnsi="Arial"/>
                <w:sz w:val="11"/>
                <w:szCs w:val="11"/>
                <w:color w:val="auto"/>
              </w:rPr>
              <w:t>Stock-based compensation, including as amortized</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18,478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6,818</w:t>
            </w:r>
          </w:p>
        </w:tc>
      </w:tr>
      <w:tr>
        <w:trPr>
          <w:trHeight w:val="146"/>
        </w:trPr>
        <w:tc>
          <w:tcPr>
            <w:tcW w:w="85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(579)</w:t>
            </w:r>
          </w:p>
        </w:tc>
      </w:tr>
      <w:tr>
        <w:trPr>
          <w:trHeight w:val="142"/>
        </w:trPr>
        <w:tc>
          <w:tcPr>
            <w:tcW w:w="8560" w:type="dxa"/>
            <w:vAlign w:val="bottom"/>
          </w:tcPr>
          <w:p>
            <w:pPr>
              <w:ind w:left="220"/>
              <w:spacing w:after="0"/>
              <w:rPr>
                <w:sz w:val="20"/>
                <w:szCs w:val="20"/>
                <w:color w:val="auto"/>
              </w:rPr>
            </w:pPr>
            <w:r>
              <w:rPr>
                <w:rFonts w:ascii="Arial" w:cs="Arial" w:eastAsia="Arial" w:hAnsi="Arial"/>
                <w:sz w:val="11"/>
                <w:szCs w:val="11"/>
                <w:color w:val="auto"/>
              </w:rPr>
              <w:t>Changes in operating assets and liabilities:</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6"/>
        </w:trPr>
        <w:tc>
          <w:tcPr>
            <w:tcW w:w="85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Accounts receivable</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(2,924)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(4,007)</w:t>
            </w:r>
          </w:p>
        </w:tc>
      </w:tr>
      <w:tr>
        <w:trPr>
          <w:trHeight w:val="142"/>
        </w:trPr>
        <w:tc>
          <w:tcPr>
            <w:tcW w:w="8560" w:type="dxa"/>
            <w:vAlign w:val="bottom"/>
          </w:tcPr>
          <w:p>
            <w:pPr>
              <w:ind w:left="440"/>
              <w:spacing w:after="0"/>
              <w:rPr>
                <w:sz w:val="20"/>
                <w:szCs w:val="20"/>
                <w:color w:val="auto"/>
              </w:rPr>
            </w:pPr>
            <w:r>
              <w:rPr>
                <w:rFonts w:ascii="Arial" w:cs="Arial" w:eastAsia="Arial" w:hAnsi="Arial"/>
                <w:sz w:val="11"/>
                <w:szCs w:val="11"/>
                <w:color w:val="auto"/>
              </w:rPr>
              <w:t>Prepaid expenses and other current assets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(2,652)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(2,171)</w:t>
            </w:r>
          </w:p>
        </w:tc>
      </w:tr>
      <w:tr>
        <w:trPr>
          <w:trHeight w:val="146"/>
        </w:trPr>
        <w:tc>
          <w:tcPr>
            <w:tcW w:w="85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 assets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(982)</w:t>
            </w:r>
          </w:p>
        </w:tc>
      </w:tr>
      <w:tr>
        <w:trPr>
          <w:trHeight w:val="142"/>
        </w:trPr>
        <w:tc>
          <w:tcPr>
            <w:tcW w:w="8560" w:type="dxa"/>
            <w:vAlign w:val="bottom"/>
          </w:tcPr>
          <w:p>
            <w:pPr>
              <w:ind w:left="440"/>
              <w:spacing w:after="0"/>
              <w:rPr>
                <w:sz w:val="20"/>
                <w:szCs w:val="20"/>
                <w:color w:val="auto"/>
              </w:rPr>
            </w:pPr>
            <w:r>
              <w:rPr>
                <w:rFonts w:ascii="Arial" w:cs="Arial" w:eastAsia="Arial" w:hAnsi="Arial"/>
                <w:sz w:val="11"/>
                <w:szCs w:val="11"/>
                <w:color w:val="auto"/>
              </w:rPr>
              <w:t>Accounts payable</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1,301</w:t>
            </w:r>
          </w:p>
        </w:tc>
      </w:tr>
      <w:tr>
        <w:trPr>
          <w:trHeight w:val="146"/>
        </w:trPr>
        <w:tc>
          <w:tcPr>
            <w:tcW w:w="85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Accrued employee expenses—current</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7,638</w:t>
            </w:r>
          </w:p>
        </w:tc>
      </w:tr>
      <w:tr>
        <w:trPr>
          <w:trHeight w:val="142"/>
        </w:trPr>
        <w:tc>
          <w:tcPr>
            <w:tcW w:w="8560" w:type="dxa"/>
            <w:vAlign w:val="bottom"/>
          </w:tcPr>
          <w:p>
            <w:pPr>
              <w:ind w:left="440"/>
              <w:spacing w:after="0"/>
              <w:rPr>
                <w:sz w:val="20"/>
                <w:szCs w:val="20"/>
                <w:color w:val="auto"/>
              </w:rPr>
            </w:pPr>
            <w:r>
              <w:rPr>
                <w:rFonts w:ascii="Arial" w:cs="Arial" w:eastAsia="Arial" w:hAnsi="Arial"/>
                <w:sz w:val="11"/>
                <w:szCs w:val="11"/>
                <w:color w:val="auto"/>
              </w:rPr>
              <w:t>Accrued expenses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3,182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(3,047)</w:t>
            </w:r>
          </w:p>
        </w:tc>
      </w:tr>
      <w:tr>
        <w:trPr>
          <w:trHeight w:val="146"/>
        </w:trPr>
        <w:tc>
          <w:tcPr>
            <w:tcW w:w="85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Deferred revenue</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r>
      <w:tr>
        <w:trPr>
          <w:trHeight w:val="142"/>
        </w:trPr>
        <w:tc>
          <w:tcPr>
            <w:tcW w:w="8560" w:type="dxa"/>
            <w:vAlign w:val="bottom"/>
          </w:tcPr>
          <w:p>
            <w:pPr>
              <w:ind w:left="440"/>
              <w:spacing w:after="0"/>
              <w:rPr>
                <w:sz w:val="20"/>
                <w:szCs w:val="20"/>
                <w:color w:val="auto"/>
              </w:rPr>
            </w:pPr>
            <w:r>
              <w:rPr>
                <w:rFonts w:ascii="Arial" w:cs="Arial" w:eastAsia="Arial" w:hAnsi="Arial"/>
                <w:sz w:val="11"/>
                <w:szCs w:val="11"/>
                <w:color w:val="auto"/>
              </w:rPr>
              <w:t>Operating lease liabilities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(1,311)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1,685</w:t>
            </w:r>
          </w:p>
        </w:tc>
      </w:tr>
      <w:tr>
        <w:trPr>
          <w:trHeight w:val="146"/>
        </w:trPr>
        <w:tc>
          <w:tcPr>
            <w:tcW w:w="85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 liabilities</w:t>
            </w:r>
          </w:p>
        </w:tc>
        <w:tc>
          <w:tcPr>
            <w:tcW w:w="8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1,673</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(8,031)</w:t>
            </w:r>
          </w:p>
        </w:tc>
      </w:tr>
      <w:tr>
        <w:trPr>
          <w:trHeight w:val="131"/>
        </w:trPr>
        <w:tc>
          <w:tcPr>
            <w:tcW w:w="8560" w:type="dxa"/>
            <w:vAlign w:val="bottom"/>
            <w:tcBorders>
              <w:bottom w:val="single" w:sz="8" w:color="CCEEFF"/>
            </w:tcBorders>
          </w:tcPr>
          <w:p>
            <w:pPr>
              <w:ind w:left="740"/>
              <w:spacing w:after="0" w:line="120" w:lineRule="exact"/>
              <w:rPr>
                <w:sz w:val="20"/>
                <w:szCs w:val="20"/>
                <w:color w:val="auto"/>
              </w:rPr>
            </w:pPr>
            <w:r>
              <w:rPr>
                <w:rFonts w:ascii="Arial" w:cs="Arial" w:eastAsia="Arial" w:hAnsi="Arial"/>
                <w:sz w:val="11"/>
                <w:szCs w:val="11"/>
                <w:color w:val="auto"/>
              </w:rPr>
              <w:t>Net cash provided by operating activities</w:t>
            </w: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3,281</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10,661</w:t>
            </w:r>
          </w:p>
        </w:tc>
      </w:tr>
      <w:tr>
        <w:trPr>
          <w:trHeight w:val="126"/>
        </w:trPr>
        <w:tc>
          <w:tcPr>
            <w:tcW w:w="85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Cash from investing activities</w:t>
            </w:r>
          </w:p>
        </w:tc>
        <w:tc>
          <w:tcPr>
            <w:tcW w:w="8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42"/>
        </w:trPr>
        <w:tc>
          <w:tcPr>
            <w:tcW w:w="8560" w:type="dxa"/>
            <w:vAlign w:val="bottom"/>
          </w:tcPr>
          <w:p>
            <w:pPr>
              <w:spacing w:after="0"/>
              <w:rPr>
                <w:sz w:val="20"/>
                <w:szCs w:val="20"/>
                <w:color w:val="auto"/>
              </w:rPr>
            </w:pPr>
            <w:r>
              <w:rPr>
                <w:rFonts w:ascii="Arial" w:cs="Arial" w:eastAsia="Arial" w:hAnsi="Arial"/>
                <w:sz w:val="11"/>
                <w:szCs w:val="11"/>
                <w:color w:val="auto"/>
              </w:rPr>
              <w:t>Purchases of available-for-sale investments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(44,900)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(148,293)</w:t>
            </w:r>
          </w:p>
        </w:tc>
      </w:tr>
      <w:tr>
        <w:trPr>
          <w:trHeight w:val="146"/>
        </w:trPr>
        <w:tc>
          <w:tcPr>
            <w:tcW w:w="8560" w:type="dxa"/>
            <w:vAlign w:val="bottom"/>
            <w:shd w:val="clear" w:color="auto" w:fill="CCEEFF"/>
          </w:tcPr>
          <w:p>
            <w:pPr>
              <w:spacing w:after="0"/>
              <w:rPr>
                <w:sz w:val="20"/>
                <w:szCs w:val="20"/>
                <w:color w:val="auto"/>
              </w:rPr>
            </w:pPr>
            <w:r>
              <w:rPr>
                <w:rFonts w:ascii="Arial" w:cs="Arial" w:eastAsia="Arial" w:hAnsi="Arial"/>
                <w:sz w:val="11"/>
                <w:szCs w:val="11"/>
                <w:color w:val="auto"/>
              </w:rPr>
              <w:t>Proceeds from sales of available-for-sale investments</w:t>
            </w:r>
          </w:p>
        </w:tc>
        <w:tc>
          <w:tcPr>
            <w:tcW w:w="8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42,198</w:t>
            </w:r>
          </w:p>
        </w:tc>
      </w:tr>
      <w:tr>
        <w:trPr>
          <w:trHeight w:val="142"/>
        </w:trPr>
        <w:tc>
          <w:tcPr>
            <w:tcW w:w="8560" w:type="dxa"/>
            <w:vAlign w:val="bottom"/>
          </w:tcPr>
          <w:p>
            <w:pPr>
              <w:spacing w:after="0"/>
              <w:rPr>
                <w:sz w:val="20"/>
                <w:szCs w:val="20"/>
                <w:color w:val="auto"/>
              </w:rPr>
            </w:pPr>
            <w:r>
              <w:rPr>
                <w:rFonts w:ascii="Arial" w:cs="Arial" w:eastAsia="Arial" w:hAnsi="Arial"/>
                <w:sz w:val="11"/>
                <w:szCs w:val="11"/>
                <w:color w:val="auto"/>
              </w:rPr>
              <w:t>Proceeds from maturities of available-for-sale investments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43,498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26,750</w:t>
            </w:r>
          </w:p>
        </w:tc>
      </w:tr>
      <w:tr>
        <w:trPr>
          <w:trHeight w:val="146"/>
        </w:trPr>
        <w:tc>
          <w:tcPr>
            <w:tcW w:w="8560" w:type="dxa"/>
            <w:vAlign w:val="bottom"/>
            <w:shd w:val="clear" w:color="auto" w:fill="CCEEFF"/>
          </w:tcPr>
          <w:p>
            <w:pPr>
              <w:spacing w:after="0"/>
              <w:rPr>
                <w:sz w:val="20"/>
                <w:szCs w:val="20"/>
                <w:color w:val="auto"/>
              </w:rPr>
            </w:pPr>
            <w:r>
              <w:rPr>
                <w:rFonts w:ascii="Arial" w:cs="Arial" w:eastAsia="Arial" w:hAnsi="Arial"/>
                <w:sz w:val="11"/>
                <w:szCs w:val="11"/>
                <w:color w:val="auto"/>
              </w:rPr>
              <w:t>Purchases of property and equipment</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(2,804)</w:t>
            </w:r>
          </w:p>
        </w:tc>
      </w:tr>
      <w:tr>
        <w:trPr>
          <w:trHeight w:val="142"/>
        </w:trPr>
        <w:tc>
          <w:tcPr>
            <w:tcW w:w="8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Capitalization of software development costs</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(7,193)</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(11,911)</w:t>
            </w:r>
          </w:p>
        </w:tc>
      </w:tr>
      <w:tr>
        <w:trPr>
          <w:trHeight w:val="135"/>
        </w:trPr>
        <w:tc>
          <w:tcPr>
            <w:tcW w:w="8560" w:type="dxa"/>
            <w:vAlign w:val="bottom"/>
            <w:shd w:val="clear" w:color="auto" w:fill="CCEEFF"/>
          </w:tcPr>
          <w:p>
            <w:pPr>
              <w:ind w:left="740"/>
              <w:spacing w:after="0" w:line="122" w:lineRule="exact"/>
              <w:rPr>
                <w:sz w:val="20"/>
                <w:szCs w:val="20"/>
                <w:color w:val="auto"/>
              </w:rPr>
            </w:pPr>
            <w:r>
              <w:rPr>
                <w:rFonts w:ascii="Arial" w:cs="Arial" w:eastAsia="Arial" w:hAnsi="Arial"/>
                <w:sz w:val="11"/>
                <w:szCs w:val="11"/>
                <w:color w:val="auto"/>
              </w:rPr>
              <w:t>Net cash used in investing activities</w:t>
            </w:r>
          </w:p>
        </w:tc>
        <w:tc>
          <w:tcPr>
            <w:tcW w:w="8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(13,694)</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(94,060)</w:t>
            </w:r>
          </w:p>
        </w:tc>
      </w:tr>
      <w:tr>
        <w:trPr>
          <w:trHeight w:val="122"/>
        </w:trPr>
        <w:tc>
          <w:tcPr>
            <w:tcW w:w="8560" w:type="dxa"/>
            <w:vAlign w:val="bottom"/>
          </w:tcPr>
          <w:p>
            <w:pPr>
              <w:spacing w:after="0" w:line="121" w:lineRule="exact"/>
              <w:rPr>
                <w:sz w:val="20"/>
                <w:szCs w:val="20"/>
                <w:color w:val="auto"/>
              </w:rPr>
            </w:pPr>
            <w:r>
              <w:rPr>
                <w:rFonts w:ascii="Arial" w:cs="Arial" w:eastAsia="Arial" w:hAnsi="Arial"/>
                <w:sz w:val="11"/>
                <w:szCs w:val="11"/>
                <w:b w:val="1"/>
                <w:bCs w:val="1"/>
                <w:color w:val="auto"/>
              </w:rPr>
              <w:t>Cash from financing activities</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6"/>
        </w:trPr>
        <w:tc>
          <w:tcPr>
            <w:tcW w:w="8560" w:type="dxa"/>
            <w:vAlign w:val="bottom"/>
            <w:shd w:val="clear" w:color="auto" w:fill="CCEEFF"/>
          </w:tcPr>
          <w:p>
            <w:pPr>
              <w:spacing w:after="0"/>
              <w:rPr>
                <w:sz w:val="20"/>
                <w:szCs w:val="20"/>
                <w:color w:val="auto"/>
              </w:rPr>
            </w:pPr>
            <w:r>
              <w:rPr>
                <w:rFonts w:ascii="Arial" w:cs="Arial" w:eastAsia="Arial" w:hAnsi="Arial"/>
                <w:sz w:val="11"/>
                <w:szCs w:val="11"/>
                <w:color w:val="auto"/>
              </w:rPr>
              <w:t>Proceeds from stock option exercises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w:t>
            </w:r>
          </w:p>
        </w:tc>
      </w:tr>
      <w:tr>
        <w:trPr>
          <w:trHeight w:val="142"/>
        </w:trPr>
        <w:tc>
          <w:tcPr>
            <w:tcW w:w="8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Tax withholding for net share settlement</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(5,597)</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(8,900)</w:t>
            </w:r>
          </w:p>
        </w:tc>
      </w:tr>
      <w:tr>
        <w:trPr>
          <w:trHeight w:val="135"/>
        </w:trPr>
        <w:tc>
          <w:tcPr>
            <w:tcW w:w="8560" w:type="dxa"/>
            <w:vAlign w:val="bottom"/>
            <w:shd w:val="clear" w:color="auto" w:fill="CCEEFF"/>
          </w:tcPr>
          <w:p>
            <w:pPr>
              <w:ind w:left="740"/>
              <w:spacing w:after="0" w:line="122" w:lineRule="exact"/>
              <w:rPr>
                <w:sz w:val="20"/>
                <w:szCs w:val="20"/>
                <w:color w:val="auto"/>
              </w:rPr>
            </w:pPr>
            <w:r>
              <w:rPr>
                <w:rFonts w:ascii="Arial" w:cs="Arial" w:eastAsia="Arial" w:hAnsi="Arial"/>
                <w:sz w:val="11"/>
                <w:szCs w:val="11"/>
                <w:color w:val="auto"/>
              </w:rPr>
              <w:t>Net cash used in financing activities</w:t>
            </w:r>
          </w:p>
        </w:tc>
        <w:tc>
          <w:tcPr>
            <w:tcW w:w="8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(4,994)</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(8,254)</w:t>
            </w:r>
          </w:p>
        </w:tc>
      </w:tr>
      <w:tr>
        <w:trPr>
          <w:trHeight w:val="131"/>
        </w:trPr>
        <w:tc>
          <w:tcPr>
            <w:tcW w:w="8560" w:type="dxa"/>
            <w:vAlign w:val="bottom"/>
          </w:tcPr>
          <w:p>
            <w:pPr>
              <w:ind w:left="740"/>
              <w:spacing w:after="0" w:line="120" w:lineRule="exact"/>
              <w:rPr>
                <w:sz w:val="20"/>
                <w:szCs w:val="20"/>
                <w:color w:val="auto"/>
              </w:rPr>
            </w:pPr>
            <w:r>
              <w:rPr>
                <w:rFonts w:ascii="Arial" w:cs="Arial" w:eastAsia="Arial" w:hAnsi="Arial"/>
                <w:sz w:val="11"/>
                <w:szCs w:val="11"/>
                <w:color w:val="auto"/>
              </w:rPr>
              <w:t>Net decrease in cash, cash equivalents and restricted cash</w:t>
            </w:r>
          </w:p>
        </w:tc>
        <w:tc>
          <w:tcPr>
            <w:tcW w:w="8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(15,407)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(91,653)</w:t>
            </w:r>
          </w:p>
        </w:tc>
      </w:tr>
      <w:tr>
        <w:trPr>
          <w:trHeight w:val="146"/>
        </w:trPr>
        <w:tc>
          <w:tcPr>
            <w:tcW w:w="85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cash equivalents and restricted cash</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2"/>
        </w:trPr>
        <w:tc>
          <w:tcPr>
            <w:tcW w:w="8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Beginning of period</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58,283</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140,699</w:t>
            </w:r>
          </w:p>
        </w:tc>
      </w:tr>
      <w:tr>
        <w:trPr>
          <w:trHeight w:val="151"/>
        </w:trPr>
        <w:tc>
          <w:tcPr>
            <w:tcW w:w="856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color w:val="auto"/>
              </w:rPr>
              <w:t>End of period</w:t>
            </w:r>
          </w:p>
        </w:tc>
        <w:tc>
          <w:tcPr>
            <w:tcW w:w="8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42,876</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49,046</w:t>
            </w:r>
          </w:p>
        </w:tc>
      </w:tr>
      <w:tr>
        <w:trPr>
          <w:trHeight w:val="153"/>
        </w:trPr>
        <w:tc>
          <w:tcPr>
            <w:tcW w:w="8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4"/>
        </w:trPr>
        <w:tc>
          <w:tcPr>
            <w:tcW w:w="85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Noncash investing and financing activities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2"/>
        </w:trPr>
        <w:tc>
          <w:tcPr>
            <w:tcW w:w="8560" w:type="dxa"/>
            <w:vAlign w:val="bottom"/>
          </w:tcPr>
          <w:p>
            <w:pPr>
              <w:spacing w:after="0"/>
              <w:rPr>
                <w:sz w:val="20"/>
                <w:szCs w:val="20"/>
                <w:color w:val="auto"/>
              </w:rPr>
            </w:pPr>
            <w:r>
              <w:rPr>
                <w:rFonts w:ascii="Arial" w:cs="Arial" w:eastAsia="Arial" w:hAnsi="Arial"/>
                <w:sz w:val="11"/>
                <w:szCs w:val="11"/>
                <w:color w:val="auto"/>
              </w:rPr>
              <w:t>Purchases of property and equipment included in accounts payable and accrued expenses</w:t>
            </w: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484</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822</w:t>
            </w:r>
          </w:p>
        </w:tc>
      </w:tr>
      <w:tr>
        <w:trPr>
          <w:trHeight w:val="146"/>
        </w:trPr>
        <w:tc>
          <w:tcPr>
            <w:tcW w:w="8560" w:type="dxa"/>
            <w:vAlign w:val="bottom"/>
            <w:shd w:val="clear" w:color="auto" w:fill="CCEEFF"/>
          </w:tcPr>
          <w:p>
            <w:pPr>
              <w:spacing w:after="0"/>
              <w:rPr>
                <w:sz w:val="20"/>
                <w:szCs w:val="20"/>
                <w:color w:val="auto"/>
              </w:rPr>
            </w:pPr>
            <w:r>
              <w:rPr>
                <w:rFonts w:ascii="Arial" w:cs="Arial" w:eastAsia="Arial" w:hAnsi="Arial"/>
                <w:sz w:val="11"/>
                <w:szCs w:val="11"/>
                <w:color w:val="auto"/>
              </w:rPr>
              <w:t>Capitalization of software development costs included in accrued expenses and accrued employee expenses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1,361</w:t>
            </w:r>
          </w:p>
        </w:tc>
      </w:tr>
      <w:tr>
        <w:trPr>
          <w:trHeight w:val="140"/>
        </w:trPr>
        <w:tc>
          <w:tcPr>
            <w:tcW w:w="8560" w:type="dxa"/>
            <w:vAlign w:val="bottom"/>
          </w:tcPr>
          <w:p>
            <w:pPr>
              <w:spacing w:after="0"/>
              <w:rPr>
                <w:sz w:val="20"/>
                <w:szCs w:val="20"/>
                <w:color w:val="auto"/>
              </w:rPr>
            </w:pPr>
            <w:r>
              <w:rPr>
                <w:rFonts w:ascii="Arial" w:cs="Arial" w:eastAsia="Arial" w:hAnsi="Arial"/>
                <w:sz w:val="11"/>
                <w:szCs w:val="11"/>
                <w:color w:val="auto"/>
              </w:rPr>
              <w:t>Stock-based compensation capitalized for software development</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1,226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1,178</w:t>
            </w: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0" w:name="page11"/>
    <w:bookmarkEnd w:id="1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following table presents a reconciliation of cash, cash equivalents and restricted cash reported within our Condensed Consolidated Balance Sheets to the total of the same such amounts shown above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5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0"/>
                <w:szCs w:val="10"/>
                <w:b w:val="1"/>
                <w:bCs w:val="1"/>
                <w:color w:val="auto"/>
              </w:rPr>
              <w:t>June 30,</w:t>
            </w:r>
          </w:p>
        </w:tc>
        <w:tc>
          <w:tcPr>
            <w:tcW w:w="980" w:type="dxa"/>
            <w:vAlign w:val="bottom"/>
            <w:tcBorders>
              <w:bottom w:val="single" w:sz="8" w:color="auto"/>
            </w:tcBorders>
          </w:tcPr>
          <w:p>
            <w:pPr>
              <w:spacing w:after="0"/>
              <w:rPr>
                <w:sz w:val="11"/>
                <w:szCs w:val="11"/>
                <w:color w:val="auto"/>
              </w:rPr>
            </w:pPr>
          </w:p>
        </w:tc>
      </w:tr>
      <w:tr>
        <w:trPr>
          <w:trHeight w:val="118"/>
        </w:trPr>
        <w:tc>
          <w:tcPr>
            <w:tcW w:w="856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508"/>
              <w:spacing w:after="0"/>
              <w:rPr>
                <w:sz w:val="20"/>
                <w:szCs w:val="20"/>
                <w:color w:val="auto"/>
              </w:rPr>
            </w:pPr>
            <w:r>
              <w:rPr>
                <w:rFonts w:ascii="Arial" w:cs="Arial" w:eastAsia="Arial" w:hAnsi="Arial"/>
                <w:sz w:val="10"/>
                <w:szCs w:val="10"/>
                <w:b w:val="1"/>
                <w:bCs w:val="1"/>
                <w:color w:val="auto"/>
              </w:rPr>
              <w:t>2021</w:t>
            </w:r>
          </w:p>
        </w:tc>
      </w:tr>
      <w:tr>
        <w:trPr>
          <w:trHeight w:val="134"/>
        </w:trPr>
        <w:tc>
          <w:tcPr>
            <w:tcW w:w="856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42,626</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48,610</w:t>
            </w:r>
          </w:p>
        </w:tc>
      </w:tr>
      <w:tr>
        <w:trPr>
          <w:trHeight w:val="142"/>
        </w:trPr>
        <w:tc>
          <w:tcPr>
            <w:tcW w:w="8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Restricted cash included in other assets</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436</w:t>
            </w:r>
          </w:p>
        </w:tc>
      </w:tr>
      <w:tr>
        <w:trPr>
          <w:trHeight w:val="151"/>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cash, cash equivalents and restricted cash</w:t>
            </w:r>
          </w:p>
        </w:tc>
        <w:tc>
          <w:tcPr>
            <w:tcW w:w="86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42,876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49,046</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1" w:name="page12"/>
    <w:bookmarkEnd w:id="1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APPFOLIO,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UNAUDITED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Nature of Business</w:t>
      </w:r>
    </w:p>
    <w:p>
      <w:pPr>
        <w:spacing w:after="0" w:line="12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AppFolio, Inc. ("we," "us" or "our") is a leading provider of cloud business management solutions for the real estate industry. Our solutions enable our customers to digitally transform their businesses, automate and streamline critical business operations and deliver a better customer experience. We were founded in 2006 with the vision of revolutionizing vertical industry businesses by providing great software and services. Our mission is even more relevant today, when digital transformation is effectively a requirement for business success in the modern world, and the way we work and live requires powerful software solutions to enable a more seamless experience.</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Basis of Presentation and Significant Accounting Policies</w:t>
      </w:r>
    </w:p>
    <w:p>
      <w:pPr>
        <w:spacing w:after="0" w:line="78"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28, 2022.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six months ended June 30, 2022 are not necessarily indicative of the results expected for the full year ending December 31, 2022.</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Reclassification</w:t>
      </w:r>
    </w:p>
    <w:p>
      <w:pPr>
        <w:spacing w:after="0" w:line="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reclassified certain amounts in our Condensed Consolidated Balance Sheets and Condensed Consolidated Statements of Cash Flows within the cash flows from operating activities section in the prior year to conform to the current year's presentation.</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7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capitalized software development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assumptions underlying stock-based compensation. Actual results could differ from those estimates and any such differences may have a material impact on our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2" w:name="page13"/>
    <w:bookmarkEnd w:id="12"/>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11"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Net (Loss) Income per Common Share</w:t>
      </w:r>
    </w:p>
    <w:p>
      <w:pPr>
        <w:spacing w:after="0" w:line="78" w:lineRule="exact"/>
        <w:rPr>
          <w:sz w:val="20"/>
          <w:szCs w:val="20"/>
          <w:color w:val="auto"/>
        </w:rPr>
      </w:pPr>
    </w:p>
    <w:p>
      <w:pPr>
        <w:jc w:val="both"/>
        <w:ind w:left="8" w:right="20" w:firstLine="432"/>
        <w:spacing w:after="0" w:line="323" w:lineRule="auto"/>
        <w:rPr>
          <w:sz w:val="20"/>
          <w:szCs w:val="20"/>
          <w:color w:val="auto"/>
        </w:rPr>
      </w:pPr>
      <w:r>
        <w:rPr>
          <w:rFonts w:ascii="Arial" w:cs="Arial" w:eastAsia="Arial" w:hAnsi="Arial"/>
          <w:sz w:val="11"/>
          <w:szCs w:val="11"/>
          <w:color w:val="auto"/>
        </w:rPr>
        <w:t>Net (loss) income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(loss) income per common share (in thousands):</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88"/>
              </w:rPr>
              <w:t>Three Months Ended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3"/>
          </w:tcPr>
          <w:p>
            <w:pPr>
              <w:jc w:val="center"/>
              <w:ind w:left="585"/>
              <w:spacing w:after="0"/>
              <w:rPr>
                <w:sz w:val="20"/>
                <w:szCs w:val="20"/>
                <w:color w:val="auto"/>
              </w:rPr>
            </w:pPr>
            <w:r>
              <w:rPr>
                <w:rFonts w:ascii="Arial" w:cs="Arial" w:eastAsia="Arial" w:hAnsi="Arial"/>
                <w:sz w:val="10"/>
                <w:szCs w:val="10"/>
                <w:b w:val="1"/>
                <w:bCs w:val="1"/>
                <w:color w:val="auto"/>
                <w:w w:val="87"/>
              </w:rPr>
              <w:t>Six Months Ended</w:t>
            </w:r>
          </w:p>
        </w:tc>
        <w:tc>
          <w:tcPr>
            <w:tcW w:w="640" w:type="dxa"/>
            <w:vAlign w:val="bottom"/>
          </w:tcPr>
          <w:p>
            <w:pPr>
              <w:spacing w:after="0"/>
              <w:rPr>
                <w:sz w:val="10"/>
                <w:szCs w:val="10"/>
                <w:color w:val="auto"/>
              </w:rPr>
            </w:pPr>
          </w:p>
        </w:tc>
      </w:tr>
      <w:tr>
        <w:trPr>
          <w:trHeight w:val="125"/>
        </w:trPr>
        <w:tc>
          <w:tcPr>
            <w:tcW w:w="690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4"/>
              </w:rPr>
              <w:t>June 30,</w:t>
            </w: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Borders>
              <w:bottom w:val="single" w:sz="8" w:color="auto"/>
            </w:tcBorders>
            <w:gridSpan w:val="3"/>
          </w:tcPr>
          <w:p>
            <w:pPr>
              <w:jc w:val="center"/>
              <w:ind w:left="605"/>
              <w:spacing w:after="0"/>
              <w:rPr>
                <w:sz w:val="20"/>
                <w:szCs w:val="20"/>
                <w:color w:val="auto"/>
              </w:rPr>
            </w:pPr>
            <w:r>
              <w:rPr>
                <w:rFonts w:ascii="Arial" w:cs="Arial" w:eastAsia="Arial" w:hAnsi="Arial"/>
                <w:sz w:val="10"/>
                <w:szCs w:val="10"/>
                <w:b w:val="1"/>
                <w:bCs w:val="1"/>
                <w:color w:val="auto"/>
                <w:w w:val="84"/>
              </w:rPr>
              <w:t>June 30,</w:t>
            </w:r>
          </w:p>
        </w:tc>
        <w:tc>
          <w:tcPr>
            <w:tcW w:w="640" w:type="dxa"/>
            <w:vAlign w:val="bottom"/>
            <w:tcBorders>
              <w:bottom w:val="single" w:sz="8" w:color="auto"/>
            </w:tcBorders>
          </w:tcPr>
          <w:p>
            <w:pPr>
              <w:spacing w:after="0"/>
              <w:rPr>
                <w:sz w:val="10"/>
                <w:szCs w:val="10"/>
                <w:color w:val="auto"/>
              </w:rPr>
            </w:pPr>
          </w:p>
        </w:tc>
      </w:tr>
      <w:tr>
        <w:trPr>
          <w:trHeight w:val="115"/>
        </w:trPr>
        <w:tc>
          <w:tcPr>
            <w:tcW w:w="69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w w:val="80"/>
              </w:rPr>
              <w:t>2021</w:t>
            </w:r>
          </w:p>
        </w:tc>
        <w:tc>
          <w:tcPr>
            <w:tcW w:w="12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jc w:val="right"/>
              <w:ind w:right="345"/>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w w:val="89"/>
              </w:rPr>
              <w:t>2021</w:t>
            </w:r>
          </w:p>
        </w:tc>
      </w:tr>
      <w:tr>
        <w:trPr>
          <w:trHeight w:val="143"/>
        </w:trPr>
        <w:tc>
          <w:tcPr>
            <w:tcW w:w="7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common shares outstanding</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34,931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34,553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34,885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34,484</w:t>
            </w:r>
          </w:p>
        </w:tc>
      </w:tr>
      <w:tr>
        <w:trPr>
          <w:trHeight w:val="153"/>
        </w:trPr>
        <w:tc>
          <w:tcPr>
            <w:tcW w:w="6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Weighted average unvested restricted shares subject to repurchase</w:t>
            </w:r>
          </w:p>
        </w:tc>
        <w:tc>
          <w:tcPr>
            <w:tcW w:w="6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w:t>
            </w:r>
          </w:p>
        </w:tc>
      </w:tr>
      <w:tr>
        <w:trPr>
          <w:trHeight w:val="151"/>
        </w:trPr>
        <w:tc>
          <w:tcPr>
            <w:tcW w:w="690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Weighted average common shares outstanding; basic</w:t>
            </w:r>
          </w:p>
        </w:tc>
        <w:tc>
          <w:tcPr>
            <w:tcW w:w="6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92"/>
              </w:rPr>
              <w:t>34,927</w:t>
            </w: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34,548</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34,881</w:t>
            </w:r>
          </w:p>
        </w:tc>
        <w:tc>
          <w:tcPr>
            <w:tcW w:w="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34,479</w:t>
            </w:r>
          </w:p>
        </w:tc>
      </w:tr>
      <w:tr>
        <w:trPr>
          <w:trHeight w:val="142"/>
        </w:trPr>
        <w:tc>
          <w:tcPr>
            <w:tcW w:w="6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w w:val="98"/>
              </w:rPr>
              <w:t>Plus: Weighted average options, restricted stock units and restricted shares used to compute diluted net income per common share</w:t>
            </w:r>
          </w:p>
        </w:tc>
        <w:tc>
          <w:tcPr>
            <w:tcW w:w="6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1,126</w:t>
            </w:r>
          </w:p>
        </w:tc>
        <w:tc>
          <w:tcPr>
            <w:tcW w:w="1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1,218</w:t>
            </w:r>
          </w:p>
        </w:tc>
      </w:tr>
      <w:tr>
        <w:trPr>
          <w:trHeight w:val="158"/>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Weighted average common shares outstanding; diluted</w:t>
            </w:r>
          </w:p>
        </w:tc>
        <w:tc>
          <w:tcPr>
            <w:tcW w:w="6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34,927</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35,674</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34,881</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35,697</w:t>
            </w:r>
          </w:p>
        </w:tc>
      </w:tr>
    </w:tbl>
    <w:p>
      <w:pPr>
        <w:spacing w:after="0" w:line="171"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For the three and six months ended June 30, 2022 and 2021, an aggregate of 197,000 and 120,000 shares, respectively, underlying performance-based restricted stock units ("PSUs") were not included in the computations of diluted and anti-dilutive shares as they are considered contingently issuable upon satisfaction of pre-defined performance measures and their respective performance measures have not been met. Restricted stock units ("RSUs") with an anti-dilutive effect were excluded from the calculation of weighted average number of shares used to compute diluted net income per common share and they were not material for the three and six months ended June 30, 2021. Because we reported a net loss for the three and six months ended June 30, 2022, all potentially dilutive common shares are anti-dilutive for that period and have been excluded from the calculation of net loss per share.</w:t>
      </w:r>
    </w:p>
    <w:p>
      <w:pPr>
        <w:spacing w:after="0" w:line="39"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Recent Accounting Pronouncements Not Yet Adopted</w:t>
      </w:r>
    </w:p>
    <w:p>
      <w:pPr>
        <w:spacing w:after="0" w:line="78" w:lineRule="exact"/>
        <w:rPr>
          <w:sz w:val="20"/>
          <w:szCs w:val="20"/>
          <w:color w:val="auto"/>
        </w:rPr>
      </w:pPr>
    </w:p>
    <w:p>
      <w:pPr>
        <w:jc w:val="both"/>
        <w:ind w:left="8" w:firstLine="432"/>
        <w:spacing w:after="0" w:line="247" w:lineRule="auto"/>
        <w:rPr>
          <w:sz w:val="20"/>
          <w:szCs w:val="20"/>
          <w:color w:val="auto"/>
        </w:rPr>
      </w:pPr>
      <w:r>
        <w:rPr>
          <w:rFonts w:ascii="Arial" w:cs="Arial" w:eastAsia="Arial" w:hAnsi="Arial"/>
          <w:sz w:val="12"/>
          <w:szCs w:val="12"/>
          <w:color w:val="auto"/>
        </w:rPr>
        <w:t>In October 2021, the FASB issued ASU 2021-08, "</w:t>
      </w:r>
      <w:r>
        <w:rPr>
          <w:rFonts w:ascii="Arial" w:cs="Arial" w:eastAsia="Arial" w:hAnsi="Arial"/>
          <w:sz w:val="12"/>
          <w:szCs w:val="12"/>
          <w:i w:val="1"/>
          <w:iCs w:val="1"/>
          <w:color w:val="auto"/>
        </w:rPr>
        <w:t>Business Combinations (Topic 805): Accounting for Contract Assets and Contract Liabilities from Contracts with Customers</w:t>
      </w:r>
      <w:r>
        <w:rPr>
          <w:rFonts w:ascii="Arial" w:cs="Arial" w:eastAsia="Arial" w:hAnsi="Arial"/>
          <w:sz w:val="12"/>
          <w:szCs w:val="12"/>
          <w:color w:val="auto"/>
        </w:rPr>
        <w:t>," which requires contract assets and contract liabilities acquired in a business combination to be recognized and measured by the acquirer on the acquisition date in accordance with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as if the acquirer had originated the contracts. ASU 2021-08 is effective for fiscal years beginning after December 15, 2022, with early adoption permitted. We expect to adopt ASU 2021-08 on January 1, 2023.</w:t>
      </w:r>
    </w:p>
    <w:p>
      <w:pPr>
        <w:spacing w:after="0" w:line="191" w:lineRule="exact"/>
        <w:rPr>
          <w:sz w:val="20"/>
          <w:szCs w:val="20"/>
          <w:color w:val="auto"/>
        </w:rPr>
      </w:pPr>
    </w:p>
    <w:p>
      <w:pPr>
        <w:ind w:left="428" w:right="8520" w:hanging="428"/>
        <w:spacing w:after="0" w:line="379" w:lineRule="auto"/>
        <w:tabs>
          <w:tab w:leader="none" w:pos="116"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Investment Securities and Fair Value Measurements </w:t>
      </w:r>
      <w:r>
        <w:rPr>
          <w:rFonts w:ascii="Arial" w:cs="Arial" w:eastAsia="Arial" w:hAnsi="Arial"/>
          <w:sz w:val="12"/>
          <w:szCs w:val="12"/>
          <w:b w:val="1"/>
          <w:bCs w:val="1"/>
          <w:i w:val="1"/>
          <w:iCs w:val="1"/>
          <w:color w:val="auto"/>
        </w:rPr>
        <w:t>Investment Securities</w:t>
      </w: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Investment securities classified as available-for-sale consisted of the following as of June 30, 2022 and December 31, 2021 (in thousands):</w:t>
      </w: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50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center"/>
              <w:ind w:left="1044"/>
              <w:spacing w:after="0"/>
              <w:rPr>
                <w:sz w:val="20"/>
                <w:szCs w:val="20"/>
                <w:color w:val="auto"/>
              </w:rPr>
            </w:pPr>
            <w:r>
              <w:rPr>
                <w:rFonts w:ascii="Arial" w:cs="Arial" w:eastAsia="Arial" w:hAnsi="Arial"/>
                <w:sz w:val="10"/>
                <w:szCs w:val="10"/>
                <w:b w:val="1"/>
                <w:bCs w:val="1"/>
                <w:color w:val="auto"/>
                <w:w w:val="86"/>
              </w:rPr>
              <w:t>June 30, 2022</w:t>
            </w:r>
          </w:p>
        </w:tc>
        <w:tc>
          <w:tcPr>
            <w:tcW w:w="1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18"/>
        </w:trPr>
        <w:tc>
          <w:tcPr>
            <w:tcW w:w="50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Amortized Cost</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w w:val="92"/>
              </w:rPr>
              <w:t>Gross Unrealized Gains</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w w:val="83"/>
              </w:rPr>
              <w:t>Gross Unrealized Losses</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w w:val="99"/>
              </w:rPr>
              <w:t>Estimated Fair Value</w:t>
            </w:r>
          </w:p>
        </w:tc>
      </w:tr>
      <w:tr>
        <w:trPr>
          <w:trHeight w:val="143"/>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Corporate bonds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19,464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19,404</w:t>
            </w:r>
          </w:p>
        </w:tc>
      </w:tr>
      <w:tr>
        <w:trPr>
          <w:trHeight w:val="153"/>
        </w:trPr>
        <w:tc>
          <w:tcPr>
            <w:tcW w:w="5020" w:type="dxa"/>
            <w:vAlign w:val="bottom"/>
          </w:tcPr>
          <w:p>
            <w:pPr>
              <w:spacing w:after="0"/>
              <w:rPr>
                <w:sz w:val="20"/>
                <w:szCs w:val="20"/>
                <w:color w:val="auto"/>
              </w:rPr>
            </w:pPr>
            <w:r>
              <w:rPr>
                <w:rFonts w:ascii="Arial" w:cs="Arial" w:eastAsia="Arial" w:hAnsi="Arial"/>
                <w:sz w:val="12"/>
                <w:szCs w:val="12"/>
                <w:color w:val="auto"/>
              </w:rPr>
              <w:t>Agency securities</w:t>
            </w:r>
          </w:p>
        </w:tc>
        <w:tc>
          <w:tcPr>
            <w:tcW w:w="240" w:type="dxa"/>
            <w:vAlign w:val="bottom"/>
          </w:tcPr>
          <w:p>
            <w:pPr>
              <w:spacing w:after="0"/>
              <w:rPr>
                <w:sz w:val="13"/>
                <w:szCs w:val="13"/>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19,752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(443)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19,309</w:t>
            </w:r>
          </w:p>
        </w:tc>
      </w:tr>
      <w:tr>
        <w:trPr>
          <w:trHeight w:val="153"/>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Treasury securities</w:t>
            </w:r>
          </w:p>
        </w:tc>
        <w:tc>
          <w:tcPr>
            <w:tcW w:w="2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88,126</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(1,505)</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86,621</w:t>
            </w:r>
          </w:p>
        </w:tc>
      </w:tr>
      <w:tr>
        <w:trPr>
          <w:trHeight w:val="142"/>
        </w:trPr>
        <w:tc>
          <w:tcPr>
            <w:tcW w:w="5020" w:type="dxa"/>
            <w:vAlign w:val="bottom"/>
          </w:tcPr>
          <w:p>
            <w:pPr>
              <w:spacing w:after="0"/>
              <w:rPr>
                <w:sz w:val="20"/>
                <w:szCs w:val="20"/>
                <w:color w:val="auto"/>
              </w:rPr>
            </w:pPr>
            <w:r>
              <w:rPr>
                <w:rFonts w:ascii="Arial" w:cs="Arial" w:eastAsia="Arial" w:hAnsi="Arial"/>
                <w:sz w:val="12"/>
                <w:szCs w:val="12"/>
                <w:color w:val="auto"/>
              </w:rPr>
              <w:t>Total available-for-sale investment securities</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127,342</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125,334</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86"/>
        </w:trPr>
        <w:tc>
          <w:tcPr>
            <w:tcW w:w="5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0"/>
                <w:szCs w:val="10"/>
                <w:b w:val="1"/>
                <w:bCs w:val="1"/>
                <w:color w:val="auto"/>
                <w:w w:val="86"/>
              </w:rPr>
              <w:t>December 31, 2021</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18"/>
        </w:trPr>
        <w:tc>
          <w:tcPr>
            <w:tcW w:w="50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Amortized Cost</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w w:val="92"/>
              </w:rPr>
              <w:t>Gross Unrealized Gains</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w w:val="83"/>
              </w:rPr>
              <w:t>Gross Unrealized Losses</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w w:val="99"/>
              </w:rPr>
              <w:t>Estimated Fair Value</w:t>
            </w:r>
          </w:p>
        </w:tc>
      </w:tr>
      <w:tr>
        <w:trPr>
          <w:trHeight w:val="143"/>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Corporate bonds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29,080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29,069</w:t>
            </w:r>
          </w:p>
        </w:tc>
      </w:tr>
      <w:tr>
        <w:trPr>
          <w:trHeight w:val="153"/>
        </w:trPr>
        <w:tc>
          <w:tcPr>
            <w:tcW w:w="5020" w:type="dxa"/>
            <w:vAlign w:val="bottom"/>
          </w:tcPr>
          <w:p>
            <w:pPr>
              <w:spacing w:after="0"/>
              <w:rPr>
                <w:sz w:val="20"/>
                <w:szCs w:val="20"/>
                <w:color w:val="auto"/>
              </w:rPr>
            </w:pPr>
            <w:r>
              <w:rPr>
                <w:rFonts w:ascii="Arial" w:cs="Arial" w:eastAsia="Arial" w:hAnsi="Arial"/>
                <w:sz w:val="12"/>
                <w:szCs w:val="12"/>
                <w:color w:val="auto"/>
              </w:rPr>
              <w:t>Agency securities</w:t>
            </w:r>
          </w:p>
        </w:tc>
        <w:tc>
          <w:tcPr>
            <w:tcW w:w="240" w:type="dxa"/>
            <w:vAlign w:val="bottom"/>
          </w:tcPr>
          <w:p>
            <w:pPr>
              <w:spacing w:after="0"/>
              <w:rPr>
                <w:sz w:val="13"/>
                <w:szCs w:val="13"/>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19,753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19,726</w:t>
            </w:r>
          </w:p>
        </w:tc>
      </w:tr>
      <w:tr>
        <w:trPr>
          <w:trHeight w:val="153"/>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Treasury securities</w:t>
            </w:r>
          </w:p>
        </w:tc>
        <w:tc>
          <w:tcPr>
            <w:tcW w:w="2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77,108</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(229)</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76,881</w:t>
            </w:r>
          </w:p>
        </w:tc>
      </w:tr>
      <w:tr>
        <w:trPr>
          <w:trHeight w:val="142"/>
        </w:trPr>
        <w:tc>
          <w:tcPr>
            <w:tcW w:w="5020" w:type="dxa"/>
            <w:vAlign w:val="bottom"/>
          </w:tcPr>
          <w:p>
            <w:pPr>
              <w:spacing w:after="0"/>
              <w:rPr>
                <w:sz w:val="20"/>
                <w:szCs w:val="20"/>
                <w:color w:val="auto"/>
              </w:rPr>
            </w:pPr>
            <w:r>
              <w:rPr>
                <w:rFonts w:ascii="Arial" w:cs="Arial" w:eastAsia="Arial" w:hAnsi="Arial"/>
                <w:sz w:val="12"/>
                <w:szCs w:val="12"/>
                <w:color w:val="auto"/>
              </w:rPr>
              <w:t>Total available-for-sale investment securities</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125,941</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125,676</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52"/>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62"/>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72"/>
        </w:trPr>
        <w:tc>
          <w:tcPr>
            <w:tcW w:w="50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67" w:right="299" w:bottom="1440" w:gutter="0" w:footer="0" w:header="0"/>
        </w:sectPr>
      </w:pPr>
    </w:p>
    <w:bookmarkStart w:id="13" w:name="page14"/>
    <w:bookmarkEnd w:id="1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As of June 30, 2022,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June 30, 2022 or December 31, 2021.</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fair values of available-for-sale investment securities, by remaining contractual maturity,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June 30, 2022</w:t>
            </w:r>
          </w:p>
        </w:tc>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gridSpan w:val="4"/>
          </w:tcPr>
          <w:p>
            <w:pPr>
              <w:jc w:val="right"/>
              <w:ind w:right="1103"/>
              <w:spacing w:after="0"/>
              <w:rPr>
                <w:sz w:val="20"/>
                <w:szCs w:val="20"/>
                <w:color w:val="auto"/>
              </w:rPr>
            </w:pPr>
            <w:r>
              <w:rPr>
                <w:rFonts w:ascii="Arial" w:cs="Arial" w:eastAsia="Arial" w:hAnsi="Arial"/>
                <w:sz w:val="10"/>
                <w:szCs w:val="10"/>
                <w:b w:val="1"/>
                <w:bCs w:val="1"/>
                <w:color w:val="auto"/>
              </w:rPr>
              <w:t>December 31, 2021</w:t>
            </w:r>
          </w:p>
        </w:tc>
      </w:tr>
      <w:tr>
        <w:trPr>
          <w:trHeight w:val="118"/>
        </w:trPr>
        <w:tc>
          <w:tcPr>
            <w:tcW w:w="5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ind w:left="180"/>
              <w:spacing w:after="0"/>
              <w:rPr>
                <w:sz w:val="20"/>
                <w:szCs w:val="20"/>
                <w:color w:val="auto"/>
              </w:rPr>
            </w:pPr>
            <w:r>
              <w:rPr>
                <w:rFonts w:ascii="Arial" w:cs="Arial" w:eastAsia="Arial" w:hAnsi="Arial"/>
                <w:sz w:val="10"/>
                <w:szCs w:val="10"/>
                <w:b w:val="1"/>
                <w:bCs w:val="1"/>
                <w:color w:val="auto"/>
              </w:rPr>
              <w:t>Amortized Cost</w:t>
            </w:r>
          </w:p>
        </w:tc>
        <w:tc>
          <w:tcPr>
            <w:tcW w:w="280" w:type="dxa"/>
            <w:vAlign w:val="bottom"/>
          </w:tcPr>
          <w:p>
            <w:pPr>
              <w:spacing w:after="0"/>
              <w:rPr>
                <w:sz w:val="10"/>
                <w:szCs w:val="10"/>
                <w:color w:val="auto"/>
              </w:rPr>
            </w:pPr>
          </w:p>
        </w:tc>
        <w:tc>
          <w:tcPr>
            <w:tcW w:w="1220" w:type="dxa"/>
            <w:vAlign w:val="bottom"/>
          </w:tcPr>
          <w:p>
            <w:pPr>
              <w:jc w:val="right"/>
              <w:ind w:right="243"/>
              <w:spacing w:after="0"/>
              <w:rPr>
                <w:sz w:val="20"/>
                <w:szCs w:val="20"/>
                <w:color w:val="auto"/>
              </w:rPr>
            </w:pPr>
            <w:r>
              <w:rPr>
                <w:rFonts w:ascii="Arial" w:cs="Arial" w:eastAsia="Arial" w:hAnsi="Arial"/>
                <w:sz w:val="10"/>
                <w:szCs w:val="10"/>
                <w:b w:val="1"/>
                <w:bCs w:val="1"/>
                <w:color w:val="auto"/>
                <w:w w:val="91"/>
              </w:rPr>
              <w:t>Estimated Fair Value</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ind w:left="160"/>
              <w:spacing w:after="0"/>
              <w:rPr>
                <w:sz w:val="20"/>
                <w:szCs w:val="20"/>
                <w:color w:val="auto"/>
              </w:rPr>
            </w:pPr>
            <w:r>
              <w:rPr>
                <w:rFonts w:ascii="Arial" w:cs="Arial" w:eastAsia="Arial" w:hAnsi="Arial"/>
                <w:sz w:val="10"/>
                <w:szCs w:val="10"/>
                <w:b w:val="1"/>
                <w:bCs w:val="1"/>
                <w:color w:val="auto"/>
              </w:rPr>
              <w:t>Amortized Cost</w:t>
            </w:r>
          </w:p>
        </w:tc>
        <w:tc>
          <w:tcPr>
            <w:tcW w:w="180" w:type="dxa"/>
            <w:vAlign w:val="bottom"/>
          </w:tcPr>
          <w:p>
            <w:pPr>
              <w:spacing w:after="0"/>
              <w:rPr>
                <w:sz w:val="10"/>
                <w:szCs w:val="10"/>
                <w:color w:val="auto"/>
              </w:rPr>
            </w:pPr>
          </w:p>
        </w:tc>
        <w:tc>
          <w:tcPr>
            <w:tcW w:w="1320" w:type="dxa"/>
            <w:vAlign w:val="bottom"/>
          </w:tcPr>
          <w:p>
            <w:pPr>
              <w:jc w:val="right"/>
              <w:ind w:right="263"/>
              <w:spacing w:after="0"/>
              <w:rPr>
                <w:sz w:val="20"/>
                <w:szCs w:val="20"/>
                <w:color w:val="auto"/>
              </w:rPr>
            </w:pPr>
            <w:r>
              <w:rPr>
                <w:rFonts w:ascii="Arial" w:cs="Arial" w:eastAsia="Arial" w:hAnsi="Arial"/>
                <w:sz w:val="10"/>
                <w:szCs w:val="10"/>
                <w:b w:val="1"/>
                <w:bCs w:val="1"/>
                <w:color w:val="auto"/>
                <w:w w:val="99"/>
              </w:rPr>
              <w:t>Estimated Fair Value</w:t>
            </w:r>
          </w:p>
        </w:tc>
      </w:tr>
      <w:tr>
        <w:trPr>
          <w:trHeight w:val="143"/>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Due in one year or less</w:t>
            </w: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75,878</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75,425</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64,627</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64,600</w:t>
            </w:r>
          </w:p>
        </w:tc>
      </w:tr>
      <w:tr>
        <w:trPr>
          <w:trHeight w:val="153"/>
        </w:trPr>
        <w:tc>
          <w:tcPr>
            <w:tcW w:w="50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Due after one year through three years</w:t>
            </w: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51,464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49,909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61,314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61,076</w:t>
            </w:r>
          </w:p>
        </w:tc>
      </w:tr>
      <w:tr>
        <w:trPr>
          <w:trHeight w:val="158"/>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available-for-sale investment securities</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127,342</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125,334</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125,941</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125,676</w:t>
            </w: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six months ended June 30, 2022 and 2021, we had sales and maturities (which include calls) of investment securities,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gridSpan w:val="7"/>
          </w:tcPr>
          <w:p>
            <w:pPr>
              <w:ind w:left="880"/>
              <w:spacing w:after="0"/>
              <w:rPr>
                <w:sz w:val="20"/>
                <w:szCs w:val="20"/>
                <w:color w:val="auto"/>
              </w:rPr>
            </w:pPr>
            <w:r>
              <w:rPr>
                <w:rFonts w:ascii="Arial" w:cs="Arial" w:eastAsia="Arial" w:hAnsi="Arial"/>
                <w:sz w:val="10"/>
                <w:szCs w:val="10"/>
                <w:b w:val="1"/>
                <w:bCs w:val="1"/>
                <w:color w:val="auto"/>
              </w:rPr>
              <w:t>Six Months Ended June 30, 2022</w:t>
            </w: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r>
      <w:tr>
        <w:trPr>
          <w:trHeight w:val="118"/>
        </w:trPr>
        <w:tc>
          <w:tcPr>
            <w:tcW w:w="50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Gross Realized Gains</w:t>
            </w: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Gross Realized Losses</w:t>
            </w: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w w:val="87"/>
              </w:rPr>
              <w:t>Gross Proceeds from Sales</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w w:val="85"/>
              </w:rPr>
              <w:t>Gross Proceeds from Maturities</w:t>
            </w:r>
          </w:p>
        </w:tc>
      </w:tr>
      <w:tr>
        <w:trPr>
          <w:trHeight w:val="143"/>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Corporate bonds</w:t>
            </w:r>
          </w:p>
        </w:tc>
        <w:tc>
          <w:tcPr>
            <w:tcW w:w="1260" w:type="dxa"/>
            <w:vAlign w:val="bottom"/>
            <w:gridSpan w:val="2"/>
            <w:shd w:val="clear" w:color="auto" w:fill="CCEEFF"/>
          </w:tcPr>
          <w:p>
            <w:pPr>
              <w:jc w:val="right"/>
              <w:ind w:right="1132"/>
              <w:spacing w:after="0"/>
              <w:rPr>
                <w:sz w:val="20"/>
                <w:szCs w:val="20"/>
                <w:color w:val="auto"/>
              </w:rPr>
            </w:pPr>
            <w:r>
              <w:rPr>
                <w:rFonts w:ascii="Arial" w:cs="Arial" w:eastAsia="Arial" w:hAnsi="Arial"/>
                <w:sz w:val="12"/>
                <w:szCs w:val="12"/>
                <w:color w:val="auto"/>
                <w:w w:val="89"/>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340" w:type="dxa"/>
            <w:vAlign w:val="bottom"/>
            <w:gridSpan w:val="3"/>
            <w:shd w:val="clear" w:color="auto" w:fill="CCEEFF"/>
          </w:tcPr>
          <w:p>
            <w:pPr>
              <w:jc w:val="right"/>
              <w:ind w:right="113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23,998</w:t>
            </w:r>
          </w:p>
        </w:tc>
      </w:tr>
      <w:tr>
        <w:trPr>
          <w:trHeight w:val="153"/>
        </w:trPr>
        <w:tc>
          <w:tcPr>
            <w:tcW w:w="5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Treasury securities</w:t>
            </w:r>
          </w:p>
        </w:tc>
        <w:tc>
          <w:tcPr>
            <w:tcW w:w="2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19,500</w:t>
            </w:r>
          </w:p>
        </w:tc>
      </w:tr>
      <w:tr>
        <w:trPr>
          <w:trHeight w:val="158"/>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1132"/>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43,498</w:t>
            </w:r>
          </w:p>
        </w:tc>
      </w:tr>
      <w:tr>
        <w:trPr>
          <w:trHeight w:val="338"/>
        </w:trPr>
        <w:tc>
          <w:tcPr>
            <w:tcW w:w="5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ind w:left="880"/>
              <w:spacing w:after="0"/>
              <w:rPr>
                <w:sz w:val="20"/>
                <w:szCs w:val="20"/>
                <w:color w:val="auto"/>
              </w:rPr>
            </w:pPr>
            <w:r>
              <w:rPr>
                <w:rFonts w:ascii="Arial" w:cs="Arial" w:eastAsia="Arial" w:hAnsi="Arial"/>
                <w:sz w:val="10"/>
                <w:szCs w:val="10"/>
                <w:b w:val="1"/>
                <w:bCs w:val="1"/>
                <w:color w:val="auto"/>
              </w:rPr>
              <w:t>Six Months Ended June 30, 2021</w:t>
            </w: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18"/>
        </w:trPr>
        <w:tc>
          <w:tcPr>
            <w:tcW w:w="500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Gross Realized Gains</w:t>
            </w: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Gross Realized Losses</w:t>
            </w: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w w:val="85"/>
              </w:rPr>
              <w:t>Gross Proceeds from Sales</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w w:val="85"/>
              </w:rPr>
              <w:t>Gross Proceeds from Maturities</w:t>
            </w:r>
          </w:p>
        </w:tc>
      </w:tr>
      <w:tr>
        <w:trPr>
          <w:trHeight w:val="143"/>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Agency securities</w:t>
            </w:r>
          </w:p>
        </w:tc>
        <w:tc>
          <w:tcPr>
            <w:tcW w:w="1260" w:type="dxa"/>
            <w:vAlign w:val="bottom"/>
            <w:gridSpan w:val="2"/>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40" w:type="dxa"/>
            <w:vAlign w:val="bottom"/>
            <w:gridSpan w:val="3"/>
            <w:shd w:val="clear" w:color="auto" w:fill="CCEEFF"/>
          </w:tcPr>
          <w:p>
            <w:pPr>
              <w:jc w:val="right"/>
              <w:ind w:right="115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5,250</w:t>
            </w:r>
          </w:p>
        </w:tc>
      </w:tr>
      <w:tr>
        <w:trPr>
          <w:trHeight w:val="153"/>
        </w:trPr>
        <w:tc>
          <w:tcPr>
            <w:tcW w:w="5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Treasury securities</w:t>
            </w:r>
          </w:p>
        </w:tc>
        <w:tc>
          <w:tcPr>
            <w:tcW w:w="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42,198</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21,500</w:t>
            </w:r>
          </w:p>
        </w:tc>
      </w:tr>
      <w:tr>
        <w:trPr>
          <w:trHeight w:val="158"/>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260" w:type="dxa"/>
            <w:vAlign w:val="bottom"/>
            <w:tcBorders>
              <w:bottom w:val="single" w:sz="8" w:color="auto"/>
            </w:tcBorders>
            <w:gridSpan w:val="2"/>
            <w:shd w:val="clear" w:color="auto" w:fill="CCEEFF"/>
          </w:tcPr>
          <w:p>
            <w:pPr>
              <w:jc w:val="right"/>
              <w:ind w:right="1152"/>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auto"/>
            </w:tcBorders>
            <w:gridSpan w:val="2"/>
            <w:shd w:val="clear" w:color="auto" w:fill="CCEEFF"/>
          </w:tcPr>
          <w:p>
            <w:pPr>
              <w:jc w:val="right"/>
              <w:ind w:right="1150"/>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42,198</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26,750</w:t>
            </w:r>
          </w:p>
        </w:tc>
      </w:tr>
    </w:tbl>
    <w:p>
      <w:pPr>
        <w:spacing w:after="0" w:line="17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Recurring Fair Value Measurements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our financial assets and liabilities measured at fair value on a recurring basis as of June 30, 2022 and December 31, 2021 by level within the fair value hierarchy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7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86"/>
              </w:rPr>
              <w:t>June 30, 2022</w:t>
            </w: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7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020" w:type="dxa"/>
            <w:vAlign w:val="bottom"/>
            <w:vMerge w:val="restart"/>
          </w:tcPr>
          <w:p>
            <w:pPr>
              <w:jc w:val="right"/>
              <w:ind w:right="72"/>
              <w:spacing w:after="0"/>
              <w:rPr>
                <w:sz w:val="20"/>
                <w:szCs w:val="20"/>
                <w:color w:val="auto"/>
              </w:rPr>
            </w:pPr>
            <w:r>
              <w:rPr>
                <w:rFonts w:ascii="Arial" w:cs="Arial" w:eastAsia="Arial" w:hAnsi="Arial"/>
                <w:sz w:val="10"/>
                <w:szCs w:val="10"/>
                <w:b w:val="1"/>
                <w:bCs w:val="1"/>
                <w:color w:val="auto"/>
              </w:rPr>
              <w:t>Level 1</w:t>
            </w: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0"/>
                <w:szCs w:val="10"/>
                <w:b w:val="1"/>
                <w:bCs w:val="1"/>
                <w:color w:val="auto"/>
                <w:w w:val="88"/>
              </w:rPr>
              <w:t>Level 2</w:t>
            </w:r>
          </w:p>
        </w:tc>
        <w:tc>
          <w:tcPr>
            <w:tcW w:w="300" w:type="dxa"/>
            <w:vAlign w:val="bottom"/>
          </w:tcPr>
          <w:p>
            <w:pPr>
              <w:spacing w:after="0"/>
              <w:rPr>
                <w:sz w:val="7"/>
                <w:szCs w:val="7"/>
                <w:color w:val="auto"/>
              </w:rPr>
            </w:pPr>
          </w:p>
        </w:tc>
        <w:tc>
          <w:tcPr>
            <w:tcW w:w="1220" w:type="dxa"/>
            <w:vAlign w:val="bottom"/>
          </w:tcPr>
          <w:p>
            <w:pPr>
              <w:jc w:val="right"/>
              <w:ind w:right="504"/>
              <w:spacing w:after="0" w:line="83" w:lineRule="exact"/>
              <w:rPr>
                <w:sz w:val="20"/>
                <w:szCs w:val="20"/>
                <w:color w:val="auto"/>
              </w:rPr>
            </w:pPr>
            <w:r>
              <w:rPr>
                <w:rFonts w:ascii="Arial" w:cs="Arial" w:eastAsia="Arial" w:hAnsi="Arial"/>
                <w:sz w:val="8"/>
                <w:szCs w:val="8"/>
                <w:b w:val="1"/>
                <w:bCs w:val="1"/>
                <w:color w:val="auto"/>
              </w:rPr>
              <w:t>Total Fair</w:t>
            </w:r>
          </w:p>
        </w:tc>
        <w:tc>
          <w:tcPr>
            <w:tcW w:w="0" w:type="dxa"/>
            <w:vAlign w:val="bottom"/>
          </w:tcPr>
          <w:p>
            <w:pPr>
              <w:spacing w:after="0"/>
              <w:rPr>
                <w:sz w:val="1"/>
                <w:szCs w:val="1"/>
                <w:color w:val="auto"/>
              </w:rPr>
            </w:pPr>
          </w:p>
        </w:tc>
      </w:tr>
      <w:tr>
        <w:trPr>
          <w:trHeight w:val="125"/>
        </w:trPr>
        <w:tc>
          <w:tcPr>
            <w:tcW w:w="37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ind w:right="584"/>
              <w:spacing w:after="0"/>
              <w:rPr>
                <w:sz w:val="20"/>
                <w:szCs w:val="20"/>
                <w:color w:val="auto"/>
              </w:rPr>
            </w:pPr>
            <w:r>
              <w:rPr>
                <w:rFonts w:ascii="Arial" w:cs="Arial" w:eastAsia="Arial" w:hAnsi="Arial"/>
                <w:sz w:val="10"/>
                <w:szCs w:val="10"/>
                <w:b w:val="1"/>
                <w:bCs w:val="1"/>
                <w:color w:val="auto"/>
              </w:rPr>
              <w:t>Value</w:t>
            </w:r>
          </w:p>
        </w:tc>
        <w:tc>
          <w:tcPr>
            <w:tcW w:w="0" w:type="dxa"/>
            <w:vAlign w:val="bottom"/>
          </w:tcPr>
          <w:p>
            <w:pPr>
              <w:spacing w:after="0"/>
              <w:rPr>
                <w:sz w:val="1"/>
                <w:szCs w:val="1"/>
                <w:color w:val="auto"/>
              </w:rPr>
            </w:pPr>
          </w:p>
        </w:tc>
      </w:tr>
      <w:tr>
        <w:trPr>
          <w:trHeight w:val="134"/>
        </w:trPr>
        <w:tc>
          <w:tcPr>
            <w:tcW w:w="37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Cash equivalents:</w:t>
            </w:r>
          </w:p>
        </w:tc>
        <w:tc>
          <w:tcPr>
            <w:tcW w:w="28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60" w:type="dxa"/>
            <w:vAlign w:val="bottom"/>
          </w:tcPr>
          <w:p>
            <w:pPr>
              <w:ind w:left="80"/>
              <w:spacing w:after="0"/>
              <w:rPr>
                <w:sz w:val="20"/>
                <w:szCs w:val="20"/>
                <w:color w:val="auto"/>
              </w:rPr>
            </w:pPr>
            <w:r>
              <w:rPr>
                <w:rFonts w:ascii="Arial" w:cs="Arial" w:eastAsia="Arial" w:hAnsi="Arial"/>
                <w:sz w:val="12"/>
                <w:szCs w:val="12"/>
                <w:color w:val="auto"/>
              </w:rPr>
              <w:t>Money market funds</w:t>
            </w:r>
          </w:p>
        </w:tc>
        <w:tc>
          <w:tcPr>
            <w:tcW w:w="3820" w:type="dxa"/>
            <w:vAlign w:val="bottom"/>
            <w:gridSpan w:val="2"/>
          </w:tcPr>
          <w:p>
            <w:pPr>
              <w:jc w:val="right"/>
              <w:ind w:right="91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4,784</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4"/>
              <w:spacing w:after="0"/>
              <w:rPr>
                <w:sz w:val="20"/>
                <w:szCs w:val="20"/>
                <w:color w:val="auto"/>
              </w:rPr>
            </w:pPr>
            <w:r>
              <w:rPr>
                <w:rFonts w:ascii="Arial" w:cs="Arial" w:eastAsia="Arial" w:hAnsi="Arial"/>
                <w:sz w:val="12"/>
                <w:szCs w:val="12"/>
                <w:color w:val="auto"/>
              </w:rPr>
              <w:t>4,784</w:t>
            </w:r>
          </w:p>
        </w:tc>
        <w:tc>
          <w:tcPr>
            <w:tcW w:w="0" w:type="dxa"/>
            <w:vAlign w:val="bottom"/>
          </w:tcPr>
          <w:p>
            <w:pPr>
              <w:spacing w:after="0"/>
              <w:rPr>
                <w:sz w:val="1"/>
                <w:szCs w:val="1"/>
                <w:color w:val="auto"/>
              </w:rPr>
            </w:pPr>
          </w:p>
        </w:tc>
      </w:tr>
      <w:tr>
        <w:trPr>
          <w:trHeight w:val="153"/>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Available-for-sale investment securities:</w:t>
            </w:r>
          </w:p>
        </w:tc>
        <w:tc>
          <w:tcPr>
            <w:tcW w:w="2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60" w:type="dxa"/>
            <w:vAlign w:val="bottom"/>
          </w:tcPr>
          <w:p>
            <w:pPr>
              <w:ind w:left="80"/>
              <w:spacing w:after="0"/>
              <w:rPr>
                <w:sz w:val="20"/>
                <w:szCs w:val="20"/>
                <w:color w:val="auto"/>
              </w:rPr>
            </w:pPr>
            <w:r>
              <w:rPr>
                <w:rFonts w:ascii="Arial" w:cs="Arial" w:eastAsia="Arial" w:hAnsi="Arial"/>
                <w:sz w:val="12"/>
                <w:szCs w:val="12"/>
                <w:color w:val="auto"/>
              </w:rPr>
              <w:t>Corporate bonds</w:t>
            </w:r>
          </w:p>
        </w:tc>
        <w:tc>
          <w:tcPr>
            <w:tcW w:w="2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19,404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2"/>
                <w:szCs w:val="12"/>
                <w:color w:val="auto"/>
              </w:rPr>
              <w:t>19,404</w:t>
            </w:r>
          </w:p>
        </w:tc>
        <w:tc>
          <w:tcPr>
            <w:tcW w:w="0" w:type="dxa"/>
            <w:vAlign w:val="bottom"/>
          </w:tcPr>
          <w:p>
            <w:pPr>
              <w:spacing w:after="0"/>
              <w:rPr>
                <w:sz w:val="1"/>
                <w:szCs w:val="1"/>
                <w:color w:val="auto"/>
              </w:rPr>
            </w:pPr>
          </w:p>
        </w:tc>
      </w:tr>
      <w:tr>
        <w:trPr>
          <w:trHeight w:val="153"/>
        </w:trPr>
        <w:tc>
          <w:tcPr>
            <w:tcW w:w="3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Agency securities</w:t>
            </w:r>
          </w:p>
        </w:tc>
        <w:tc>
          <w:tcPr>
            <w:tcW w:w="2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19,309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19,309</w:t>
            </w:r>
          </w:p>
        </w:tc>
        <w:tc>
          <w:tcPr>
            <w:tcW w:w="0" w:type="dxa"/>
            <w:vAlign w:val="bottom"/>
          </w:tcPr>
          <w:p>
            <w:pPr>
              <w:spacing w:after="0"/>
              <w:rPr>
                <w:sz w:val="1"/>
                <w:szCs w:val="1"/>
                <w:color w:val="auto"/>
              </w:rPr>
            </w:pPr>
          </w:p>
        </w:tc>
      </w:tr>
      <w:tr>
        <w:trPr>
          <w:trHeight w:val="153"/>
        </w:trPr>
        <w:tc>
          <w:tcPr>
            <w:tcW w:w="376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Treasury securities</w:t>
            </w:r>
          </w:p>
        </w:tc>
        <w:tc>
          <w:tcPr>
            <w:tcW w:w="28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86,621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86,621</w:t>
            </w:r>
          </w:p>
        </w:tc>
        <w:tc>
          <w:tcPr>
            <w:tcW w:w="0" w:type="dxa"/>
            <w:vAlign w:val="bottom"/>
          </w:tcPr>
          <w:p>
            <w:pPr>
              <w:spacing w:after="0"/>
              <w:rPr>
                <w:sz w:val="1"/>
                <w:szCs w:val="1"/>
                <w:color w:val="auto"/>
              </w:rPr>
            </w:pPr>
          </w:p>
        </w:tc>
      </w:tr>
      <w:tr>
        <w:trPr>
          <w:trHeight w:val="162"/>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3820" w:type="dxa"/>
            <w:vAlign w:val="bottom"/>
            <w:gridSpan w:val="2"/>
            <w:shd w:val="clear" w:color="auto" w:fill="CCEEFF"/>
          </w:tcPr>
          <w:p>
            <w:pPr>
              <w:jc w:val="right"/>
              <w:ind w:right="912"/>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91,405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130,118</w:t>
            </w:r>
          </w:p>
        </w:tc>
        <w:tc>
          <w:tcPr>
            <w:tcW w:w="0" w:type="dxa"/>
            <w:vAlign w:val="bottom"/>
          </w:tcPr>
          <w:p>
            <w:pPr>
              <w:spacing w:after="0"/>
              <w:rPr>
                <w:sz w:val="1"/>
                <w:szCs w:val="1"/>
                <w:color w:val="auto"/>
              </w:rPr>
            </w:pPr>
          </w:p>
        </w:tc>
      </w:tr>
      <w:tr>
        <w:trPr>
          <w:trHeight w:val="572"/>
        </w:trPr>
        <w:tc>
          <w:tcPr>
            <w:tcW w:w="3760" w:type="dxa"/>
            <w:vAlign w:val="bottom"/>
            <w:tcBorders>
              <w:top w:val="single" w:sz="8" w:color="CCEEFF"/>
            </w:tcBorders>
          </w:tcPr>
          <w:p>
            <w:pPr>
              <w:spacing w:after="0"/>
              <w:rPr>
                <w:sz w:val="24"/>
                <w:szCs w:val="24"/>
                <w:color w:val="auto"/>
              </w:rPr>
            </w:pPr>
          </w:p>
        </w:tc>
        <w:tc>
          <w:tcPr>
            <w:tcW w:w="2800" w:type="dxa"/>
            <w:vAlign w:val="bottom"/>
            <w:tcBorders>
              <w:top w:val="single" w:sz="8" w:color="CCEEFF"/>
            </w:tcBorders>
          </w:tcPr>
          <w:p>
            <w:pPr>
              <w:jc w:val="right"/>
              <w:ind w:right="800"/>
              <w:spacing w:after="0"/>
              <w:rPr>
                <w:sz w:val="20"/>
                <w:szCs w:val="20"/>
                <w:color w:val="auto"/>
              </w:rPr>
            </w:pPr>
            <w:r>
              <w:rPr>
                <w:rFonts w:ascii="Arial" w:cs="Arial" w:eastAsia="Arial" w:hAnsi="Arial"/>
                <w:sz w:val="12"/>
                <w:szCs w:val="12"/>
                <w:color w:val="auto"/>
              </w:rPr>
              <w:t>12</w:t>
            </w: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760" w:type="dxa"/>
            <w:vAlign w:val="bottom"/>
            <w:tcBorders>
              <w:bottom w:val="single" w:sz="8" w:color="9A9A9A"/>
            </w:tcBorders>
          </w:tcPr>
          <w:p>
            <w:pPr>
              <w:spacing w:after="0"/>
              <w:rPr>
                <w:sz w:val="6"/>
                <w:szCs w:val="6"/>
                <w:color w:val="auto"/>
              </w:rPr>
            </w:pPr>
          </w:p>
        </w:tc>
        <w:tc>
          <w:tcPr>
            <w:tcW w:w="28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4" w:name="page15"/>
    <w:bookmarkEnd w:id="1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6"/>
              </w:rPr>
              <w:t>December 31, 2021</w:t>
            </w: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1020" w:type="dxa"/>
            <w:vAlign w:val="bottom"/>
            <w:vMerge w:val="restart"/>
          </w:tcPr>
          <w:p>
            <w:pPr>
              <w:jc w:val="right"/>
              <w:ind w:right="72"/>
              <w:spacing w:after="0"/>
              <w:rPr>
                <w:sz w:val="20"/>
                <w:szCs w:val="20"/>
                <w:color w:val="auto"/>
              </w:rPr>
            </w:pPr>
            <w:r>
              <w:rPr>
                <w:rFonts w:ascii="Arial" w:cs="Arial" w:eastAsia="Arial" w:hAnsi="Arial"/>
                <w:sz w:val="10"/>
                <w:szCs w:val="10"/>
                <w:b w:val="1"/>
                <w:bCs w:val="1"/>
                <w:color w:val="auto"/>
              </w:rPr>
              <w:t>Level 1</w:t>
            </w: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8"/>
              </w:rPr>
              <w:t>Level 2</w:t>
            </w:r>
          </w:p>
        </w:tc>
        <w:tc>
          <w:tcPr>
            <w:tcW w:w="300" w:type="dxa"/>
            <w:vAlign w:val="bottom"/>
          </w:tcPr>
          <w:p>
            <w:pPr>
              <w:spacing w:after="0"/>
              <w:rPr>
                <w:sz w:val="7"/>
                <w:szCs w:val="7"/>
                <w:color w:val="auto"/>
              </w:rPr>
            </w:pPr>
          </w:p>
        </w:tc>
        <w:tc>
          <w:tcPr>
            <w:tcW w:w="1220" w:type="dxa"/>
            <w:vAlign w:val="bottom"/>
          </w:tcPr>
          <w:p>
            <w:pPr>
              <w:jc w:val="right"/>
              <w:ind w:right="504"/>
              <w:spacing w:after="0" w:line="83" w:lineRule="exact"/>
              <w:rPr>
                <w:sz w:val="20"/>
                <w:szCs w:val="20"/>
                <w:color w:val="auto"/>
              </w:rPr>
            </w:pPr>
            <w:r>
              <w:rPr>
                <w:rFonts w:ascii="Arial" w:cs="Arial" w:eastAsia="Arial" w:hAnsi="Arial"/>
                <w:sz w:val="8"/>
                <w:szCs w:val="8"/>
                <w:b w:val="1"/>
                <w:bCs w:val="1"/>
                <w:color w:val="auto"/>
              </w:rPr>
              <w:t>Total Fair</w:t>
            </w:r>
          </w:p>
        </w:tc>
        <w:tc>
          <w:tcPr>
            <w:tcW w:w="0" w:type="dxa"/>
            <w:vAlign w:val="bottom"/>
          </w:tcPr>
          <w:p>
            <w:pPr>
              <w:spacing w:after="0"/>
              <w:rPr>
                <w:sz w:val="1"/>
                <w:szCs w:val="1"/>
                <w:color w:val="auto"/>
              </w:rPr>
            </w:pPr>
          </w:p>
        </w:tc>
      </w:tr>
      <w:tr>
        <w:trPr>
          <w:trHeight w:val="125"/>
        </w:trPr>
        <w:tc>
          <w:tcPr>
            <w:tcW w:w="65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ind w:right="584"/>
              <w:spacing w:after="0"/>
              <w:rPr>
                <w:sz w:val="20"/>
                <w:szCs w:val="20"/>
                <w:color w:val="auto"/>
              </w:rPr>
            </w:pPr>
            <w:r>
              <w:rPr>
                <w:rFonts w:ascii="Arial" w:cs="Arial" w:eastAsia="Arial" w:hAnsi="Arial"/>
                <w:sz w:val="10"/>
                <w:szCs w:val="10"/>
                <w:b w:val="1"/>
                <w:bCs w:val="1"/>
                <w:color w:val="auto"/>
              </w:rPr>
              <w:t>Value</w:t>
            </w:r>
          </w:p>
        </w:tc>
        <w:tc>
          <w:tcPr>
            <w:tcW w:w="0" w:type="dxa"/>
            <w:vAlign w:val="bottom"/>
          </w:tcPr>
          <w:p>
            <w:pPr>
              <w:spacing w:after="0"/>
              <w:rPr>
                <w:sz w:val="1"/>
                <w:szCs w:val="1"/>
                <w:color w:val="auto"/>
              </w:rPr>
            </w:pPr>
          </w:p>
        </w:tc>
      </w:tr>
      <w:tr>
        <w:trPr>
          <w:trHeight w:val="134"/>
        </w:trPr>
        <w:tc>
          <w:tcPr>
            <w:tcW w:w="65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Cash equivalents:</w:t>
            </w:r>
          </w:p>
        </w:tc>
        <w:tc>
          <w:tcPr>
            <w:tcW w:w="10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560" w:type="dxa"/>
            <w:vAlign w:val="bottom"/>
          </w:tcPr>
          <w:p>
            <w:pPr>
              <w:ind w:left="140"/>
              <w:spacing w:after="0"/>
              <w:rPr>
                <w:sz w:val="20"/>
                <w:szCs w:val="20"/>
                <w:color w:val="auto"/>
              </w:rPr>
            </w:pPr>
            <w:r>
              <w:rPr>
                <w:rFonts w:ascii="Arial" w:cs="Arial" w:eastAsia="Arial" w:hAnsi="Arial"/>
                <w:sz w:val="12"/>
                <w:szCs w:val="12"/>
                <w:color w:val="auto"/>
              </w:rPr>
              <w:t>Money market funds</w:t>
            </w:r>
          </w:p>
        </w:tc>
        <w:tc>
          <w:tcPr>
            <w:tcW w:w="1020" w:type="dxa"/>
            <w:vAlign w:val="bottom"/>
          </w:tcPr>
          <w:p>
            <w:pPr>
              <w:jc w:val="right"/>
              <w:ind w:right="91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6,105</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4"/>
              <w:spacing w:after="0"/>
              <w:rPr>
                <w:sz w:val="20"/>
                <w:szCs w:val="20"/>
                <w:color w:val="auto"/>
              </w:rPr>
            </w:pPr>
            <w:r>
              <w:rPr>
                <w:rFonts w:ascii="Arial" w:cs="Arial" w:eastAsia="Arial" w:hAnsi="Arial"/>
                <w:sz w:val="12"/>
                <w:szCs w:val="12"/>
                <w:color w:val="auto"/>
              </w:rPr>
              <w:t>6,105</w:t>
            </w:r>
          </w:p>
        </w:tc>
        <w:tc>
          <w:tcPr>
            <w:tcW w:w="0" w:type="dxa"/>
            <w:vAlign w:val="bottom"/>
          </w:tcPr>
          <w:p>
            <w:pPr>
              <w:spacing w:after="0"/>
              <w:rPr>
                <w:sz w:val="1"/>
                <w:szCs w:val="1"/>
                <w:color w:val="auto"/>
              </w:rPr>
            </w:pPr>
          </w:p>
        </w:tc>
      </w:tr>
      <w:tr>
        <w:trPr>
          <w:trHeight w:val="153"/>
        </w:trPr>
        <w:tc>
          <w:tcPr>
            <w:tcW w:w="6560" w:type="dxa"/>
            <w:vAlign w:val="bottom"/>
            <w:shd w:val="clear" w:color="auto" w:fill="CCEEFF"/>
          </w:tcPr>
          <w:p>
            <w:pPr>
              <w:spacing w:after="0"/>
              <w:rPr>
                <w:sz w:val="20"/>
                <w:szCs w:val="20"/>
                <w:color w:val="auto"/>
              </w:rPr>
            </w:pPr>
            <w:r>
              <w:rPr>
                <w:rFonts w:ascii="Arial" w:cs="Arial" w:eastAsia="Arial" w:hAnsi="Arial"/>
                <w:sz w:val="12"/>
                <w:szCs w:val="12"/>
                <w:color w:val="auto"/>
              </w:rPr>
              <w:t>Available-for-sale investment securities:</w:t>
            </w: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60" w:type="dxa"/>
            <w:vAlign w:val="bottom"/>
          </w:tcPr>
          <w:p>
            <w:pPr>
              <w:ind w:left="140"/>
              <w:spacing w:after="0"/>
              <w:rPr>
                <w:sz w:val="20"/>
                <w:szCs w:val="20"/>
                <w:color w:val="auto"/>
              </w:rPr>
            </w:pPr>
            <w:r>
              <w:rPr>
                <w:rFonts w:ascii="Arial" w:cs="Arial" w:eastAsia="Arial" w:hAnsi="Arial"/>
                <w:sz w:val="12"/>
                <w:szCs w:val="12"/>
                <w:color w:val="auto"/>
              </w:rPr>
              <w:t>Corporate bonds</w:t>
            </w:r>
          </w:p>
        </w:tc>
        <w:tc>
          <w:tcPr>
            <w:tcW w:w="10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29,069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2"/>
                <w:szCs w:val="12"/>
                <w:color w:val="auto"/>
              </w:rPr>
              <w:t>29,069</w:t>
            </w:r>
          </w:p>
        </w:tc>
        <w:tc>
          <w:tcPr>
            <w:tcW w:w="0" w:type="dxa"/>
            <w:vAlign w:val="bottom"/>
          </w:tcPr>
          <w:p>
            <w:pPr>
              <w:spacing w:after="0"/>
              <w:rPr>
                <w:sz w:val="1"/>
                <w:szCs w:val="1"/>
                <w:color w:val="auto"/>
              </w:rPr>
            </w:pPr>
          </w:p>
        </w:tc>
      </w:tr>
      <w:tr>
        <w:trPr>
          <w:trHeight w:val="153"/>
        </w:trPr>
        <w:tc>
          <w:tcPr>
            <w:tcW w:w="65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Agency securities</w:t>
            </w:r>
          </w:p>
        </w:tc>
        <w:tc>
          <w:tcPr>
            <w:tcW w:w="10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19,726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19,726</w:t>
            </w:r>
          </w:p>
        </w:tc>
        <w:tc>
          <w:tcPr>
            <w:tcW w:w="0" w:type="dxa"/>
            <w:vAlign w:val="bottom"/>
          </w:tcPr>
          <w:p>
            <w:pPr>
              <w:spacing w:after="0"/>
              <w:rPr>
                <w:sz w:val="1"/>
                <w:szCs w:val="1"/>
                <w:color w:val="auto"/>
              </w:rPr>
            </w:pPr>
          </w:p>
        </w:tc>
      </w:tr>
      <w:tr>
        <w:trPr>
          <w:trHeight w:val="153"/>
        </w:trPr>
        <w:tc>
          <w:tcPr>
            <w:tcW w:w="6560" w:type="dxa"/>
            <w:vAlign w:val="bottom"/>
          </w:tcPr>
          <w:p>
            <w:pPr>
              <w:ind w:left="140"/>
              <w:spacing w:after="0"/>
              <w:rPr>
                <w:sz w:val="20"/>
                <w:szCs w:val="20"/>
                <w:color w:val="auto"/>
              </w:rPr>
            </w:pPr>
            <w:r>
              <w:rPr>
                <w:rFonts w:ascii="Arial" w:cs="Arial" w:eastAsia="Arial" w:hAnsi="Arial"/>
                <w:sz w:val="12"/>
                <w:szCs w:val="12"/>
                <w:color w:val="auto"/>
              </w:rPr>
              <w:t>Treasury securities</w:t>
            </w: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76,881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2"/>
                <w:szCs w:val="12"/>
                <w:color w:val="auto"/>
              </w:rPr>
              <w:t>76,881</w:t>
            </w:r>
          </w:p>
        </w:tc>
        <w:tc>
          <w:tcPr>
            <w:tcW w:w="0" w:type="dxa"/>
            <w:vAlign w:val="bottom"/>
          </w:tcPr>
          <w:p>
            <w:pPr>
              <w:spacing w:after="0"/>
              <w:rPr>
                <w:sz w:val="1"/>
                <w:szCs w:val="1"/>
                <w:color w:val="auto"/>
              </w:rPr>
            </w:pPr>
          </w:p>
        </w:tc>
      </w:tr>
      <w:tr>
        <w:trPr>
          <w:trHeight w:val="158"/>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02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82,986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48,795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131,781</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carrying amounts of cash and cash equivalents, restricted cash, accounts receivable, accounts payable and accrued liabilities approximate their fair value because of the short maturity of these items.</w:t>
      </w:r>
    </w:p>
    <w:p>
      <w:pPr>
        <w:spacing w:after="0" w:line="7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Capitalized Software Development Costs, net</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Capitalized software development costs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040" w:type="dxa"/>
            <w:vAlign w:val="bottom"/>
          </w:tcPr>
          <w:p>
            <w:pPr>
              <w:jc w:val="right"/>
              <w:ind w:right="26"/>
              <w:spacing w:after="0"/>
              <w:rPr>
                <w:sz w:val="20"/>
                <w:szCs w:val="20"/>
                <w:color w:val="auto"/>
              </w:rPr>
            </w:pPr>
            <w:r>
              <w:rPr>
                <w:rFonts w:ascii="Arial" w:cs="Arial" w:eastAsia="Arial" w:hAnsi="Arial"/>
                <w:sz w:val="10"/>
                <w:szCs w:val="10"/>
                <w:b w:val="1"/>
                <w:bCs w:val="1"/>
                <w:color w:val="auto"/>
              </w:rPr>
              <w:t>June 30,</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jc w:val="right"/>
              <w:ind w:right="445"/>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810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2022</w:t>
            </w: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625"/>
              <w:spacing w:after="0"/>
              <w:rPr>
                <w:sz w:val="20"/>
                <w:szCs w:val="20"/>
                <w:color w:val="auto"/>
              </w:rPr>
            </w:pPr>
            <w:r>
              <w:rPr>
                <w:rFonts w:ascii="Arial" w:cs="Arial" w:eastAsia="Arial" w:hAnsi="Arial"/>
                <w:sz w:val="10"/>
                <w:szCs w:val="10"/>
                <w:b w:val="1"/>
                <w:bCs w:val="1"/>
                <w:color w:val="auto"/>
              </w:rPr>
              <w:t>2021</w:t>
            </w:r>
          </w:p>
        </w:tc>
      </w:tr>
      <w:tr>
        <w:trPr>
          <w:trHeight w:val="143"/>
        </w:trPr>
        <w:tc>
          <w:tcPr>
            <w:tcW w:w="81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Capitalized software development costs, gross</w:t>
            </w:r>
          </w:p>
        </w:tc>
        <w:tc>
          <w:tcPr>
            <w:tcW w:w="1040" w:type="dxa"/>
            <w:vAlign w:val="bottom"/>
            <w:shd w:val="clear" w:color="auto" w:fill="CCEEFF"/>
          </w:tcPr>
          <w:p>
            <w:pPr>
              <w:jc w:val="right"/>
              <w:ind w:right="906"/>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121,981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115,377</w:t>
            </w:r>
          </w:p>
        </w:tc>
      </w:tr>
      <w:tr>
        <w:trPr>
          <w:trHeight w:val="153"/>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Accumulated amortization</w:t>
            </w:r>
          </w:p>
        </w:tc>
        <w:tc>
          <w:tcPr>
            <w:tcW w:w="10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(84,485)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(74,165)</w:t>
            </w:r>
          </w:p>
        </w:tc>
      </w:tr>
      <w:tr>
        <w:trPr>
          <w:trHeight w:val="158"/>
        </w:trPr>
        <w:tc>
          <w:tcPr>
            <w:tcW w:w="81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Capitalized software development costs, net</w:t>
            </w:r>
          </w:p>
        </w:tc>
        <w:tc>
          <w:tcPr>
            <w:tcW w:w="1040" w:type="dxa"/>
            <w:vAlign w:val="bottom"/>
            <w:tcBorders>
              <w:bottom w:val="single" w:sz="8" w:color="auto"/>
            </w:tcBorders>
            <w:shd w:val="clear" w:color="auto" w:fill="CCEEFF"/>
          </w:tcPr>
          <w:p>
            <w:pPr>
              <w:jc w:val="right"/>
              <w:ind w:right="906"/>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37,496</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41,212</w:t>
            </w:r>
          </w:p>
        </w:tc>
      </w:tr>
    </w:tbl>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Capitalized software development costs were $4.2 million and $7.0 million for the three months ended June 30, 2022 and 2021, respectively, and $8.3 million and $14.1 million for the six months ended June 30, 2022 and 2021, respectively. Amortization expense with respect to capitalized software development costs totaled $6.0 million and $5.3 million for the three months ended June 30, 2022 and 2021, respectively, and $12.0 million and $10.3 million for the six months ended June 30, 2022 and 2021, respectively. During the three and six months ended June 30, 2022, we disposed of $0.9 million and $1.7 million, respectively, of fully amortized capitalized software development costs.</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Future amortization expense with respect to capitalized software development costs is estimated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00" w:type="dxa"/>
            <w:vAlign w:val="bottom"/>
          </w:tcPr>
          <w:p>
            <w:pPr>
              <w:spacing w:after="0"/>
              <w:rPr>
                <w:sz w:val="20"/>
                <w:szCs w:val="20"/>
                <w:color w:val="auto"/>
              </w:rPr>
            </w:pPr>
            <w:r>
              <w:rPr>
                <w:rFonts w:ascii="Arial" w:cs="Arial" w:eastAsia="Arial" w:hAnsi="Arial"/>
                <w:sz w:val="12"/>
                <w:szCs w:val="12"/>
                <w:color w:val="auto"/>
              </w:rPr>
              <w:t>Years Ending December 31,</w:t>
            </w:r>
          </w:p>
        </w:tc>
        <w:tc>
          <w:tcPr>
            <w:tcW w:w="6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3"/>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686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11,216</w:t>
            </w:r>
          </w:p>
        </w:tc>
      </w:tr>
      <w:tr>
        <w:trPr>
          <w:trHeight w:val="153"/>
        </w:trPr>
        <w:tc>
          <w:tcPr>
            <w:tcW w:w="3500" w:type="dxa"/>
            <w:vAlign w:val="bottom"/>
          </w:tcPr>
          <w:p>
            <w:pPr>
              <w:spacing w:after="0"/>
              <w:rPr>
                <w:sz w:val="20"/>
                <w:szCs w:val="20"/>
                <w:color w:val="auto"/>
              </w:rPr>
            </w:pPr>
            <w:r>
              <w:rPr>
                <w:rFonts w:ascii="Arial" w:cs="Arial" w:eastAsia="Arial" w:hAnsi="Arial"/>
                <w:sz w:val="12"/>
                <w:szCs w:val="12"/>
                <w:color w:val="auto"/>
              </w:rPr>
              <w:t>2023</w:t>
            </w:r>
          </w:p>
        </w:tc>
        <w:tc>
          <w:tcPr>
            <w:tcW w:w="6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16,400</w:t>
            </w:r>
          </w:p>
        </w:tc>
      </w:tr>
      <w:tr>
        <w:trPr>
          <w:trHeight w:val="153"/>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6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8,276</w:t>
            </w:r>
          </w:p>
        </w:tc>
      </w:tr>
      <w:tr>
        <w:trPr>
          <w:trHeight w:val="153"/>
        </w:trPr>
        <w:tc>
          <w:tcPr>
            <w:tcW w:w="35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2025</w:t>
            </w:r>
          </w:p>
        </w:tc>
        <w:tc>
          <w:tcPr>
            <w:tcW w:w="62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1,604</w:t>
            </w:r>
          </w:p>
        </w:tc>
      </w:tr>
      <w:tr>
        <w:trPr>
          <w:trHeight w:val="162"/>
        </w:trPr>
        <w:tc>
          <w:tcPr>
            <w:tcW w:w="3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amortization expense</w:t>
            </w:r>
          </w:p>
        </w:tc>
        <w:tc>
          <w:tcPr>
            <w:tcW w:w="686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37,496</w:t>
            </w:r>
          </w:p>
        </w:tc>
      </w:tr>
      <w:tr>
        <w:trPr>
          <w:trHeight w:val="572"/>
        </w:trPr>
        <w:tc>
          <w:tcPr>
            <w:tcW w:w="3500" w:type="dxa"/>
            <w:vAlign w:val="bottom"/>
            <w:tcBorders>
              <w:top w:val="single" w:sz="8" w:color="CCEEFF"/>
            </w:tcBorders>
          </w:tcPr>
          <w:p>
            <w:pPr>
              <w:spacing w:after="0"/>
              <w:rPr>
                <w:sz w:val="24"/>
                <w:szCs w:val="24"/>
                <w:color w:val="auto"/>
              </w:rPr>
            </w:pPr>
          </w:p>
        </w:tc>
        <w:tc>
          <w:tcPr>
            <w:tcW w:w="6240" w:type="dxa"/>
            <w:vAlign w:val="bottom"/>
            <w:tcBorders>
              <w:top w:val="single" w:sz="8" w:color="CCEEFF"/>
            </w:tcBorders>
          </w:tcPr>
          <w:p>
            <w:pPr>
              <w:jc w:val="right"/>
              <w:ind w:right="3980"/>
              <w:spacing w:after="0"/>
              <w:rPr>
                <w:sz w:val="20"/>
                <w:szCs w:val="20"/>
                <w:color w:val="auto"/>
              </w:rPr>
            </w:pPr>
            <w:r>
              <w:rPr>
                <w:rFonts w:ascii="Arial" w:cs="Arial" w:eastAsia="Arial" w:hAnsi="Arial"/>
                <w:sz w:val="12"/>
                <w:szCs w:val="12"/>
                <w:color w:val="auto"/>
              </w:rPr>
              <w:t>13</w:t>
            </w:r>
          </w:p>
        </w:tc>
        <w:tc>
          <w:tcPr>
            <w:tcW w:w="6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72"/>
        </w:trPr>
        <w:tc>
          <w:tcPr>
            <w:tcW w:w="3500" w:type="dxa"/>
            <w:vAlign w:val="bottom"/>
            <w:tcBorders>
              <w:bottom w:val="single" w:sz="8" w:color="9A9A9A"/>
            </w:tcBorders>
          </w:tcPr>
          <w:p>
            <w:pPr>
              <w:spacing w:after="0"/>
              <w:rPr>
                <w:sz w:val="6"/>
                <w:szCs w:val="6"/>
                <w:color w:val="auto"/>
              </w:rPr>
            </w:pPr>
          </w:p>
        </w:tc>
        <w:tc>
          <w:tcPr>
            <w:tcW w:w="62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Intangible Assets, net</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Intangible assets consisted of the following (in thousands, except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tcPr>
          <w:p>
            <w:pPr>
              <w:jc w:val="center"/>
              <w:ind w:left="844"/>
              <w:spacing w:after="0"/>
              <w:rPr>
                <w:sz w:val="20"/>
                <w:szCs w:val="20"/>
                <w:color w:val="auto"/>
              </w:rPr>
            </w:pPr>
            <w:r>
              <w:rPr>
                <w:rFonts w:ascii="Arial" w:cs="Arial" w:eastAsia="Arial" w:hAnsi="Arial"/>
                <w:sz w:val="10"/>
                <w:szCs w:val="10"/>
                <w:b w:val="1"/>
                <w:bCs w:val="1"/>
                <w:color w:val="auto"/>
                <w:w w:val="82"/>
              </w:rPr>
              <w:t>June 30, 2022</w:t>
            </w: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jc w:val="center"/>
              <w:ind w:left="374"/>
              <w:spacing w:after="0" w:line="83" w:lineRule="exact"/>
              <w:rPr>
                <w:sz w:val="20"/>
                <w:szCs w:val="20"/>
                <w:color w:val="auto"/>
              </w:rPr>
            </w:pPr>
            <w:r>
              <w:rPr>
                <w:rFonts w:ascii="Arial" w:cs="Arial" w:eastAsia="Arial" w:hAnsi="Arial"/>
                <w:sz w:val="8"/>
                <w:szCs w:val="8"/>
                <w:b w:val="1"/>
                <w:bCs w:val="1"/>
                <w:color w:val="auto"/>
              </w:rPr>
              <w:t>Gross Carrying</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0" w:type="dxa"/>
            <w:vAlign w:val="bottom"/>
            <w:gridSpan w:val="2"/>
          </w:tcPr>
          <w:p>
            <w:pPr>
              <w:ind w:left="240"/>
              <w:spacing w:after="0" w:line="83" w:lineRule="exact"/>
              <w:rPr>
                <w:sz w:val="20"/>
                <w:szCs w:val="20"/>
                <w:color w:val="auto"/>
              </w:rPr>
            </w:pPr>
            <w:r>
              <w:rPr>
                <w:rFonts w:ascii="Arial" w:cs="Arial" w:eastAsia="Arial" w:hAnsi="Arial"/>
                <w:sz w:val="8"/>
                <w:szCs w:val="8"/>
                <w:b w:val="1"/>
                <w:bCs w:val="1"/>
                <w:color w:val="auto"/>
              </w:rPr>
              <w:t>Accumulated</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tcPr>
          <w:p>
            <w:pPr>
              <w:jc w:val="center"/>
              <w:ind w:right="363"/>
              <w:spacing w:after="0" w:line="83" w:lineRule="exact"/>
              <w:rPr>
                <w:sz w:val="20"/>
                <w:szCs w:val="20"/>
                <w:color w:val="auto"/>
              </w:rPr>
            </w:pPr>
            <w:r>
              <w:rPr>
                <w:rFonts w:ascii="Arial" w:cs="Arial" w:eastAsia="Arial" w:hAnsi="Arial"/>
                <w:sz w:val="8"/>
                <w:szCs w:val="8"/>
                <w:b w:val="1"/>
                <w:bCs w:val="1"/>
                <w:color w:val="auto"/>
              </w:rPr>
              <w:t>Net Carrying</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6"/>
              </w:rPr>
              <w:t>Weighted Average Useful Life in Years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4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180" w:type="dxa"/>
            <w:vAlign w:val="bottom"/>
            <w:tcBorders>
              <w:bottom w:val="single" w:sz="8" w:color="auto"/>
            </w:tcBorders>
          </w:tcPr>
          <w:p>
            <w:pPr>
              <w:jc w:val="center"/>
              <w:ind w:left="394"/>
              <w:spacing w:after="0"/>
              <w:rPr>
                <w:sz w:val="20"/>
                <w:szCs w:val="20"/>
                <w:color w:val="auto"/>
              </w:rPr>
            </w:pPr>
            <w:r>
              <w:rPr>
                <w:rFonts w:ascii="Arial" w:cs="Arial" w:eastAsia="Arial" w:hAnsi="Arial"/>
                <w:sz w:val="10"/>
                <w:szCs w:val="10"/>
                <w:b w:val="1"/>
                <w:bCs w:val="1"/>
                <w:color w:val="auto"/>
                <w:w w:val="82"/>
              </w:rPr>
              <w:t>Value</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Amortization</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383"/>
              <w:spacing w:after="0"/>
              <w:rPr>
                <w:sz w:val="20"/>
                <w:szCs w:val="20"/>
                <w:color w:val="auto"/>
              </w:rPr>
            </w:pPr>
            <w:r>
              <w:rPr>
                <w:rFonts w:ascii="Arial" w:cs="Arial" w:eastAsia="Arial" w:hAnsi="Arial"/>
                <w:sz w:val="10"/>
                <w:szCs w:val="10"/>
                <w:b w:val="1"/>
                <w:bCs w:val="1"/>
                <w:color w:val="auto"/>
                <w:w w:val="89"/>
              </w:rPr>
              <w:t>Value</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46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Customer relationships</w:t>
            </w:r>
          </w:p>
        </w:tc>
        <w:tc>
          <w:tcPr>
            <w:tcW w:w="1220" w:type="dxa"/>
            <w:vAlign w:val="bottom"/>
            <w:gridSpan w:val="2"/>
            <w:shd w:val="clear" w:color="auto" w:fill="CCEEFF"/>
          </w:tcPr>
          <w:p>
            <w:pPr>
              <w:jc w:val="right"/>
              <w:ind w:right="1074"/>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(2,234)</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Arial" w:cs="Arial" w:eastAsia="Arial" w:hAnsi="Arial"/>
                <w:sz w:val="12"/>
                <w:szCs w:val="12"/>
                <w:color w:val="auto"/>
              </w:rPr>
              <w:t>Database</w:t>
            </w: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8,330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(3,036)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5,294</w:t>
            </w:r>
          </w:p>
        </w:tc>
        <w:tc>
          <w:tcPr>
            <w:tcW w:w="1720" w:type="dxa"/>
            <w:vAlign w:val="bottom"/>
            <w:gridSpan w:val="3"/>
          </w:tcPr>
          <w:p>
            <w:pPr>
              <w:jc w:val="right"/>
              <w:spacing w:after="0"/>
              <w:rPr>
                <w:sz w:val="20"/>
                <w:szCs w:val="20"/>
                <w:color w:val="auto"/>
              </w:rPr>
            </w:pPr>
            <w:r>
              <w:rPr>
                <w:rFonts w:ascii="Arial" w:cs="Arial" w:eastAsia="Arial" w:hAnsi="Arial"/>
                <w:sz w:val="12"/>
                <w:szCs w:val="12"/>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Technology</w:t>
            </w:r>
          </w:p>
        </w:tc>
        <w:tc>
          <w:tcPr>
            <w:tcW w:w="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716</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Arial" w:cs="Arial" w:eastAsia="Arial" w:hAnsi="Arial"/>
                <w:sz w:val="12"/>
                <w:szCs w:val="12"/>
                <w:color w:val="auto"/>
              </w:rPr>
              <w:t>Trademarks and trade names</w:t>
            </w: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1,890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(1,325)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565</w:t>
            </w:r>
          </w:p>
        </w:tc>
        <w:tc>
          <w:tcPr>
            <w:tcW w:w="1720" w:type="dxa"/>
            <w:vAlign w:val="bottom"/>
            <w:gridSpan w:val="3"/>
          </w:tcPr>
          <w:p>
            <w:pPr>
              <w:jc w:val="right"/>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Partner relationships</w:t>
            </w:r>
          </w:p>
        </w:tc>
        <w:tc>
          <w:tcPr>
            <w:tcW w:w="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Arial" w:cs="Arial" w:eastAsia="Arial" w:hAnsi="Arial"/>
                <w:sz w:val="12"/>
                <w:szCs w:val="12"/>
                <w:color w:val="auto"/>
              </w:rPr>
              <w:t>Non-compete agreements</w:t>
            </w: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7,400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(5,184)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2,216</w:t>
            </w:r>
          </w:p>
        </w:tc>
        <w:tc>
          <w:tcPr>
            <w:tcW w:w="1720" w:type="dxa"/>
            <w:vAlign w:val="bottom"/>
            <w:gridSpan w:val="3"/>
          </w:tcPr>
          <w:p>
            <w:pPr>
              <w:jc w:val="right"/>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Domain names</w:t>
            </w:r>
          </w:p>
        </w:tc>
        <w:tc>
          <w:tcPr>
            <w:tcW w:w="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Patents</w:t>
            </w:r>
          </w:p>
        </w:tc>
        <w:tc>
          <w:tcPr>
            <w:tcW w:w="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60" w:type="dxa"/>
            <w:vAlign w:val="bottom"/>
            <w:tcBorders>
              <w:bottom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Total intangible assets, net</w:t>
            </w:r>
          </w:p>
        </w:tc>
        <w:tc>
          <w:tcPr>
            <w:tcW w:w="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28,021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(18,613)</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9,408</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4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center"/>
              <w:ind w:left="824"/>
              <w:spacing w:after="0"/>
              <w:rPr>
                <w:sz w:val="20"/>
                <w:szCs w:val="20"/>
                <w:color w:val="auto"/>
              </w:rPr>
            </w:pPr>
            <w:r>
              <w:rPr>
                <w:rFonts w:ascii="Arial" w:cs="Arial" w:eastAsia="Arial" w:hAnsi="Arial"/>
                <w:sz w:val="10"/>
                <w:szCs w:val="10"/>
                <w:b w:val="1"/>
                <w:bCs w:val="1"/>
                <w:color w:val="auto"/>
                <w:w w:val="84"/>
              </w:rPr>
              <w:t>December 31, 2021</w:t>
            </w: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4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jc w:val="center"/>
              <w:ind w:left="374"/>
              <w:spacing w:after="0" w:line="83" w:lineRule="exact"/>
              <w:rPr>
                <w:sz w:val="20"/>
                <w:szCs w:val="20"/>
                <w:color w:val="auto"/>
              </w:rPr>
            </w:pPr>
            <w:r>
              <w:rPr>
                <w:rFonts w:ascii="Arial" w:cs="Arial" w:eastAsia="Arial" w:hAnsi="Arial"/>
                <w:sz w:val="8"/>
                <w:szCs w:val="8"/>
                <w:b w:val="1"/>
                <w:bCs w:val="1"/>
                <w:color w:val="auto"/>
              </w:rPr>
              <w:t>Gross Carrying</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0" w:type="dxa"/>
            <w:vAlign w:val="bottom"/>
            <w:gridSpan w:val="2"/>
          </w:tcPr>
          <w:p>
            <w:pPr>
              <w:ind w:left="240"/>
              <w:spacing w:after="0" w:line="83" w:lineRule="exact"/>
              <w:rPr>
                <w:sz w:val="20"/>
                <w:szCs w:val="20"/>
                <w:color w:val="auto"/>
              </w:rPr>
            </w:pPr>
            <w:r>
              <w:rPr>
                <w:rFonts w:ascii="Arial" w:cs="Arial" w:eastAsia="Arial" w:hAnsi="Arial"/>
                <w:sz w:val="8"/>
                <w:szCs w:val="8"/>
                <w:b w:val="1"/>
                <w:bCs w:val="1"/>
                <w:color w:val="auto"/>
              </w:rPr>
              <w:t>Accumulated</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tcPr>
          <w:p>
            <w:pPr>
              <w:jc w:val="center"/>
              <w:ind w:right="363"/>
              <w:spacing w:after="0" w:line="83" w:lineRule="exact"/>
              <w:rPr>
                <w:sz w:val="20"/>
                <w:szCs w:val="20"/>
                <w:color w:val="auto"/>
              </w:rPr>
            </w:pPr>
            <w:r>
              <w:rPr>
                <w:rFonts w:ascii="Arial" w:cs="Arial" w:eastAsia="Arial" w:hAnsi="Arial"/>
                <w:sz w:val="8"/>
                <w:szCs w:val="8"/>
                <w:b w:val="1"/>
                <w:bCs w:val="1"/>
                <w:color w:val="auto"/>
              </w:rPr>
              <w:t>Net Carrying</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6"/>
              </w:rPr>
              <w:t>Weighted Average Useful Life in Years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46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left="374"/>
              <w:spacing w:after="0"/>
              <w:rPr>
                <w:sz w:val="20"/>
                <w:szCs w:val="20"/>
                <w:color w:val="auto"/>
              </w:rPr>
            </w:pPr>
            <w:r>
              <w:rPr>
                <w:rFonts w:ascii="Arial" w:cs="Arial" w:eastAsia="Arial" w:hAnsi="Arial"/>
                <w:sz w:val="10"/>
                <w:szCs w:val="10"/>
                <w:b w:val="1"/>
                <w:bCs w:val="1"/>
                <w:color w:val="auto"/>
                <w:w w:val="89"/>
              </w:rPr>
              <w:t>Value</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Amortization</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363"/>
              <w:spacing w:after="0"/>
              <w:rPr>
                <w:sz w:val="20"/>
                <w:szCs w:val="20"/>
                <w:color w:val="auto"/>
              </w:rPr>
            </w:pPr>
            <w:r>
              <w:rPr>
                <w:rFonts w:ascii="Arial" w:cs="Arial" w:eastAsia="Arial" w:hAnsi="Arial"/>
                <w:sz w:val="10"/>
                <w:szCs w:val="10"/>
                <w:b w:val="1"/>
                <w:bCs w:val="1"/>
                <w:color w:val="auto"/>
                <w:w w:val="82"/>
              </w:rPr>
              <w:t>Value</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62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4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Customer relationships</w:t>
            </w:r>
          </w:p>
        </w:tc>
        <w:tc>
          <w:tcPr>
            <w:tcW w:w="1220" w:type="dxa"/>
            <w:vAlign w:val="bottom"/>
            <w:gridSpan w:val="2"/>
            <w:shd w:val="clear" w:color="auto" w:fill="CCEEFF"/>
          </w:tcPr>
          <w:p>
            <w:pPr>
              <w:jc w:val="right"/>
              <w:ind w:right="109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(2,006)</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Database</w:t>
            </w: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8,330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(2,620)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5,710</w:t>
            </w:r>
          </w:p>
        </w:tc>
        <w:tc>
          <w:tcPr>
            <w:tcW w:w="1720" w:type="dxa"/>
            <w:vAlign w:val="bottom"/>
            <w:gridSpan w:val="3"/>
          </w:tcPr>
          <w:p>
            <w:pPr>
              <w:jc w:val="right"/>
              <w:spacing w:after="0"/>
              <w:rPr>
                <w:sz w:val="20"/>
                <w:szCs w:val="20"/>
                <w:color w:val="auto"/>
              </w:rPr>
            </w:pPr>
            <w:r>
              <w:rPr>
                <w:rFonts w:ascii="Arial" w:cs="Arial" w:eastAsia="Arial" w:hAnsi="Arial"/>
                <w:sz w:val="12"/>
                <w:szCs w:val="12"/>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Technology</w:t>
            </w:r>
          </w:p>
        </w:tc>
        <w:tc>
          <w:tcPr>
            <w:tcW w:w="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1,432</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Trademarks and trade names</w:t>
            </w: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1,890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(1,128)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762</w:t>
            </w:r>
          </w:p>
        </w:tc>
        <w:tc>
          <w:tcPr>
            <w:tcW w:w="1720" w:type="dxa"/>
            <w:vAlign w:val="bottom"/>
            <w:gridSpan w:val="3"/>
          </w:tcPr>
          <w:p>
            <w:pPr>
              <w:jc w:val="right"/>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Partner relationships</w:t>
            </w:r>
          </w:p>
        </w:tc>
        <w:tc>
          <w:tcPr>
            <w:tcW w:w="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Non-compete agreements</w:t>
            </w: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7,400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(4,444)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2,956</w:t>
            </w:r>
          </w:p>
        </w:tc>
        <w:tc>
          <w:tcPr>
            <w:tcW w:w="1720" w:type="dxa"/>
            <w:vAlign w:val="bottom"/>
            <w:gridSpan w:val="3"/>
          </w:tcPr>
          <w:p>
            <w:pPr>
              <w:jc w:val="right"/>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Domain names</w:t>
            </w:r>
          </w:p>
        </w:tc>
        <w:tc>
          <w:tcPr>
            <w:tcW w:w="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Patents</w:t>
            </w:r>
          </w:p>
        </w:tc>
        <w:tc>
          <w:tcPr>
            <w:tcW w:w="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2"/>
                <w:szCs w:val="12"/>
                <w:color w:val="auto"/>
              </w:rPr>
              <w:t>5.0</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intangible assets, net</w:t>
            </w:r>
          </w:p>
        </w:tc>
        <w:tc>
          <w:tcPr>
            <w:tcW w:w="1220" w:type="dxa"/>
            <w:vAlign w:val="bottom"/>
            <w:tcBorders>
              <w:bottom w:val="single" w:sz="8" w:color="auto"/>
            </w:tcBorders>
            <w:gridSpan w:val="2"/>
            <w:shd w:val="clear" w:color="auto" w:fill="CCEEFF"/>
          </w:tcPr>
          <w:p>
            <w:pPr>
              <w:jc w:val="right"/>
              <w:ind w:right="109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28,021</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(16,310)</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11,711</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Amortization expense with respect to intangible assets totaled $1.2 million for the three months ended June 30, 2022 and 2021, and $2.3 million for the six months ended June 30, 2022 and 2021. Future amortization expense with respect to intangible assets is estimated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860" w:type="dxa"/>
            <w:vAlign w:val="bottom"/>
          </w:tcPr>
          <w:p>
            <w:pPr>
              <w:spacing w:after="0"/>
              <w:rPr>
                <w:sz w:val="20"/>
                <w:szCs w:val="20"/>
                <w:color w:val="auto"/>
              </w:rPr>
            </w:pPr>
            <w:r>
              <w:rPr>
                <w:rFonts w:ascii="Arial" w:cs="Arial" w:eastAsia="Arial" w:hAnsi="Arial"/>
                <w:sz w:val="12"/>
                <w:szCs w:val="12"/>
                <w:color w:val="auto"/>
              </w:rPr>
              <w:t>Years Ending December 31,</w:t>
            </w: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3"/>
        </w:trPr>
        <w:tc>
          <w:tcPr>
            <w:tcW w:w="986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2,302</w:t>
            </w:r>
          </w:p>
        </w:tc>
      </w:tr>
      <w:tr>
        <w:trPr>
          <w:trHeight w:val="153"/>
        </w:trPr>
        <w:tc>
          <w:tcPr>
            <w:tcW w:w="9860" w:type="dxa"/>
            <w:vAlign w:val="bottom"/>
          </w:tcPr>
          <w:p>
            <w:pPr>
              <w:spacing w:after="0"/>
              <w:rPr>
                <w:sz w:val="20"/>
                <w:szCs w:val="20"/>
                <w:color w:val="auto"/>
              </w:rPr>
            </w:pPr>
            <w:r>
              <w:rPr>
                <w:rFonts w:ascii="Arial" w:cs="Arial" w:eastAsia="Arial" w:hAnsi="Arial"/>
                <w:sz w:val="12"/>
                <w:szCs w:val="12"/>
                <w:color w:val="auto"/>
              </w:rPr>
              <w:t>2023</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3,060</w:t>
            </w:r>
          </w:p>
        </w:tc>
      </w:tr>
      <w:tr>
        <w:trPr>
          <w:trHeight w:val="153"/>
        </w:trPr>
        <w:tc>
          <w:tcPr>
            <w:tcW w:w="986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w:t>
            </w:r>
          </w:p>
        </w:tc>
      </w:tr>
      <w:tr>
        <w:trPr>
          <w:trHeight w:val="153"/>
        </w:trPr>
        <w:tc>
          <w:tcPr>
            <w:tcW w:w="9860" w:type="dxa"/>
            <w:vAlign w:val="bottom"/>
          </w:tcPr>
          <w:p>
            <w:pPr>
              <w:spacing w:after="0"/>
              <w:rPr>
                <w:sz w:val="20"/>
                <w:szCs w:val="20"/>
                <w:color w:val="auto"/>
              </w:rPr>
            </w:pPr>
            <w:r>
              <w:rPr>
                <w:rFonts w:ascii="Arial" w:cs="Arial" w:eastAsia="Arial" w:hAnsi="Arial"/>
                <w:sz w:val="12"/>
                <w:szCs w:val="12"/>
                <w:color w:val="auto"/>
              </w:rPr>
              <w:t>2025</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833</w:t>
            </w:r>
          </w:p>
        </w:tc>
      </w:tr>
      <w:tr>
        <w:trPr>
          <w:trHeight w:val="153"/>
        </w:trPr>
        <w:tc>
          <w:tcPr>
            <w:tcW w:w="986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833</w:t>
            </w:r>
          </w:p>
        </w:tc>
      </w:tr>
      <w:tr>
        <w:trPr>
          <w:trHeight w:val="153"/>
        </w:trPr>
        <w:tc>
          <w:tcPr>
            <w:tcW w:w="9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Thereafter</w:t>
            </w: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1,545</w:t>
            </w:r>
          </w:p>
        </w:tc>
      </w:tr>
      <w:tr>
        <w:trPr>
          <w:trHeight w:val="158"/>
        </w:trPr>
        <w:tc>
          <w:tcPr>
            <w:tcW w:w="9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amortization expense</w:t>
            </w:r>
          </w:p>
        </w:tc>
        <w:tc>
          <w:tcPr>
            <w:tcW w:w="60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9,408</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6" w:name="page17"/>
    <w:bookmarkEnd w:id="1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Leases</w:t>
      </w:r>
    </w:p>
    <w:p>
      <w:pPr>
        <w:spacing w:after="0" w:line="12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Operating leases for our corporate offices have remaining lease terms ranging from one to eleven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components of lease expense recognized in the Condensed Consolidated Statements of Operations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80" w:type="dxa"/>
            <w:vAlign w:val="bottom"/>
            <w:gridSpan w:val="3"/>
          </w:tcPr>
          <w:p>
            <w:pPr>
              <w:jc w:val="right"/>
              <w:ind w:right="612"/>
              <w:spacing w:after="0"/>
              <w:rPr>
                <w:sz w:val="20"/>
                <w:szCs w:val="20"/>
                <w:color w:val="auto"/>
              </w:rPr>
            </w:pPr>
            <w:r>
              <w:rPr>
                <w:rFonts w:ascii="Arial" w:cs="Arial" w:eastAsia="Arial" w:hAnsi="Arial"/>
                <w:sz w:val="10"/>
                <w:szCs w:val="10"/>
                <w:b w:val="1"/>
                <w:bCs w:val="1"/>
                <w:color w:val="auto"/>
              </w:rPr>
              <w:t>Three Months Ended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Six Months Ended</w:t>
            </w:r>
          </w:p>
        </w:tc>
        <w:tc>
          <w:tcPr>
            <w:tcW w:w="1160" w:type="dxa"/>
            <w:vAlign w:val="bottom"/>
          </w:tcPr>
          <w:p>
            <w:pPr>
              <w:spacing w:after="0"/>
              <w:rPr>
                <w:sz w:val="10"/>
                <w:szCs w:val="10"/>
                <w:color w:val="auto"/>
              </w:rPr>
            </w:pPr>
          </w:p>
        </w:tc>
      </w:tr>
      <w:tr>
        <w:trPr>
          <w:trHeight w:val="125"/>
        </w:trPr>
        <w:tc>
          <w:tcPr>
            <w:tcW w:w="480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0"/>
                <w:szCs w:val="10"/>
                <w:b w:val="1"/>
                <w:bCs w:val="1"/>
                <w:color w:val="auto"/>
              </w:rPr>
              <w:t>June 30,</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rPr>
              <w:t>June 30,</w:t>
            </w:r>
          </w:p>
        </w:tc>
        <w:tc>
          <w:tcPr>
            <w:tcW w:w="1160" w:type="dxa"/>
            <w:vAlign w:val="bottom"/>
            <w:tcBorders>
              <w:bottom w:val="single" w:sz="8" w:color="auto"/>
            </w:tcBorders>
          </w:tcPr>
          <w:p>
            <w:pPr>
              <w:spacing w:after="0"/>
              <w:rPr>
                <w:sz w:val="10"/>
                <w:szCs w:val="10"/>
                <w:color w:val="auto"/>
              </w:rPr>
            </w:pPr>
          </w:p>
        </w:tc>
      </w:tr>
      <w:tr>
        <w:trPr>
          <w:trHeight w:val="115"/>
        </w:trPr>
        <w:tc>
          <w:tcPr>
            <w:tcW w:w="480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2022</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2022</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2021</w:t>
            </w:r>
          </w:p>
        </w:tc>
      </w:tr>
      <w:tr>
        <w:trPr>
          <w:trHeight w:val="143"/>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cost</w:t>
            </w:r>
          </w:p>
        </w:tc>
        <w:tc>
          <w:tcPr>
            <w:tcW w:w="1020" w:type="dxa"/>
            <w:vAlign w:val="bottom"/>
            <w:shd w:val="clear" w:color="auto" w:fill="CCEEFF"/>
          </w:tcPr>
          <w:p>
            <w:pPr>
              <w:jc w:val="right"/>
              <w:ind w:right="884"/>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1,468</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2,297</w:t>
            </w:r>
          </w:p>
        </w:tc>
      </w:tr>
      <w:tr>
        <w:trPr>
          <w:trHeight w:val="153"/>
        </w:trPr>
        <w:tc>
          <w:tcPr>
            <w:tcW w:w="4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Variable lease cost</w:t>
            </w:r>
          </w:p>
        </w:tc>
        <w:tc>
          <w:tcPr>
            <w:tcW w:w="10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394</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700</w:t>
            </w:r>
          </w:p>
        </w:tc>
      </w:tr>
      <w:tr>
        <w:trPr>
          <w:trHeight w:val="162"/>
        </w:trPr>
        <w:tc>
          <w:tcPr>
            <w:tcW w:w="4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lease cost</w:t>
            </w:r>
          </w:p>
        </w:tc>
        <w:tc>
          <w:tcPr>
            <w:tcW w:w="102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1,720</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1,596</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3,290</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2,997</w:t>
            </w:r>
          </w:p>
        </w:tc>
      </w:tr>
      <w:tr>
        <w:trPr>
          <w:trHeight w:val="473"/>
        </w:trPr>
        <w:tc>
          <w:tcPr>
            <w:tcW w:w="4800" w:type="dxa"/>
            <w:vAlign w:val="bottom"/>
          </w:tcPr>
          <w:p>
            <w:pPr>
              <w:ind w:left="420"/>
              <w:spacing w:after="0"/>
              <w:rPr>
                <w:sz w:val="20"/>
                <w:szCs w:val="20"/>
                <w:color w:val="auto"/>
              </w:rPr>
            </w:pPr>
            <w:r>
              <w:rPr>
                <w:rFonts w:ascii="Arial" w:cs="Arial" w:eastAsia="Arial" w:hAnsi="Arial"/>
                <w:sz w:val="12"/>
                <w:szCs w:val="12"/>
                <w:color w:val="auto"/>
              </w:rPr>
              <w:t>Lease-related assets and liabilities were as follows:</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0"/>
        </w:trPr>
        <w:tc>
          <w:tcPr>
            <w:tcW w:w="4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72"/>
              <w:spacing w:after="0"/>
              <w:rPr>
                <w:sz w:val="20"/>
                <w:szCs w:val="20"/>
                <w:color w:val="auto"/>
              </w:rPr>
            </w:pPr>
            <w:r>
              <w:rPr>
                <w:rFonts w:ascii="Arial" w:cs="Arial" w:eastAsia="Arial" w:hAnsi="Arial"/>
                <w:sz w:val="10"/>
                <w:szCs w:val="10"/>
                <w:b w:val="1"/>
                <w:bCs w:val="1"/>
                <w:color w:val="auto"/>
              </w:rPr>
              <w:t>June 30,</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443"/>
              <w:spacing w:after="0"/>
              <w:rPr>
                <w:sz w:val="20"/>
                <w:szCs w:val="20"/>
                <w:color w:val="auto"/>
              </w:rPr>
            </w:pPr>
            <w:r>
              <w:rPr>
                <w:rFonts w:ascii="Arial" w:cs="Arial" w:eastAsia="Arial" w:hAnsi="Arial"/>
                <w:sz w:val="10"/>
                <w:szCs w:val="10"/>
                <w:b w:val="1"/>
                <w:bCs w:val="1"/>
                <w:color w:val="auto"/>
                <w:w w:val="98"/>
              </w:rPr>
              <w:t>December 31,</w:t>
            </w:r>
          </w:p>
        </w:tc>
      </w:tr>
      <w:tr>
        <w:trPr>
          <w:trHeight w:val="125"/>
        </w:trPr>
        <w:tc>
          <w:tcPr>
            <w:tcW w:w="480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5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2022</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2021</w:t>
            </w:r>
          </w:p>
        </w:tc>
      </w:tr>
      <w:tr>
        <w:trPr>
          <w:trHeight w:val="134"/>
        </w:trPr>
        <w:tc>
          <w:tcPr>
            <w:tcW w:w="48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Assets</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Prepaid expenses and other current assets</w:t>
            </w: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124</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2"/>
                <w:szCs w:val="12"/>
                <w:color w:val="auto"/>
              </w:rPr>
              <w:t>4,854</w:t>
            </w:r>
          </w:p>
        </w:tc>
      </w:tr>
      <w:tr>
        <w:trPr>
          <w:trHeight w:val="153"/>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right-of-use assets</w:t>
            </w: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29,228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41,710</w:t>
            </w:r>
          </w:p>
        </w:tc>
      </w:tr>
      <w:tr>
        <w:trPr>
          <w:trHeight w:val="180"/>
        </w:trPr>
        <w:tc>
          <w:tcPr>
            <w:tcW w:w="4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3"/>
        </w:trPr>
        <w:tc>
          <w:tcPr>
            <w:tcW w:w="4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Other current liabilities</w:t>
            </w: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3,451</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2"/>
                <w:szCs w:val="12"/>
                <w:color w:val="auto"/>
              </w:rPr>
              <w:t>1,874</w:t>
            </w:r>
          </w:p>
        </w:tc>
      </w:tr>
      <w:tr>
        <w:trPr>
          <w:trHeight w:val="153"/>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w:t>
            </w: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54,044</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55,733</w:t>
            </w:r>
          </w:p>
        </w:tc>
      </w:tr>
      <w:tr>
        <w:trPr>
          <w:trHeight w:val="142"/>
        </w:trPr>
        <w:tc>
          <w:tcPr>
            <w:tcW w:w="4800" w:type="dxa"/>
            <w:vAlign w:val="bottom"/>
          </w:tcPr>
          <w:p>
            <w:pPr>
              <w:ind w:left="140"/>
              <w:spacing w:after="0"/>
              <w:rPr>
                <w:sz w:val="20"/>
                <w:szCs w:val="20"/>
                <w:color w:val="auto"/>
              </w:rPr>
            </w:pPr>
            <w:r>
              <w:rPr>
                <w:rFonts w:ascii="Arial" w:cs="Arial" w:eastAsia="Arial" w:hAnsi="Arial"/>
                <w:sz w:val="12"/>
                <w:szCs w:val="12"/>
                <w:color w:val="auto"/>
              </w:rPr>
              <w:t>Total lease liabilities</w:t>
            </w: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bottom w:val="single" w:sz="8" w:color="auto"/>
            </w:tcBorders>
          </w:tcPr>
          <w:p>
            <w:pPr>
              <w:jc w:val="right"/>
              <w:ind w:right="95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57,495</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57,607</w:t>
            </w:r>
          </w:p>
        </w:tc>
      </w:tr>
      <w:tr>
        <w:trPr>
          <w:trHeight w:val="20"/>
        </w:trPr>
        <w:tc>
          <w:tcPr>
            <w:tcW w:w="4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Future minimum lease payments under non-cancellable leases as of June 30, 2022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Years ending December 31,</w:t>
            </w:r>
          </w:p>
        </w:tc>
        <w:tc>
          <w:tcPr>
            <w:tcW w:w="59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2022</w:t>
            </w:r>
          </w:p>
        </w:tc>
        <w:tc>
          <w:tcPr>
            <w:tcW w:w="654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2,199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59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2024</w:t>
            </w:r>
          </w:p>
        </w:tc>
        <w:tc>
          <w:tcPr>
            <w:tcW w:w="5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6,351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2025</w:t>
            </w:r>
          </w:p>
        </w:tc>
        <w:tc>
          <w:tcPr>
            <w:tcW w:w="59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2026</w:t>
            </w:r>
          </w:p>
        </w:tc>
        <w:tc>
          <w:tcPr>
            <w:tcW w:w="5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7,035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Thereafter</w:t>
            </w:r>
          </w:p>
        </w:tc>
        <w:tc>
          <w:tcPr>
            <w:tcW w:w="594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42,281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80" w:type="dxa"/>
            <w:vAlign w:val="bottom"/>
          </w:tcPr>
          <w:p>
            <w:pPr>
              <w:ind w:left="140"/>
              <w:spacing w:after="0"/>
              <w:rPr>
                <w:sz w:val="20"/>
                <w:szCs w:val="20"/>
                <w:color w:val="auto"/>
              </w:rPr>
            </w:pPr>
            <w:r>
              <w:rPr>
                <w:rFonts w:ascii="Arial" w:cs="Arial" w:eastAsia="Arial" w:hAnsi="Arial"/>
                <w:sz w:val="12"/>
                <w:szCs w:val="12"/>
                <w:color w:val="auto"/>
              </w:rPr>
              <w:t>Total future minimum lease payments</w:t>
            </w:r>
          </w:p>
        </w:tc>
        <w:tc>
          <w:tcPr>
            <w:tcW w:w="5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70,130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imputed interest</w:t>
            </w:r>
          </w:p>
        </w:tc>
        <w:tc>
          <w:tcPr>
            <w:tcW w:w="594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80" w:type="dxa"/>
            <w:vAlign w:val="bottom"/>
          </w:tcPr>
          <w:p>
            <w:pPr>
              <w:ind w:left="140"/>
              <w:spacing w:after="0"/>
              <w:rPr>
                <w:sz w:val="20"/>
                <w:szCs w:val="20"/>
                <w:color w:val="auto"/>
              </w:rPr>
            </w:pPr>
            <w:r>
              <w:rPr>
                <w:rFonts w:ascii="Arial" w:cs="Arial" w:eastAsia="Arial" w:hAnsi="Arial"/>
                <w:sz w:val="12"/>
                <w:szCs w:val="12"/>
                <w:color w:val="auto"/>
              </w:rPr>
              <w:t>Total</w:t>
            </w:r>
          </w:p>
        </w:tc>
        <w:tc>
          <w:tcPr>
            <w:tcW w:w="654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57,371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940" w:type="dxa"/>
            <w:vAlign w:val="bottom"/>
            <w:vMerge w:val="restart"/>
          </w:tcPr>
          <w:p>
            <w:pPr>
              <w:jc w:val="right"/>
              <w:ind w:right="3960"/>
              <w:spacing w:after="0"/>
              <w:rPr>
                <w:sz w:val="20"/>
                <w:szCs w:val="20"/>
                <w:color w:val="auto"/>
              </w:rPr>
            </w:pPr>
            <w:r>
              <w:rPr>
                <w:rFonts w:ascii="Arial" w:cs="Arial" w:eastAsia="Arial" w:hAnsi="Arial"/>
                <w:sz w:val="12"/>
                <w:szCs w:val="12"/>
                <w:color w:val="auto"/>
              </w:rPr>
              <w:t>15</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378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780" w:type="dxa"/>
            <w:vAlign w:val="bottom"/>
            <w:tcBorders>
              <w:bottom w:val="single" w:sz="8" w:color="9A9A9A"/>
            </w:tcBorders>
          </w:tcPr>
          <w:p>
            <w:pPr>
              <w:spacing w:after="0"/>
              <w:rPr>
                <w:sz w:val="6"/>
                <w:szCs w:val="6"/>
                <w:color w:val="auto"/>
              </w:rPr>
            </w:pPr>
          </w:p>
        </w:tc>
        <w:tc>
          <w:tcPr>
            <w:tcW w:w="59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7" w:name="page18"/>
    <w:bookmarkEnd w:id="1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During the second quarter of 2022, we decided to exit and make available for sublease certain leased office spaces. As a result, we reassessed our asset groupings and evaluated the recoverability of our right-of-use and other lease related assets, and determined that the carrying value of the respective asset groups of $23.3 million was not fully recoverable. As a result, we utilized discounted cash flow models to estimate the fair value of the asset groups taking into consideration the time period it will take to obtain a sublessee, the applicable discount rate and the anticipated sublease income and calculated the corresponding impairment loss. We use prices and other relevant information generated primarily by recent market transactions involving similar or comparable assets, as well as our historical experience in real estate transactions. When available, we use valuation inputs from independent valuation experts, such as real estate appraisers and brokers, to corroborate our estimates of fair value. We recorded an impairment of $19.4 million consisting of $15.7 million related to ROU assets and $3.7 million related to property and equipment associated with our leased office spaces. These charges were recorded within </w:t>
      </w:r>
      <w:r>
        <w:rPr>
          <w:rFonts w:ascii="Arial" w:cs="Arial" w:eastAsia="Arial" w:hAnsi="Arial"/>
          <w:sz w:val="11"/>
          <w:szCs w:val="11"/>
          <w:i w:val="1"/>
          <w:iCs w:val="1"/>
          <w:color w:val="auto"/>
        </w:rPr>
        <w:t>General and administrative expenses</w:t>
      </w:r>
      <w:r>
        <w:rPr>
          <w:rFonts w:ascii="Arial" w:cs="Arial" w:eastAsia="Arial" w:hAnsi="Arial"/>
          <w:sz w:val="11"/>
          <w:szCs w:val="11"/>
          <w:color w:val="auto"/>
        </w:rPr>
        <w:t xml:space="preserve"> in our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Commitments and Contingencies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Legal Liability to Landlord Insurance</w:t>
      </w:r>
    </w:p>
    <w:p>
      <w:pPr>
        <w:spacing w:after="0" w:line="7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 xml:space="preserve">We have a wholly owned subsidiary, Terra Mar Insurance Company, Inc., which was established in connection with reinsuring liability to landlord insurance policies offered to our customers by our third-party service provider. Each policy has a limit of $100 thousand per incident.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June 30, 2022 and December 31, 2021 was $2.4 million and $1.7 million, respectively, and is included in </w:t>
      </w:r>
      <w:r>
        <w:rPr>
          <w:rFonts w:ascii="Arial" w:cs="Arial" w:eastAsia="Arial" w:hAnsi="Arial"/>
          <w:sz w:val="11"/>
          <w:szCs w:val="11"/>
          <w:i w:val="1"/>
          <w:iCs w:val="1"/>
          <w:color w:val="auto"/>
        </w:rPr>
        <w:t>Other current liabilities</w:t>
      </w:r>
      <w:r>
        <w:rPr>
          <w:rFonts w:ascii="Arial" w:cs="Arial" w:eastAsia="Arial" w:hAnsi="Arial"/>
          <w:sz w:val="11"/>
          <w:szCs w:val="11"/>
          <w:color w:val="auto"/>
        </w:rPr>
        <w:t xml:space="preserve"> on our Condensed Consolidated Balance Sheets.</w:t>
      </w:r>
    </w:p>
    <w:p>
      <w:pPr>
        <w:spacing w:after="0" w:line="3" w:lineRule="exact"/>
        <w:rPr>
          <w:sz w:val="20"/>
          <w:szCs w:val="20"/>
          <w:color w:val="auto"/>
        </w:rPr>
      </w:pPr>
    </w:p>
    <w:p>
      <w:pPr>
        <w:ind w:left="420" w:right="260"/>
        <w:spacing w:after="0" w:line="338" w:lineRule="auto"/>
        <w:rPr>
          <w:sz w:val="20"/>
          <w:szCs w:val="20"/>
          <w:color w:val="auto"/>
        </w:rPr>
      </w:pPr>
      <w:r>
        <w:rPr>
          <w:rFonts w:ascii="Arial" w:cs="Arial" w:eastAsia="Arial" w:hAnsi="Arial"/>
          <w:sz w:val="12"/>
          <w:szCs w:val="12"/>
          <w:color w:val="auto"/>
        </w:rPr>
        <w:t xml:space="preserve">Included in </w:t>
      </w:r>
      <w:r>
        <w:rPr>
          <w:rFonts w:ascii="Arial" w:cs="Arial" w:eastAsia="Arial" w:hAnsi="Arial"/>
          <w:sz w:val="12"/>
          <w:szCs w:val="12"/>
          <w:i w:val="1"/>
          <w:iCs w:val="1"/>
          <w:color w:val="auto"/>
        </w:rPr>
        <w:t>Prepaid expenses and other current assets</w:t>
      </w:r>
      <w:r>
        <w:rPr>
          <w:rFonts w:ascii="Arial" w:cs="Arial" w:eastAsia="Arial" w:hAnsi="Arial"/>
          <w:sz w:val="12"/>
          <w:szCs w:val="12"/>
          <w:color w:val="auto"/>
        </w:rPr>
        <w:t xml:space="preserve"> as of June 30, 2022 and December 31, 2021 are $3.0 million of deposits held with a third party related to requirements to maintain collateral for this insurance service. </w:t>
      </w:r>
      <w:r>
        <w:rPr>
          <w:rFonts w:ascii="Arial" w:cs="Arial" w:eastAsia="Arial" w:hAnsi="Arial"/>
          <w:sz w:val="12"/>
          <w:szCs w:val="12"/>
          <w:b w:val="1"/>
          <w:bCs w:val="1"/>
          <w:i w:val="1"/>
          <w:iCs w:val="1"/>
          <w:color w:val="auto"/>
        </w:rPr>
        <w:t>Legal Proceedings</w:t>
      </w:r>
    </w:p>
    <w:p>
      <w:pPr>
        <w:spacing w:after="0" w:line="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From time to time we may become involved in various legal proceedings, investigative inquiries, and other disputes arising from or related to matters incident to the ordinary course of our business activities. We are not currently a party to any legal proceedings, nor are we aware of any pending or threatened legal proceedings, that we believe would have a material adverse effect on our business, operating results, cash flows or financial condition should such proceedings be resolved unfavorably.</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Indemnification</w:t>
      </w:r>
    </w:p>
    <w:p>
      <w:pPr>
        <w:spacing w:after="0" w:line="69"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2"/>
          <w:szCs w:val="12"/>
          <w:color w:val="auto"/>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8" w:name="page19"/>
    <w:bookmarkEnd w:id="18"/>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ind w:left="428" w:right="9780" w:hanging="428"/>
        <w:spacing w:after="0" w:line="454" w:lineRule="auto"/>
        <w:tabs>
          <w:tab w:leader="none" w:pos="116" w:val="left"/>
        </w:tabs>
        <w:numPr>
          <w:ilvl w:val="0"/>
          <w:numId w:val="2"/>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Stock-Based Compensation </w:t>
      </w:r>
      <w:r>
        <w:rPr>
          <w:rFonts w:ascii="Arial" w:cs="Arial" w:eastAsia="Arial" w:hAnsi="Arial"/>
          <w:sz w:val="10"/>
          <w:szCs w:val="10"/>
          <w:b w:val="1"/>
          <w:bCs w:val="1"/>
          <w:i w:val="1"/>
          <w:iCs w:val="1"/>
          <w:color w:val="auto"/>
        </w:rPr>
        <w:t>Stock Options</w:t>
      </w:r>
    </w:p>
    <w:p>
      <w:pPr>
        <w:ind w:left="428"/>
        <w:spacing w:after="0"/>
        <w:rPr>
          <w:rFonts w:ascii="Arial" w:cs="Arial" w:eastAsia="Arial" w:hAnsi="Arial"/>
          <w:sz w:val="10"/>
          <w:szCs w:val="10"/>
          <w:b w:val="1"/>
          <w:bCs w:val="1"/>
          <w:color w:val="auto"/>
        </w:rPr>
      </w:pPr>
      <w:r>
        <w:rPr>
          <w:rFonts w:ascii="Arial" w:cs="Arial" w:eastAsia="Arial" w:hAnsi="Arial"/>
          <w:sz w:val="12"/>
          <w:szCs w:val="12"/>
          <w:color w:val="auto"/>
        </w:rPr>
        <w:t>A summary of activity in connection with our stock options for the six months ended June 30, 2022, is as follows (number of shares in thousands):</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9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vMerge w:val="restart"/>
          </w:tcPr>
          <w:p>
            <w:pPr>
              <w:jc w:val="center"/>
              <w:ind w:left="372"/>
              <w:spacing w:after="0"/>
              <w:rPr>
                <w:sz w:val="20"/>
                <w:szCs w:val="20"/>
                <w:color w:val="auto"/>
              </w:rPr>
            </w:pPr>
            <w:r>
              <w:rPr>
                <w:rFonts w:ascii="Arial" w:cs="Arial" w:eastAsia="Arial" w:hAnsi="Arial"/>
                <w:sz w:val="10"/>
                <w:szCs w:val="10"/>
                <w:b w:val="1"/>
                <w:bCs w:val="1"/>
                <w:color w:val="auto"/>
                <w:w w:val="84"/>
              </w:rPr>
              <w:t>Weighted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tcPr>
          <w:p>
            <w:pPr>
              <w:jc w:val="center"/>
              <w:ind w:right="106"/>
              <w:spacing w:after="0"/>
              <w:rPr>
                <w:sz w:val="20"/>
                <w:szCs w:val="20"/>
                <w:color w:val="auto"/>
              </w:rPr>
            </w:pPr>
            <w:r>
              <w:rPr>
                <w:rFonts w:ascii="Arial" w:cs="Arial" w:eastAsia="Arial" w:hAnsi="Arial"/>
                <w:sz w:val="10"/>
                <w:szCs w:val="10"/>
                <w:b w:val="1"/>
                <w:bCs w:val="1"/>
                <w:color w:val="auto"/>
                <w:w w:val="88"/>
              </w:rPr>
              <w:t>Weighted</w:t>
            </w:r>
          </w:p>
        </w:tc>
        <w:tc>
          <w:tcPr>
            <w:tcW w:w="0" w:type="dxa"/>
            <w:vAlign w:val="bottom"/>
          </w:tcPr>
          <w:p>
            <w:pPr>
              <w:spacing w:after="0"/>
              <w:rPr>
                <w:sz w:val="1"/>
                <w:szCs w:val="1"/>
                <w:color w:val="auto"/>
              </w:rPr>
            </w:pPr>
          </w:p>
        </w:tc>
      </w:tr>
      <w:tr>
        <w:trPr>
          <w:trHeight w:val="90"/>
        </w:trPr>
        <w:tc>
          <w:tcPr>
            <w:tcW w:w="59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jc w:val="center"/>
              <w:ind w:right="126"/>
              <w:spacing w:after="0" w:line="90"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0"/>
        </w:trPr>
        <w:tc>
          <w:tcPr>
            <w:tcW w:w="5960" w:type="dxa"/>
            <w:vAlign w:val="bottom"/>
          </w:tcPr>
          <w:p>
            <w:pPr>
              <w:spacing w:after="0"/>
              <w:rPr>
                <w:sz w:val="7"/>
                <w:szCs w:val="7"/>
                <w:color w:val="auto"/>
              </w:rPr>
            </w:pPr>
          </w:p>
        </w:tc>
        <w:tc>
          <w:tcPr>
            <w:tcW w:w="1320" w:type="dxa"/>
            <w:vAlign w:val="bottom"/>
            <w:vMerge w:val="restart"/>
          </w:tcPr>
          <w:p>
            <w:pPr>
              <w:jc w:val="center"/>
              <w:ind w:left="352"/>
              <w:spacing w:after="0"/>
              <w:rPr>
                <w:sz w:val="20"/>
                <w:szCs w:val="20"/>
                <w:color w:val="auto"/>
              </w:rPr>
            </w:pPr>
            <w:r>
              <w:rPr>
                <w:rFonts w:ascii="Arial" w:cs="Arial" w:eastAsia="Arial" w:hAnsi="Arial"/>
                <w:sz w:val="10"/>
                <w:szCs w:val="10"/>
                <w:b w:val="1"/>
                <w:bCs w:val="1"/>
                <w:color w:val="auto"/>
                <w:w w:val="87"/>
              </w:rPr>
              <w:t>Number of</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jc w:val="center"/>
              <w:ind w:left="372"/>
              <w:spacing w:after="0" w:line="90" w:lineRule="exact"/>
              <w:rPr>
                <w:sz w:val="20"/>
                <w:szCs w:val="20"/>
                <w:color w:val="auto"/>
              </w:rPr>
            </w:pPr>
            <w:r>
              <w:rPr>
                <w:rFonts w:ascii="Arial" w:cs="Arial" w:eastAsia="Arial" w:hAnsi="Arial"/>
                <w:sz w:val="10"/>
                <w:szCs w:val="10"/>
                <w:b w:val="1"/>
                <w:bCs w:val="1"/>
                <w:color w:val="auto"/>
                <w:w w:val="86"/>
              </w:rPr>
              <w:t>Average</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jc w:val="center"/>
              <w:ind w:right="106"/>
              <w:spacing w:after="0" w:line="90" w:lineRule="exact"/>
              <w:rPr>
                <w:sz w:val="20"/>
                <w:szCs w:val="20"/>
                <w:color w:val="auto"/>
              </w:rPr>
            </w:pPr>
            <w:r>
              <w:rPr>
                <w:rFonts w:ascii="Arial" w:cs="Arial" w:eastAsia="Arial" w:hAnsi="Arial"/>
                <w:sz w:val="10"/>
                <w:szCs w:val="10"/>
                <w:b w:val="1"/>
                <w:bCs w:val="1"/>
                <w:color w:val="auto"/>
                <w:w w:val="85"/>
              </w:rPr>
              <w:t>Remaining</w:t>
            </w:r>
          </w:p>
        </w:tc>
        <w:tc>
          <w:tcPr>
            <w:tcW w:w="0" w:type="dxa"/>
            <w:vAlign w:val="bottom"/>
          </w:tcPr>
          <w:p>
            <w:pPr>
              <w:spacing w:after="0"/>
              <w:rPr>
                <w:sz w:val="1"/>
                <w:szCs w:val="1"/>
                <w:color w:val="auto"/>
              </w:rPr>
            </w:pPr>
          </w:p>
        </w:tc>
      </w:tr>
      <w:tr>
        <w:trPr>
          <w:trHeight w:val="90"/>
        </w:trPr>
        <w:tc>
          <w:tcPr>
            <w:tcW w:w="59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jc w:val="center"/>
              <w:ind w:left="372"/>
              <w:spacing w:after="0" w:line="90" w:lineRule="exact"/>
              <w:rPr>
                <w:sz w:val="20"/>
                <w:szCs w:val="20"/>
                <w:color w:val="auto"/>
              </w:rPr>
            </w:pPr>
            <w:r>
              <w:rPr>
                <w:rFonts w:ascii="Arial" w:cs="Arial" w:eastAsia="Arial" w:hAnsi="Arial"/>
                <w:sz w:val="10"/>
                <w:szCs w:val="10"/>
                <w:b w:val="1"/>
                <w:bCs w:val="1"/>
                <w:color w:val="auto"/>
                <w:w w:val="82"/>
              </w:rPr>
              <w:t>Exercise</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jc w:val="center"/>
              <w:ind w:right="106"/>
              <w:spacing w:after="0" w:line="90" w:lineRule="exact"/>
              <w:rPr>
                <w:sz w:val="20"/>
                <w:szCs w:val="20"/>
                <w:color w:val="auto"/>
              </w:rPr>
            </w:pPr>
            <w:r>
              <w:rPr>
                <w:rFonts w:ascii="Arial" w:cs="Arial" w:eastAsia="Arial" w:hAnsi="Arial"/>
                <w:sz w:val="10"/>
                <w:szCs w:val="10"/>
                <w:b w:val="1"/>
                <w:bCs w:val="1"/>
                <w:color w:val="auto"/>
                <w:w w:val="89"/>
              </w:rPr>
              <w:t>Contractual Life</w:t>
            </w:r>
          </w:p>
        </w:tc>
        <w:tc>
          <w:tcPr>
            <w:tcW w:w="0" w:type="dxa"/>
            <w:vAlign w:val="bottom"/>
          </w:tcPr>
          <w:p>
            <w:pPr>
              <w:spacing w:after="0"/>
              <w:rPr>
                <w:sz w:val="1"/>
                <w:szCs w:val="1"/>
                <w:color w:val="auto"/>
              </w:rPr>
            </w:pPr>
          </w:p>
        </w:tc>
      </w:tr>
      <w:tr>
        <w:trPr>
          <w:trHeight w:val="125"/>
        </w:trPr>
        <w:tc>
          <w:tcPr>
            <w:tcW w:w="596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tcPr>
          <w:p>
            <w:pPr>
              <w:jc w:val="center"/>
              <w:ind w:left="352"/>
              <w:spacing w:after="0"/>
              <w:rPr>
                <w:sz w:val="20"/>
                <w:szCs w:val="20"/>
                <w:color w:val="auto"/>
              </w:rPr>
            </w:pPr>
            <w:r>
              <w:rPr>
                <w:rFonts w:ascii="Arial" w:cs="Arial" w:eastAsia="Arial" w:hAnsi="Arial"/>
                <w:sz w:val="10"/>
                <w:szCs w:val="10"/>
                <w:b w:val="1"/>
                <w:bCs w:val="1"/>
                <w:color w:val="auto"/>
                <w:w w:val="83"/>
              </w:rPr>
              <w:t>Shares</w:t>
            </w: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tcPr>
          <w:p>
            <w:pPr>
              <w:jc w:val="center"/>
              <w:ind w:left="352"/>
              <w:spacing w:after="0"/>
              <w:rPr>
                <w:sz w:val="20"/>
                <w:szCs w:val="20"/>
                <w:color w:val="auto"/>
              </w:rPr>
            </w:pPr>
            <w:r>
              <w:rPr>
                <w:rFonts w:ascii="Arial" w:cs="Arial" w:eastAsia="Arial" w:hAnsi="Arial"/>
                <w:sz w:val="10"/>
                <w:szCs w:val="10"/>
                <w:b w:val="1"/>
                <w:bCs w:val="1"/>
                <w:color w:val="auto"/>
                <w:w w:val="87"/>
              </w:rPr>
              <w:t>Price per Share</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center"/>
              <w:ind w:right="106"/>
              <w:spacing w:after="0"/>
              <w:rPr>
                <w:sz w:val="20"/>
                <w:szCs w:val="20"/>
                <w:color w:val="auto"/>
              </w:rPr>
            </w:pPr>
            <w:r>
              <w:rPr>
                <w:rFonts w:ascii="Arial" w:cs="Arial" w:eastAsia="Arial" w:hAnsi="Arial"/>
                <w:sz w:val="10"/>
                <w:szCs w:val="10"/>
                <w:b w:val="1"/>
                <w:bCs w:val="1"/>
                <w:color w:val="auto"/>
                <w:w w:val="82"/>
              </w:rPr>
              <w:t>in Years</w:t>
            </w:r>
          </w:p>
        </w:tc>
        <w:tc>
          <w:tcPr>
            <w:tcW w:w="0" w:type="dxa"/>
            <w:vAlign w:val="bottom"/>
          </w:tcPr>
          <w:p>
            <w:pPr>
              <w:spacing w:after="0"/>
              <w:rPr>
                <w:sz w:val="1"/>
                <w:szCs w:val="1"/>
                <w:color w:val="auto"/>
              </w:rPr>
            </w:pPr>
          </w:p>
        </w:tc>
      </w:tr>
      <w:tr>
        <w:trPr>
          <w:trHeight w:val="143"/>
        </w:trPr>
        <w:tc>
          <w:tcPr>
            <w:tcW w:w="59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Options outstanding as of December 31, 2021</w:t>
            </w:r>
          </w:p>
        </w:tc>
        <w:tc>
          <w:tcPr>
            <w:tcW w:w="13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846</w:t>
            </w:r>
          </w:p>
        </w:tc>
        <w:tc>
          <w:tcPr>
            <w:tcW w:w="1400" w:type="dxa"/>
            <w:vAlign w:val="bottom"/>
            <w:gridSpan w:val="2"/>
            <w:shd w:val="clear" w:color="auto" w:fill="CCEEFF"/>
          </w:tcPr>
          <w:p>
            <w:pPr>
              <w:jc w:val="right"/>
              <w:ind w:right="1192"/>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3"/>
        </w:trPr>
        <w:tc>
          <w:tcPr>
            <w:tcW w:w="7280" w:type="dxa"/>
            <w:vAlign w:val="bottom"/>
            <w:gridSpan w:val="2"/>
          </w:tcPr>
          <w:p>
            <w:pPr>
              <w:spacing w:after="0"/>
              <w:rPr>
                <w:sz w:val="20"/>
                <w:szCs w:val="20"/>
                <w:color w:val="auto"/>
              </w:rPr>
            </w:pPr>
            <w:r>
              <w:rPr>
                <w:rFonts w:ascii="Arial" w:cs="Arial" w:eastAsia="Arial" w:hAnsi="Arial"/>
                <w:sz w:val="12"/>
                <w:szCs w:val="12"/>
                <w:color w:val="auto"/>
              </w:rPr>
              <w:t>Options granted</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Options exercised</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80" w:type="dxa"/>
            <w:vAlign w:val="bottom"/>
            <w:gridSpan w:val="2"/>
          </w:tcPr>
          <w:p>
            <w:pPr>
              <w:spacing w:after="0"/>
              <w:rPr>
                <w:sz w:val="20"/>
                <w:szCs w:val="20"/>
                <w:color w:val="auto"/>
              </w:rPr>
            </w:pPr>
            <w:r>
              <w:rPr>
                <w:rFonts w:ascii="Arial" w:cs="Arial" w:eastAsia="Arial" w:hAnsi="Arial"/>
                <w:sz w:val="12"/>
                <w:szCs w:val="12"/>
                <w:color w:val="auto"/>
              </w:rPr>
              <w:t>Options cancelled/forfeited</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9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Options outstanding as of June 30, 2022</w:t>
            </w:r>
          </w:p>
        </w:tc>
        <w:tc>
          <w:tcPr>
            <w:tcW w:w="132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761</w:t>
            </w:r>
          </w:p>
        </w:tc>
        <w:tc>
          <w:tcPr>
            <w:tcW w:w="1400" w:type="dxa"/>
            <w:vAlign w:val="bottom"/>
            <w:tcBorders>
              <w:top w:val="single" w:sz="8" w:color="CCEEFF"/>
              <w:bottom w:val="single" w:sz="8" w:color="CCEEFF"/>
            </w:tcBorders>
            <w:gridSpan w:val="2"/>
            <w:shd w:val="clear" w:color="auto" w:fill="CCEEFF"/>
          </w:tcPr>
          <w:p>
            <w:pPr>
              <w:jc w:val="right"/>
              <w:ind w:right="1192"/>
              <w:spacing w:after="0"/>
              <w:rPr>
                <w:sz w:val="20"/>
                <w:szCs w:val="20"/>
                <w:color w:val="auto"/>
              </w:rPr>
            </w:pPr>
            <w:r>
              <w:rPr>
                <w:rFonts w:ascii="Arial" w:cs="Arial" w:eastAsia="Arial" w:hAnsi="Arial"/>
                <w:sz w:val="12"/>
                <w:szCs w:val="12"/>
                <w:color w:val="auto"/>
              </w:rPr>
              <w:t>$</w:t>
            </w:r>
          </w:p>
        </w:tc>
        <w:tc>
          <w:tcPr>
            <w:tcW w:w="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13.84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277"/>
        </w:trPr>
        <w:tc>
          <w:tcPr>
            <w:tcW w:w="5960" w:type="dxa"/>
            <w:vAlign w:val="bottom"/>
          </w:tcPr>
          <w:p>
            <w:pPr>
              <w:ind w:left="420"/>
              <w:spacing w:after="0"/>
              <w:rPr>
                <w:sz w:val="20"/>
                <w:szCs w:val="20"/>
                <w:color w:val="auto"/>
              </w:rPr>
            </w:pPr>
            <w:r>
              <w:rPr>
                <w:rFonts w:ascii="Arial" w:cs="Arial" w:eastAsia="Arial" w:hAnsi="Arial"/>
                <w:sz w:val="12"/>
                <w:szCs w:val="12"/>
                <w:color w:val="auto"/>
              </w:rPr>
              <w:t>Our stock-based compensation expense for stock options was not material for the periods presented.</w:t>
            </w:r>
          </w:p>
        </w:tc>
        <w:tc>
          <w:tcPr>
            <w:tcW w:w="1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ind w:left="420"/>
              <w:spacing w:after="0"/>
              <w:rPr>
                <w:sz w:val="20"/>
                <w:szCs w:val="20"/>
                <w:color w:val="auto"/>
              </w:rPr>
            </w:pPr>
            <w:r>
              <w:rPr>
                <w:rFonts w:ascii="Arial" w:cs="Arial" w:eastAsia="Arial" w:hAnsi="Arial"/>
                <w:sz w:val="12"/>
                <w:szCs w:val="12"/>
                <w:color w:val="auto"/>
              </w:rPr>
              <w:t>No stock options were granted during the six months ended June 30, 2022 or 2021.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280" w:type="dxa"/>
            <w:vAlign w:val="bottom"/>
            <w:gridSpan w:val="2"/>
          </w:tcPr>
          <w:p>
            <w:pPr>
              <w:ind w:left="420"/>
              <w:spacing w:after="0"/>
              <w:rPr>
                <w:sz w:val="20"/>
                <w:szCs w:val="20"/>
                <w:color w:val="auto"/>
              </w:rPr>
            </w:pPr>
            <w:r>
              <w:rPr>
                <w:rFonts w:ascii="Arial" w:cs="Arial" w:eastAsia="Arial" w:hAnsi="Arial"/>
                <w:sz w:val="12"/>
                <w:szCs w:val="12"/>
                <w:b w:val="1"/>
                <w:bCs w:val="1"/>
                <w:i w:val="1"/>
                <w:iCs w:val="1"/>
                <w:color w:val="auto"/>
              </w:rPr>
              <w:t>Restricted Stock Units</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ind w:left="420"/>
              <w:spacing w:after="0"/>
              <w:rPr>
                <w:sz w:val="20"/>
                <w:szCs w:val="20"/>
                <w:color w:val="auto"/>
              </w:rPr>
            </w:pPr>
            <w:r>
              <w:rPr>
                <w:rFonts w:ascii="Arial" w:cs="Arial" w:eastAsia="Arial" w:hAnsi="Arial"/>
                <w:sz w:val="12"/>
                <w:szCs w:val="12"/>
                <w:color w:val="auto"/>
                <w:w w:val="93"/>
              </w:rPr>
              <w:t>A summary of activity in connection with our RSUs for the six months ended June 30, 2022, is as follows (number of shares in thousands):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vMerge w:val="restart"/>
          </w:tcPr>
          <w:p>
            <w:pPr>
              <w:jc w:val="center"/>
              <w:ind w:left="372"/>
              <w:spacing w:after="0"/>
              <w:rPr>
                <w:sz w:val="20"/>
                <w:szCs w:val="20"/>
                <w:color w:val="auto"/>
              </w:rPr>
            </w:pPr>
            <w:r>
              <w:rPr>
                <w:rFonts w:ascii="Arial" w:cs="Arial" w:eastAsia="Arial" w:hAnsi="Arial"/>
                <w:sz w:val="10"/>
                <w:szCs w:val="10"/>
                <w:b w:val="1"/>
                <w:bCs w:val="1"/>
                <w:color w:val="auto"/>
                <w:w w:val="85"/>
              </w:rPr>
              <w:t>Number of Shares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center"/>
              <w:ind w:right="106"/>
              <w:spacing w:after="0"/>
              <w:rPr>
                <w:sz w:val="20"/>
                <w:szCs w:val="20"/>
                <w:color w:val="auto"/>
              </w:rPr>
            </w:pPr>
            <w:r>
              <w:rPr>
                <w:rFonts w:ascii="Arial" w:cs="Arial" w:eastAsia="Arial" w:hAnsi="Arial"/>
                <w:sz w:val="10"/>
                <w:szCs w:val="10"/>
                <w:b w:val="1"/>
                <w:bCs w:val="1"/>
                <w:color w:val="auto"/>
                <w:w w:val="87"/>
              </w:rPr>
              <w:t>Weighted Average Grant Date</w:t>
            </w:r>
          </w:p>
        </w:tc>
        <w:tc>
          <w:tcPr>
            <w:tcW w:w="0" w:type="dxa"/>
            <w:vAlign w:val="bottom"/>
          </w:tcPr>
          <w:p>
            <w:pPr>
              <w:spacing w:after="0"/>
              <w:rPr>
                <w:sz w:val="1"/>
                <w:szCs w:val="1"/>
                <w:color w:val="auto"/>
              </w:rPr>
            </w:pPr>
          </w:p>
        </w:tc>
      </w:tr>
      <w:tr>
        <w:trPr>
          <w:trHeight w:val="125"/>
        </w:trPr>
        <w:tc>
          <w:tcPr>
            <w:tcW w:w="5960" w:type="dxa"/>
            <w:vAlign w:val="bottom"/>
            <w:tcBorders>
              <w:bottom w:val="single" w:sz="8" w:color="CCEEFF"/>
            </w:tcBorders>
          </w:tcPr>
          <w:p>
            <w:pPr>
              <w:spacing w:after="0"/>
              <w:rPr>
                <w:sz w:val="10"/>
                <w:szCs w:val="10"/>
                <w:color w:val="auto"/>
              </w:rPr>
            </w:pPr>
          </w:p>
        </w:tc>
        <w:tc>
          <w:tcPr>
            <w:tcW w:w="132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center"/>
              <w:ind w:right="106"/>
              <w:spacing w:after="0"/>
              <w:rPr>
                <w:sz w:val="20"/>
                <w:szCs w:val="20"/>
                <w:color w:val="auto"/>
              </w:rPr>
            </w:pPr>
            <w:r>
              <w:rPr>
                <w:rFonts w:ascii="Arial" w:cs="Arial" w:eastAsia="Arial" w:hAnsi="Arial"/>
                <w:sz w:val="10"/>
                <w:szCs w:val="10"/>
                <w:b w:val="1"/>
                <w:bCs w:val="1"/>
                <w:color w:val="auto"/>
                <w:w w:val="86"/>
              </w:rPr>
              <w:t>Fair Value per Share</w:t>
            </w:r>
          </w:p>
        </w:tc>
        <w:tc>
          <w:tcPr>
            <w:tcW w:w="0" w:type="dxa"/>
            <w:vAlign w:val="bottom"/>
          </w:tcPr>
          <w:p>
            <w:pPr>
              <w:spacing w:after="0"/>
              <w:rPr>
                <w:sz w:val="1"/>
                <w:szCs w:val="1"/>
                <w:color w:val="auto"/>
              </w:rPr>
            </w:pPr>
          </w:p>
        </w:tc>
      </w:tr>
      <w:tr>
        <w:trPr>
          <w:trHeight w:val="143"/>
        </w:trPr>
        <w:tc>
          <w:tcPr>
            <w:tcW w:w="728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Unvested as of December 31, 2021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118.27</w:t>
            </w:r>
          </w:p>
        </w:tc>
        <w:tc>
          <w:tcPr>
            <w:tcW w:w="0" w:type="dxa"/>
            <w:vAlign w:val="bottom"/>
          </w:tcPr>
          <w:p>
            <w:pPr>
              <w:spacing w:after="0"/>
              <w:rPr>
                <w:sz w:val="1"/>
                <w:szCs w:val="1"/>
                <w:color w:val="auto"/>
              </w:rPr>
            </w:pPr>
          </w:p>
        </w:tc>
      </w:tr>
      <w:tr>
        <w:trPr>
          <w:trHeight w:val="153"/>
        </w:trPr>
        <w:tc>
          <w:tcPr>
            <w:tcW w:w="728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right"/>
              <w:ind w:right="6"/>
              <w:spacing w:after="0"/>
              <w:rPr>
                <w:sz w:val="20"/>
                <w:szCs w:val="20"/>
                <w:color w:val="auto"/>
              </w:rPr>
            </w:pPr>
            <w:r>
              <w:rPr>
                <w:rFonts w:ascii="Arial" w:cs="Arial" w:eastAsia="Arial" w:hAnsi="Arial"/>
                <w:sz w:val="12"/>
                <w:szCs w:val="12"/>
                <w:color w:val="auto"/>
              </w:rPr>
              <w:t>112.97</w:t>
            </w:r>
          </w:p>
        </w:tc>
        <w:tc>
          <w:tcPr>
            <w:tcW w:w="0" w:type="dxa"/>
            <w:vAlign w:val="bottom"/>
          </w:tcPr>
          <w:p>
            <w:pPr>
              <w:spacing w:after="0"/>
              <w:rPr>
                <w:sz w:val="1"/>
                <w:szCs w:val="1"/>
                <w:color w:val="auto"/>
              </w:rPr>
            </w:pPr>
          </w:p>
        </w:tc>
      </w:tr>
      <w:tr>
        <w:trPr>
          <w:trHeight w:val="153"/>
        </w:trPr>
        <w:tc>
          <w:tcPr>
            <w:tcW w:w="7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Vested</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103.08</w:t>
            </w:r>
          </w:p>
        </w:tc>
        <w:tc>
          <w:tcPr>
            <w:tcW w:w="0" w:type="dxa"/>
            <w:vAlign w:val="bottom"/>
          </w:tcPr>
          <w:p>
            <w:pPr>
              <w:spacing w:after="0"/>
              <w:rPr>
                <w:sz w:val="1"/>
                <w:szCs w:val="1"/>
                <w:color w:val="auto"/>
              </w:rPr>
            </w:pPr>
          </w:p>
        </w:tc>
      </w:tr>
      <w:tr>
        <w:trPr>
          <w:trHeight w:val="153"/>
        </w:trPr>
        <w:tc>
          <w:tcPr>
            <w:tcW w:w="72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Forfeited</w:t>
            </w: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jc w:val="right"/>
              <w:ind w:right="6"/>
              <w:spacing w:after="0"/>
              <w:rPr>
                <w:sz w:val="20"/>
                <w:szCs w:val="20"/>
                <w:color w:val="auto"/>
              </w:rPr>
            </w:pPr>
            <w:r>
              <w:rPr>
                <w:rFonts w:ascii="Arial" w:cs="Arial" w:eastAsia="Arial" w:hAnsi="Arial"/>
                <w:sz w:val="12"/>
                <w:szCs w:val="12"/>
                <w:color w:val="auto"/>
              </w:rPr>
              <w:t>101.13</w:t>
            </w:r>
          </w:p>
        </w:tc>
        <w:tc>
          <w:tcPr>
            <w:tcW w:w="0" w:type="dxa"/>
            <w:vAlign w:val="bottom"/>
          </w:tcPr>
          <w:p>
            <w:pPr>
              <w:spacing w:after="0"/>
              <w:rPr>
                <w:sz w:val="1"/>
                <w:szCs w:val="1"/>
                <w:color w:val="auto"/>
              </w:rPr>
            </w:pPr>
          </w:p>
        </w:tc>
      </w:tr>
      <w:tr>
        <w:trPr>
          <w:trHeight w:val="158"/>
        </w:trPr>
        <w:tc>
          <w:tcPr>
            <w:tcW w:w="728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Unvested as of June 30, 2022</w:t>
            </w: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1,131</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2"/>
                <w:szCs w:val="12"/>
                <w:color w:val="auto"/>
              </w:rPr>
              <w:t>119.30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Unvested RSUs as of June 30, 2022 were composed of 0.9 million RSUs with only service conditions and 0.2 million PSUs with both service conditions and performance conditions. RSUs granted with only service conditions generally vest over a four-year period. The number of PSUs granted, as included in the above table, assumes achievement of the performance metric at 100% of the performance target. Of the unvested PSUs as of June 30, 2022, 0.1 million are subject to vesting based on the achievement of pre-established performance metrics for the year ending December 31, 2022 and will vest over a three year period, assuming continued employment throughout the performance period. The actual number of shares to be issued at the end of the performance period will range from 0% to 150% of the target number of shares depending on achievement relative to the performance metric over the applicable period. The remaining 0.1 million PSUs unvested as of June 30, 2022 are subject to vesting based on the achievement of pre-established performance metrics for three year measurement periods ending December 31, 2022 and 2023, assuming continued employment throughout the performance period.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w:t>
      </w:r>
    </w:p>
    <w:p>
      <w:pPr>
        <w:spacing w:after="0" w:line="52" w:lineRule="exact"/>
        <w:rPr>
          <w:sz w:val="20"/>
          <w:szCs w:val="20"/>
          <w:color w:val="auto"/>
        </w:rPr>
      </w:pPr>
    </w:p>
    <w:p>
      <w:pPr>
        <w:jc w:val="both"/>
        <w:ind w:left="8" w:firstLine="432"/>
        <w:spacing w:after="0" w:line="340" w:lineRule="auto"/>
        <w:rPr>
          <w:sz w:val="20"/>
          <w:szCs w:val="20"/>
          <w:color w:val="auto"/>
        </w:rPr>
      </w:pPr>
      <w:r>
        <w:rPr>
          <w:rFonts w:ascii="Arial" w:cs="Arial" w:eastAsia="Arial" w:hAnsi="Arial"/>
          <w:sz w:val="10"/>
          <w:szCs w:val="10"/>
          <w:color w:val="auto"/>
        </w:rPr>
        <w:t>We recognized stock-based compensation expense for the RSUs and PSUs of $10.5 million and $3.7 million for the three months ended June 30, 2022 and 2021, respectively, and $18.3 million and $6.8 million for the six months ended June 30, 2022 and 2021, respectively. Excluded from stock-based compensation expense is capitalized software development costs of $0.7 million and $1.2 million for the three and six months ended June 30, 2022 and 2021. As of June 30, 2022, the total estimated remaining stock-based compensation expense for the aforementioned RSUs and PSUs was $107.4 million, which is expected to be recognized over a weighted average period of 3.0 years.</w:t>
      </w:r>
    </w:p>
    <w:p>
      <w:pPr>
        <w:spacing w:after="0" w:line="3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7" w:right="299" w:bottom="1440" w:gutter="0" w:footer="0" w:header="0"/>
        </w:sectPr>
      </w:pPr>
    </w:p>
    <w:bookmarkStart w:id="19" w:name="page20"/>
    <w:bookmarkEnd w:id="1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Restricted Stock Awards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summary of activity in connection with our restricted stock awards ("RSAs") for the six months ended June 30, 2022 is as follows (number of shares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320" w:type="dxa"/>
            <w:vAlign w:val="bottom"/>
            <w:vMerge w:val="restart"/>
          </w:tcPr>
          <w:p>
            <w:pPr>
              <w:jc w:val="center"/>
              <w:ind w:left="352"/>
              <w:spacing w:after="0"/>
              <w:rPr>
                <w:sz w:val="20"/>
                <w:szCs w:val="20"/>
                <w:color w:val="auto"/>
              </w:rPr>
            </w:pPr>
            <w:r>
              <w:rPr>
                <w:rFonts w:ascii="Arial" w:cs="Arial" w:eastAsia="Arial" w:hAnsi="Arial"/>
                <w:sz w:val="10"/>
                <w:szCs w:val="10"/>
                <w:b w:val="1"/>
                <w:bCs w:val="1"/>
                <w:color w:val="auto"/>
                <w:w w:val="87"/>
              </w:rPr>
              <w:t>Number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jc w:val="center"/>
              <w:ind w:right="225"/>
              <w:spacing w:after="0"/>
              <w:rPr>
                <w:sz w:val="20"/>
                <w:szCs w:val="20"/>
                <w:color w:val="auto"/>
              </w:rPr>
            </w:pPr>
            <w:r>
              <w:rPr>
                <w:rFonts w:ascii="Arial" w:cs="Arial" w:eastAsia="Arial" w:hAnsi="Arial"/>
                <w:sz w:val="10"/>
                <w:szCs w:val="10"/>
                <w:b w:val="1"/>
                <w:bCs w:val="1"/>
                <w:color w:val="auto"/>
                <w:w w:val="84"/>
              </w:rPr>
              <w:t>Weighted Average</w:t>
            </w:r>
          </w:p>
        </w:tc>
        <w:tc>
          <w:tcPr>
            <w:tcW w:w="0" w:type="dxa"/>
            <w:vAlign w:val="bottom"/>
          </w:tcPr>
          <w:p>
            <w:pPr>
              <w:spacing w:after="0"/>
              <w:rPr>
                <w:sz w:val="1"/>
                <w:szCs w:val="1"/>
                <w:color w:val="auto"/>
              </w:rPr>
            </w:pPr>
          </w:p>
        </w:tc>
      </w:tr>
      <w:tr>
        <w:trPr>
          <w:trHeight w:val="90"/>
        </w:trPr>
        <w:tc>
          <w:tcPr>
            <w:tcW w:w="77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jc w:val="center"/>
              <w:ind w:right="225"/>
              <w:spacing w:after="0" w:line="90" w:lineRule="exact"/>
              <w:rPr>
                <w:sz w:val="20"/>
                <w:szCs w:val="20"/>
                <w:color w:val="auto"/>
              </w:rPr>
            </w:pPr>
            <w:r>
              <w:rPr>
                <w:rFonts w:ascii="Arial" w:cs="Arial" w:eastAsia="Arial" w:hAnsi="Arial"/>
                <w:sz w:val="10"/>
                <w:szCs w:val="10"/>
                <w:b w:val="1"/>
                <w:bCs w:val="1"/>
                <w:color w:val="auto"/>
                <w:w w:val="89"/>
              </w:rPr>
              <w:t>Grant Date</w:t>
            </w:r>
          </w:p>
        </w:tc>
        <w:tc>
          <w:tcPr>
            <w:tcW w:w="0" w:type="dxa"/>
            <w:vAlign w:val="bottom"/>
          </w:tcPr>
          <w:p>
            <w:pPr>
              <w:spacing w:after="0"/>
              <w:rPr>
                <w:sz w:val="1"/>
                <w:szCs w:val="1"/>
                <w:color w:val="auto"/>
              </w:rPr>
            </w:pPr>
          </w:p>
        </w:tc>
      </w:tr>
      <w:tr>
        <w:trPr>
          <w:trHeight w:val="125"/>
        </w:trPr>
        <w:tc>
          <w:tcPr>
            <w:tcW w:w="776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tcPr>
          <w:p>
            <w:pPr>
              <w:jc w:val="center"/>
              <w:ind w:left="352"/>
              <w:spacing w:after="0"/>
              <w:rPr>
                <w:sz w:val="20"/>
                <w:szCs w:val="20"/>
                <w:color w:val="auto"/>
              </w:rPr>
            </w:pPr>
            <w:r>
              <w:rPr>
                <w:rFonts w:ascii="Arial" w:cs="Arial" w:eastAsia="Arial" w:hAnsi="Arial"/>
                <w:sz w:val="10"/>
                <w:szCs w:val="10"/>
                <w:b w:val="1"/>
                <w:bCs w:val="1"/>
                <w:color w:val="auto"/>
                <w:w w:val="83"/>
              </w:rPr>
              <w:t>Shares</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center"/>
              <w:ind w:right="205"/>
              <w:spacing w:after="0"/>
              <w:rPr>
                <w:sz w:val="20"/>
                <w:szCs w:val="20"/>
                <w:color w:val="auto"/>
              </w:rPr>
            </w:pPr>
            <w:r>
              <w:rPr>
                <w:rFonts w:ascii="Arial" w:cs="Arial" w:eastAsia="Arial" w:hAnsi="Arial"/>
                <w:sz w:val="10"/>
                <w:szCs w:val="10"/>
                <w:b w:val="1"/>
                <w:bCs w:val="1"/>
                <w:color w:val="auto"/>
                <w:w w:val="86"/>
              </w:rPr>
              <w:t>Fair Value per Share</w:t>
            </w:r>
          </w:p>
        </w:tc>
        <w:tc>
          <w:tcPr>
            <w:tcW w:w="0" w:type="dxa"/>
            <w:vAlign w:val="bottom"/>
          </w:tcPr>
          <w:p>
            <w:pPr>
              <w:spacing w:after="0"/>
              <w:rPr>
                <w:sz w:val="1"/>
                <w:szCs w:val="1"/>
                <w:color w:val="auto"/>
              </w:rPr>
            </w:pPr>
          </w:p>
        </w:tc>
      </w:tr>
      <w:tr>
        <w:trPr>
          <w:trHeight w:val="143"/>
        </w:trPr>
        <w:tc>
          <w:tcPr>
            <w:tcW w:w="77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Unvested as of December 31, 2021</w:t>
            </w:r>
          </w:p>
        </w:tc>
        <w:tc>
          <w:tcPr>
            <w:tcW w:w="13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144.33</w:t>
            </w:r>
          </w:p>
        </w:tc>
        <w:tc>
          <w:tcPr>
            <w:tcW w:w="0" w:type="dxa"/>
            <w:vAlign w:val="bottom"/>
          </w:tcPr>
          <w:p>
            <w:pPr>
              <w:spacing w:after="0"/>
              <w:rPr>
                <w:sz w:val="1"/>
                <w:szCs w:val="1"/>
                <w:color w:val="auto"/>
              </w:rPr>
            </w:pPr>
          </w:p>
        </w:tc>
      </w:tr>
      <w:tr>
        <w:trPr>
          <w:trHeight w:val="153"/>
        </w:trPr>
        <w:tc>
          <w:tcPr>
            <w:tcW w:w="908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40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5"/>
              <w:spacing w:after="0"/>
              <w:rPr>
                <w:sz w:val="20"/>
                <w:szCs w:val="20"/>
                <w:color w:val="auto"/>
              </w:rPr>
            </w:pPr>
            <w:r>
              <w:rPr>
                <w:rFonts w:ascii="Arial" w:cs="Arial" w:eastAsia="Arial" w:hAnsi="Arial"/>
                <w:sz w:val="12"/>
                <w:szCs w:val="12"/>
                <w:color w:val="auto"/>
              </w:rPr>
              <w:t>96.33</w:t>
            </w:r>
          </w:p>
        </w:tc>
        <w:tc>
          <w:tcPr>
            <w:tcW w:w="0" w:type="dxa"/>
            <w:vAlign w:val="bottom"/>
          </w:tcPr>
          <w:p>
            <w:pPr>
              <w:spacing w:after="0"/>
              <w:rPr>
                <w:sz w:val="1"/>
                <w:szCs w:val="1"/>
                <w:color w:val="auto"/>
              </w:rPr>
            </w:pPr>
          </w:p>
        </w:tc>
      </w:tr>
      <w:tr>
        <w:trPr>
          <w:trHeight w:val="153"/>
        </w:trPr>
        <w:tc>
          <w:tcPr>
            <w:tcW w:w="9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Vested</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144.33</w:t>
            </w:r>
          </w:p>
        </w:tc>
        <w:tc>
          <w:tcPr>
            <w:tcW w:w="0" w:type="dxa"/>
            <w:vAlign w:val="bottom"/>
          </w:tcPr>
          <w:p>
            <w:pPr>
              <w:spacing w:after="0"/>
              <w:rPr>
                <w:sz w:val="1"/>
                <w:szCs w:val="1"/>
                <w:color w:val="auto"/>
              </w:rPr>
            </w:pPr>
          </w:p>
        </w:tc>
      </w:tr>
      <w:tr>
        <w:trPr>
          <w:trHeight w:val="153"/>
        </w:trPr>
        <w:tc>
          <w:tcPr>
            <w:tcW w:w="9080" w:type="dxa"/>
            <w:vAlign w:val="bottom"/>
            <w:gridSpan w:val="2"/>
          </w:tcPr>
          <w:p>
            <w:pPr>
              <w:spacing w:after="0"/>
              <w:rPr>
                <w:sz w:val="20"/>
                <w:szCs w:val="20"/>
                <w:color w:val="auto"/>
              </w:rPr>
            </w:pPr>
            <w:r>
              <w:rPr>
                <w:rFonts w:ascii="Arial" w:cs="Arial" w:eastAsia="Arial" w:hAnsi="Arial"/>
                <w:sz w:val="12"/>
                <w:szCs w:val="12"/>
                <w:color w:val="auto"/>
              </w:rPr>
              <w:t>Forfeited</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5"/>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77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Unvested as of June 30, 2022</w:t>
            </w:r>
          </w:p>
        </w:tc>
        <w:tc>
          <w:tcPr>
            <w:tcW w:w="132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3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60" w:type="dxa"/>
            <w:vAlign w:val="bottom"/>
            <w:tcBorders>
              <w:top w:val="single" w:sz="8" w:color="CCEEFF"/>
              <w:bottom w:val="single" w:sz="8" w:color="CCEEFF"/>
            </w:tcBorders>
            <w:shd w:val="clear" w:color="auto" w:fill="CCEEFF"/>
          </w:tcPr>
          <w:p>
            <w:pPr>
              <w:jc w:val="right"/>
              <w:ind w:right="5"/>
              <w:spacing w:after="0"/>
              <w:rPr>
                <w:sz w:val="20"/>
                <w:szCs w:val="20"/>
                <w:color w:val="auto"/>
              </w:rPr>
            </w:pPr>
            <w:r>
              <w:rPr>
                <w:rFonts w:ascii="Arial" w:cs="Arial" w:eastAsia="Arial" w:hAnsi="Arial"/>
                <w:sz w:val="12"/>
                <w:szCs w:val="12"/>
                <w:color w:val="auto"/>
              </w:rPr>
              <w:t>96.33</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have the right to repurchase any unvested RSAs subject to certain conditions. RSAs vest over a one-year period. Our stock-based compensation expense for RSAs was not material for the periods presented.</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As of June 30, 2022, the total estimated remaining stock-based compensation expense for unvested RSAs with a repurchase right was $0.6 million, which is expected to be recognized over a weighted average period of one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year.</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Income Taxes</w:t>
      </w:r>
    </w:p>
    <w:p>
      <w:pPr>
        <w:spacing w:after="0" w:line="8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calculate our provision for (benefit from) income taxes on a quarterly basis by applying an estimated annual effective tax rate to income/loss from operations and by calculating the tax effect of discrete items recognized during the quarter.</w:t>
      </w:r>
    </w:p>
    <w:p>
      <w:pPr>
        <w:spacing w:after="0" w:line="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For the three and six months ended June 30, 2022, we recorded income tax expense of $0.2 million and an income tax benefit of $49 thousand, respectively. The effective tax rate as compared to the U.S. federal statutory rate of 21% differs primarily due to the significance of the benefits associated with stock-based compensation expense, research and development tax credits, offset by the change in the valuation allowance against deferred taxes.</w:t>
      </w:r>
    </w:p>
    <w:p>
      <w:pPr>
        <w:ind w:left="420"/>
        <w:spacing w:after="0"/>
        <w:rPr>
          <w:sz w:val="20"/>
          <w:szCs w:val="20"/>
          <w:color w:val="auto"/>
        </w:rPr>
      </w:pPr>
      <w:r>
        <w:rPr>
          <w:rFonts w:ascii="Arial" w:cs="Arial" w:eastAsia="Arial" w:hAnsi="Arial"/>
          <w:sz w:val="10"/>
          <w:szCs w:val="10"/>
          <w:color w:val="auto"/>
        </w:rPr>
        <w:t>There were no material changes to our unrecognized tax benefits during the six months ended June 30, 2022 and we do not expect to have any significant changes to unrecognized tax benefits through the remainder of the fiscal</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year.</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Revenue and Other Information</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our revenue categories for the three and six months ended June 30, 2022 and 2021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60" w:type="dxa"/>
            <w:vAlign w:val="bottom"/>
            <w:gridSpan w:val="3"/>
          </w:tcPr>
          <w:p>
            <w:pPr>
              <w:jc w:val="right"/>
              <w:ind w:right="344"/>
              <w:spacing w:after="0"/>
              <w:rPr>
                <w:sz w:val="20"/>
                <w:szCs w:val="20"/>
                <w:color w:val="auto"/>
              </w:rPr>
            </w:pPr>
            <w:r>
              <w:rPr>
                <w:rFonts w:ascii="Arial" w:cs="Arial" w:eastAsia="Arial" w:hAnsi="Arial"/>
                <w:sz w:val="10"/>
                <w:szCs w:val="10"/>
                <w:b w:val="1"/>
                <w:bCs w:val="1"/>
                <w:color w:val="auto"/>
                <w:w w:val="94"/>
              </w:rPr>
              <w:t>Three Months Ended</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Six Months Ended</w:t>
            </w:r>
          </w:p>
        </w:tc>
        <w:tc>
          <w:tcPr>
            <w:tcW w:w="820" w:type="dxa"/>
            <w:vAlign w:val="bottom"/>
          </w:tcPr>
          <w:p>
            <w:pPr>
              <w:spacing w:after="0"/>
              <w:rPr>
                <w:sz w:val="10"/>
                <w:szCs w:val="10"/>
                <w:color w:val="auto"/>
              </w:rPr>
            </w:pPr>
          </w:p>
        </w:tc>
      </w:tr>
      <w:tr>
        <w:trPr>
          <w:trHeight w:val="125"/>
        </w:trPr>
        <w:tc>
          <w:tcPr>
            <w:tcW w:w="59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0"/>
                <w:szCs w:val="10"/>
                <w:b w:val="1"/>
                <w:bCs w:val="1"/>
                <w:color w:val="auto"/>
              </w:rPr>
              <w:t>June 30,</w:t>
            </w:r>
          </w:p>
        </w:tc>
        <w:tc>
          <w:tcPr>
            <w:tcW w:w="4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rPr>
              <w:t>June 30,</w:t>
            </w:r>
          </w:p>
        </w:tc>
        <w:tc>
          <w:tcPr>
            <w:tcW w:w="820" w:type="dxa"/>
            <w:vAlign w:val="bottom"/>
            <w:tcBorders>
              <w:bottom w:val="single" w:sz="8" w:color="auto"/>
            </w:tcBorders>
          </w:tcPr>
          <w:p>
            <w:pPr>
              <w:spacing w:after="0"/>
              <w:rPr>
                <w:sz w:val="10"/>
                <w:szCs w:val="10"/>
                <w:color w:val="auto"/>
              </w:rPr>
            </w:pPr>
          </w:p>
        </w:tc>
      </w:tr>
      <w:tr>
        <w:trPr>
          <w:trHeight w:val="115"/>
        </w:trPr>
        <w:tc>
          <w:tcPr>
            <w:tcW w:w="59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2022</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2021</w:t>
            </w:r>
          </w:p>
        </w:tc>
      </w:tr>
      <w:tr>
        <w:trPr>
          <w:trHeight w:val="143"/>
        </w:trPr>
        <w:tc>
          <w:tcPr>
            <w:tcW w:w="59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Core solutions</w:t>
            </w:r>
          </w:p>
        </w:tc>
        <w:tc>
          <w:tcPr>
            <w:tcW w:w="780" w:type="dxa"/>
            <w:vAlign w:val="bottom"/>
            <w:shd w:val="clear" w:color="auto" w:fill="CCEEFF"/>
          </w:tcPr>
          <w:p>
            <w:pPr>
              <w:jc w:val="right"/>
              <w:ind w:right="644"/>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32,414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25,363</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63,223</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49,537</w:t>
            </w:r>
          </w:p>
        </w:tc>
      </w:tr>
      <w:tr>
        <w:trPr>
          <w:trHeight w:val="153"/>
        </w:trPr>
        <w:tc>
          <w:tcPr>
            <w:tcW w:w="5980" w:type="dxa"/>
            <w:vAlign w:val="bottom"/>
          </w:tcPr>
          <w:p>
            <w:pPr>
              <w:spacing w:after="0"/>
              <w:rPr>
                <w:sz w:val="20"/>
                <w:szCs w:val="20"/>
                <w:color w:val="auto"/>
              </w:rPr>
            </w:pPr>
            <w:r>
              <w:rPr>
                <w:rFonts w:ascii="Arial" w:cs="Arial" w:eastAsia="Arial" w:hAnsi="Arial"/>
                <w:sz w:val="12"/>
                <w:szCs w:val="12"/>
                <w:color w:val="auto"/>
              </w:rPr>
              <w:t>Value Added Services</w:t>
            </w:r>
          </w:p>
        </w:tc>
        <w:tc>
          <w:tcPr>
            <w:tcW w:w="780" w:type="dxa"/>
            <w:vAlign w:val="bottom"/>
          </w:tcPr>
          <w:p>
            <w:pPr>
              <w:spacing w:after="0"/>
              <w:rPr>
                <w:sz w:val="13"/>
                <w:szCs w:val="13"/>
                <w:color w:val="auto"/>
              </w:rPr>
            </w:pPr>
          </w:p>
        </w:tc>
        <w:tc>
          <w:tcPr>
            <w:tcW w:w="480" w:type="dxa"/>
            <w:vAlign w:val="bottom"/>
          </w:tcPr>
          <w:p>
            <w:pPr>
              <w:jc w:val="right"/>
              <w:ind w:right="4"/>
              <w:spacing w:after="0"/>
              <w:rPr>
                <w:sz w:val="20"/>
                <w:szCs w:val="20"/>
                <w:color w:val="auto"/>
              </w:rPr>
            </w:pPr>
            <w:r>
              <w:rPr>
                <w:rFonts w:ascii="Arial" w:cs="Arial" w:eastAsia="Arial" w:hAnsi="Arial"/>
                <w:sz w:val="12"/>
                <w:szCs w:val="12"/>
                <w:color w:val="auto"/>
              </w:rPr>
              <w:t>81,450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60,447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5"/>
              <w:spacing w:after="0"/>
              <w:rPr>
                <w:sz w:val="20"/>
                <w:szCs w:val="20"/>
                <w:color w:val="auto"/>
              </w:rPr>
            </w:pPr>
            <w:r>
              <w:rPr>
                <w:rFonts w:ascii="Arial" w:cs="Arial" w:eastAsia="Arial" w:hAnsi="Arial"/>
                <w:sz w:val="12"/>
                <w:szCs w:val="12"/>
                <w:color w:val="auto"/>
              </w:rPr>
              <w:t>152,950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111,957</w:t>
            </w:r>
          </w:p>
        </w:tc>
      </w:tr>
      <w:tr>
        <w:trPr>
          <w:trHeight w:val="153"/>
        </w:trPr>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3,586</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3,230</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6,573</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6,467</w:t>
            </w:r>
          </w:p>
        </w:tc>
      </w:tr>
      <w:tr>
        <w:trPr>
          <w:trHeight w:val="142"/>
        </w:trPr>
        <w:tc>
          <w:tcPr>
            <w:tcW w:w="5980" w:type="dxa"/>
            <w:vAlign w:val="bottom"/>
          </w:tcPr>
          <w:p>
            <w:pPr>
              <w:spacing w:after="0" w:line="133" w:lineRule="exact"/>
              <w:rPr>
                <w:sz w:val="20"/>
                <w:szCs w:val="20"/>
                <w:color w:val="auto"/>
              </w:rPr>
            </w:pPr>
            <w:r>
              <w:rPr>
                <w:rFonts w:ascii="Arial" w:cs="Arial" w:eastAsia="Arial" w:hAnsi="Arial"/>
                <w:sz w:val="12"/>
                <w:szCs w:val="12"/>
                <w:color w:val="auto"/>
              </w:rPr>
              <w:t>Total revenue</w:t>
            </w:r>
          </w:p>
        </w:tc>
        <w:tc>
          <w:tcPr>
            <w:tcW w:w="780" w:type="dxa"/>
            <w:vAlign w:val="bottom"/>
            <w:tcBorders>
              <w:bottom w:val="single" w:sz="8" w:color="auto"/>
            </w:tcBorders>
          </w:tcPr>
          <w:p>
            <w:pPr>
              <w:jc w:val="right"/>
              <w:ind w:right="644"/>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w w:val="92"/>
              </w:rPr>
              <w:t>117,450</w:t>
            </w: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ind w:right="66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89,040</w:t>
            </w:r>
          </w:p>
        </w:tc>
        <w:tc>
          <w:tcPr>
            <w:tcW w:w="12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222,746</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167,961</w:t>
            </w:r>
          </w:p>
        </w:tc>
      </w:tr>
      <w:tr>
        <w:trPr>
          <w:trHeight w:val="20"/>
        </w:trPr>
        <w:tc>
          <w:tcPr>
            <w:tcW w:w="5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revenue is generated primarily from customers in the United States. All of our property and equipment is located in the United States.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Deferred Revenue</w:t>
      </w:r>
    </w:p>
    <w:p>
      <w:pPr>
        <w:spacing w:after="0" w:line="13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During the six months ended June 30, 2022 and 2021, we recognized $2.1 million and $1.8 million of revenue, respectively, which were included in the deferred revenue balances as of December 31, 2021 and 2020,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0" w:name="page21"/>
    <w:bookmarkEnd w:id="2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7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i w:val="1"/>
          <w:iCs w:val="1"/>
          <w:color w:val="auto"/>
        </w:rPr>
        <w:t>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Our actual results may differ materially from those expressed or implied by these forward-looking statements as a result of many factors, including those set forth in the section entitled “Risk Factors” in our Annual Report, as well as our other public filings with the SEC. Please also refer to the section of this Quarterly Report entitled "Forward-Looking Statements"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27"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We are a leading provider of cloud business management solutions for the real estate industry. Our solutions enable our customers to digitally transform their businesses, automate and streamline critical business operations and deliver a better customer experience. Our products assist an interconnected and growing ecosystem of users, including property managers, property owners, real estate investment managers, rental prospects, residents, and service providers with critical transactions across the real estate lifecycle, including screening potential tenants, sending and receiving payments and providing insurance-related risk mitigation services. AppFolio’s intuitive interface, coupled with streamlined and automated workflows, make it easier for our customers to eliminate redundant and manual processes so they can deliver a great experience for their users while improving financial and operational performance.</w:t>
      </w:r>
    </w:p>
    <w:p>
      <w:pPr>
        <w:spacing w:after="0" w:line="23"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work environment to motivate and develop our valuable human capital. As we navigate the challenges of increased competition for talent, we have evolved our compensation and employee reward practices, which has had, and we expect will continue to have, a material impact on our results.</w:t>
      </w:r>
    </w:p>
    <w:p>
      <w:pPr>
        <w:spacing w:after="0" w:line="33"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b w:val="1"/>
          <w:bCs w:val="1"/>
          <w:i w:val="1"/>
          <w:iCs w:val="1"/>
          <w:color w:val="auto"/>
        </w:rPr>
        <w:t>Property management units under management</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believe that our ability to increase our number of property management units under management is an indicator of our market penetration, growth, and potential future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business opportunities. We define property management units under management as the number of active units in our core solutions. We had 6.83 million and 5.82 million property management units under management as of June 30, 2022 and 2021,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Components of Results of Operations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Revenue</w:t>
      </w:r>
    </w:p>
    <w:p>
      <w:pPr>
        <w:spacing w:after="0" w:line="7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core solutions and certain of our Value Added Services are offered on a subscription basis. Our core solutions subscription fees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the subscription period.</w:t>
      </w:r>
    </w:p>
    <w:p>
      <w:pPr>
        <w:spacing w:after="0" w:line="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also offer certain Value Added Services, which are not covered by our subscription fees, on a per-use basis. Usage-based fees are charged either as a percentage of the transaction amount (e.g., for certain of our electronic payment services) or on a flat fee per transaction basis with no minimum usage commitments (e.g., for our tenant screening and risk mitigation services). We recognize revenue for usage-based services in the period the service is rendered. Our electronic payments services fees are recorded gross of the interchange and payment processing related fees. We generally invoice our usage-based services on a monthly basis or collect the fee at the time of service. A significant majority of our Value Added Services revenue comes directly and indirectly from the use of our electronic payment services, tenant screening services, and risk mitigation services. Usage-based fees are paid either by customers or by users.</w:t>
      </w:r>
    </w:p>
    <w:p>
      <w:pPr>
        <w:spacing w:after="0" w:line="5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We charge our customers for on-boarding assistance to our core solutions and certain other non-recurring services. We generally invoice for these other services in advance of the services being completed and recognize revenue upon completion of the related service. We generate revenue from the legacy customers of previously acquired businesses by providing services outside of our property management core solution platform. Revenue derived from these services is recorded in </w:t>
      </w:r>
      <w:r>
        <w:rPr>
          <w:rFonts w:ascii="Arial" w:cs="Arial" w:eastAsia="Arial" w:hAnsi="Arial"/>
          <w:sz w:val="12"/>
          <w:szCs w:val="12"/>
          <w:i w:val="1"/>
          <w:iCs w:val="1"/>
          <w:color w:val="auto"/>
        </w:rPr>
        <w:t>Other revenue.</w:t>
      </w:r>
      <w:r>
        <w:rPr>
          <w:rFonts w:ascii="Arial" w:cs="Arial" w:eastAsia="Arial" w:hAnsi="Arial"/>
          <w:sz w:val="12"/>
          <w:szCs w:val="12"/>
          <w:color w:val="auto"/>
        </w:rPr>
        <w:t xml:space="preserve"> As of June 30, 2022 and 2021, we had 17,878 and 16,532 property management customers,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Costs and Operating Expenses</w:t>
      </w:r>
    </w:p>
    <w:p>
      <w:pPr>
        <w:spacing w:after="0" w:line="7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i w:val="1"/>
          <w:iCs w:val="1"/>
          <w:color w:val="auto"/>
        </w:rPr>
        <w:t xml:space="preserve">Cost of Revenue. </w:t>
      </w:r>
      <w:r>
        <w:rPr>
          <w:rFonts w:ascii="Arial" w:cs="Arial" w:eastAsia="Arial" w:hAnsi="Arial"/>
          <w:sz w:val="11"/>
          <w:szCs w:val="11"/>
          <w:color w:val="auto"/>
        </w:rPr>
        <w:t>Many of our Value Added Services are facilitated by third-party service providers. Cost of revenue paid to these third-party service providers includes the cost of electronic interchange and payment</w:t>
      </w:r>
      <w:r>
        <w:rPr>
          <w:rFonts w:ascii="Arial" w:cs="Arial" w:eastAsia="Arial" w:hAnsi="Arial"/>
          <w:sz w:val="11"/>
          <w:szCs w:val="11"/>
          <w:i w:val="1"/>
          <w:iCs w:val="1"/>
          <w:color w:val="auto"/>
        </w:rPr>
        <w:t xml:space="preserve"> </w:t>
      </w:r>
      <w:r>
        <w:rPr>
          <w:rFonts w:ascii="Arial" w:cs="Arial" w:eastAsia="Arial" w:hAnsi="Arial"/>
          <w:sz w:val="11"/>
          <w:szCs w:val="11"/>
          <w:color w:val="auto"/>
        </w:rPr>
        <w:t>processing-related services to support our electronic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4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i w:val="1"/>
          <w:iCs w:val="1"/>
          <w:color w:val="auto"/>
        </w:rPr>
        <w:t xml:space="preserve">Sales and Marketing. </w:t>
      </w:r>
      <w:r>
        <w:rPr>
          <w:rFonts w:ascii="Arial" w:cs="Arial" w:eastAsia="Arial" w:hAnsi="Arial"/>
          <w:sz w:val="12"/>
          <w:szCs w:val="12"/>
          <w:color w:val="auto"/>
        </w:rPr>
        <w:t>Sales and marketing expense consists of personnel-related costs for our employees focused on sales and marketing (including salaries, sales commissions, performance-based compensation, benefits, and</w:t>
      </w:r>
      <w:r>
        <w:rPr>
          <w:rFonts w:ascii="Arial" w:cs="Arial" w:eastAsia="Arial" w:hAnsi="Arial"/>
          <w:sz w:val="12"/>
          <w:szCs w:val="12"/>
          <w:i w:val="1"/>
          <w:iCs w:val="1"/>
          <w:color w:val="auto"/>
        </w:rPr>
        <w:t xml:space="preserve"> </w:t>
      </w:r>
      <w:r>
        <w:rPr>
          <w:rFonts w:ascii="Arial" w:cs="Arial" w:eastAsia="Arial" w:hAnsi="Arial"/>
          <w:sz w:val="12"/>
          <w:szCs w:val="12"/>
          <w:color w:val="auto"/>
        </w:rPr>
        <w:t>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Added Services by our new and existing customers are deferred and then amortized on a straight-line basis over a period of benefit, which we have determined to be three years. We focus our sales and marketing efforts on generating awareness of our software solutions, creating sales leads, establishing and promoting our brands, and cultivating an educated community of successful and vocal customers.</w:t>
      </w:r>
    </w:p>
    <w:p>
      <w:pPr>
        <w:spacing w:after="0" w:line="8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i w:val="1"/>
          <w:iCs w:val="1"/>
          <w:color w:val="auto"/>
        </w:rPr>
        <w:t xml:space="preserve">Research and Product Development. </w:t>
      </w:r>
      <w:r>
        <w:rPr>
          <w:rFonts w:ascii="Arial" w:cs="Arial" w:eastAsia="Arial" w:hAnsi="Arial"/>
          <w:sz w:val="11"/>
          <w:szCs w:val="11"/>
          <w:color w:val="auto"/>
        </w:rPr>
        <w:t>Research and product development expense consists of personnel-related costs for our employees focused on research and product development (including salaries, performance-based</w:t>
      </w:r>
      <w:r>
        <w:rPr>
          <w:rFonts w:ascii="Arial" w:cs="Arial" w:eastAsia="Arial" w:hAnsi="Arial"/>
          <w:sz w:val="11"/>
          <w:szCs w:val="11"/>
          <w:i w:val="1"/>
          <w:iCs w:val="1"/>
          <w:color w:val="auto"/>
        </w:rPr>
        <w:t xml:space="preserve"> </w:t>
      </w:r>
      <w:r>
        <w:rPr>
          <w:rFonts w:ascii="Arial" w:cs="Arial" w:eastAsia="Arial" w:hAnsi="Arial"/>
          <w:sz w:val="11"/>
          <w:szCs w:val="11"/>
          <w:color w:val="auto"/>
        </w:rPr>
        <w:t>compensation, benefits, and stock-based compensation), fees for third-party development resources, and allocated shared and other costs. Our research and product development efforts are focused on enhancing functionality and the ease of use of our existing software solutions by adding new core functionality, Value Added Services and other improvements, as well as developing new products and services for existing and adjacent markets. We capitalize our software development costs that meet the criteria for capitalization. Amortization of capitalized software development costs is included in depreciation and amortization expense.</w:t>
      </w:r>
    </w:p>
    <w:p>
      <w:pPr>
        <w:spacing w:after="0" w:line="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i w:val="1"/>
          <w:iCs w:val="1"/>
          <w:color w:val="auto"/>
        </w:rPr>
        <w:t xml:space="preserve">General and Administrative. </w:t>
      </w:r>
      <w:r>
        <w:rPr>
          <w:rFonts w:ascii="Arial" w:cs="Arial" w:eastAsia="Arial" w:hAnsi="Arial"/>
          <w:sz w:val="12"/>
          <w:szCs w:val="12"/>
          <w:color w:val="auto"/>
        </w:rPr>
        <w:t>General and administrative expense consists of personnel-related costs for employees in our executive, finance, information technology, human resources, legal, compliance, corporate development</w:t>
      </w:r>
      <w:r>
        <w:rPr>
          <w:rFonts w:ascii="Arial" w:cs="Arial" w:eastAsia="Arial" w:hAnsi="Arial"/>
          <w:sz w:val="12"/>
          <w:szCs w:val="12"/>
          <w:i w:val="1"/>
          <w:iCs w:val="1"/>
          <w:color w:val="auto"/>
        </w:rPr>
        <w:t xml:space="preserve"> </w:t>
      </w:r>
      <w:r>
        <w:rPr>
          <w:rFonts w:ascii="Arial" w:cs="Arial" w:eastAsia="Arial" w:hAnsi="Arial"/>
          <w:sz w:val="12"/>
          <w:szCs w:val="12"/>
          <w:color w:val="auto"/>
        </w:rPr>
        <w:t>and administrative organizations (including salaries, performance-based cash compensation, benefits, and stock-based compensation). In addition, general and administrative expense includes fees for third-party professional services (including audit, legal, compliance, tax, and consulting services), transaction costs related to business combinations and divestitures, regulatory fees, other corporate expenses, impairment of long-lived assets, and allocated shared and other costs.</w:t>
      </w:r>
    </w:p>
    <w:p>
      <w:pPr>
        <w:spacing w:after="0" w:line="5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i w:val="1"/>
          <w:iCs w:val="1"/>
          <w:color w:val="auto"/>
        </w:rPr>
        <w:t xml:space="preserve">Depreciation and Amortization. </w:t>
      </w:r>
      <w:r>
        <w:rPr>
          <w:rFonts w:ascii="Arial" w:cs="Arial" w:eastAsia="Arial" w:hAnsi="Arial"/>
          <w:sz w:val="12"/>
          <w:szCs w:val="12"/>
          <w:color w:val="auto"/>
        </w:rPr>
        <w:t>Depreciation and amortization expense includes depreciation of property and equipment, amortization of capitalized software development costs, and amortization of intangible assets. We</w:t>
      </w:r>
      <w:r>
        <w:rPr>
          <w:rFonts w:ascii="Arial" w:cs="Arial" w:eastAsia="Arial" w:hAnsi="Arial"/>
          <w:sz w:val="12"/>
          <w:szCs w:val="12"/>
          <w:i w:val="1"/>
          <w:iCs w:val="1"/>
          <w:color w:val="auto"/>
        </w:rPr>
        <w:t xml:space="preserve"> </w:t>
      </w:r>
      <w:r>
        <w:rPr>
          <w:rFonts w:ascii="Arial" w:cs="Arial" w:eastAsia="Arial" w:hAnsi="Arial"/>
          <w:sz w:val="12"/>
          <w:szCs w:val="12"/>
          <w:color w:val="auto"/>
        </w:rPr>
        <w:t>depreciate or amortize property and equipment, software development costs, and intangible assets over their expected useful lives on a straight-line basis, which approximates the pattern in which the economic benefits of the assets are consumed.</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1"/>
          <w:szCs w:val="11"/>
          <w:i w:val="1"/>
          <w:iCs w:val="1"/>
          <w:color w:val="auto"/>
        </w:rPr>
        <w:t xml:space="preserve">Other Income, Net. </w:t>
      </w:r>
      <w:r>
        <w:rPr>
          <w:rFonts w:ascii="Arial" w:cs="Arial" w:eastAsia="Arial" w:hAnsi="Arial"/>
          <w:sz w:val="11"/>
          <w:szCs w:val="11"/>
          <w:color w:val="auto"/>
        </w:rPr>
        <w:t>Other income, net includes gains and losses associated with the sale of property and equipment and income from certain post-closing transition services provided by us to MyCase during fiscal year 2021.</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i w:val="1"/>
          <w:iCs w:val="1"/>
          <w:color w:val="auto"/>
        </w:rPr>
        <w:t xml:space="preserve">Interest Income. </w:t>
      </w:r>
      <w:r>
        <w:rPr>
          <w:rFonts w:ascii="Arial" w:cs="Arial" w:eastAsia="Arial" w:hAnsi="Arial"/>
          <w:sz w:val="12"/>
          <w:szCs w:val="12"/>
          <w:color w:val="auto"/>
        </w:rPr>
        <w:t>Interest income includes interest earned on investment securities, amortization and accretion of the premium and discounts paid from the purchase of investment securities, and interest earned on notes</w:t>
      </w:r>
      <w:r>
        <w:rPr>
          <w:rFonts w:ascii="Arial" w:cs="Arial" w:eastAsia="Arial" w:hAnsi="Arial"/>
          <w:sz w:val="12"/>
          <w:szCs w:val="12"/>
          <w:i w:val="1"/>
          <w:iCs w:val="1"/>
          <w:color w:val="auto"/>
        </w:rPr>
        <w:t xml:space="preserve"> </w:t>
      </w:r>
      <w:r>
        <w:rPr>
          <w:rFonts w:ascii="Arial" w:cs="Arial" w:eastAsia="Arial" w:hAnsi="Arial"/>
          <w:sz w:val="12"/>
          <w:szCs w:val="12"/>
          <w:color w:val="auto"/>
        </w:rPr>
        <w:t>receivable and on cash deposited in our bank accounts.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Provision for (Benefit from) Income Taxes. </w:t>
      </w:r>
      <w:r>
        <w:rPr>
          <w:rFonts w:ascii="Arial" w:cs="Arial" w:eastAsia="Arial" w:hAnsi="Arial"/>
          <w:sz w:val="12"/>
          <w:szCs w:val="12"/>
          <w:color w:val="auto"/>
        </w:rPr>
        <w:t>Provision for (benefit from) income taxes consists of federal and state income taxes in the United States.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2" w:name="page23"/>
    <w:bookmarkEnd w:id="2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24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Revenue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720"/>
              <w:spacing w:after="0"/>
              <w:rPr>
                <w:sz w:val="20"/>
                <w:szCs w:val="20"/>
                <w:color w:val="auto"/>
              </w:rPr>
            </w:pPr>
            <w:r>
              <w:rPr>
                <w:rFonts w:ascii="Arial" w:cs="Arial" w:eastAsia="Arial" w:hAnsi="Arial"/>
                <w:sz w:val="10"/>
                <w:szCs w:val="10"/>
                <w:b w:val="1"/>
                <w:bCs w:val="1"/>
                <w:color w:val="auto"/>
              </w:rPr>
              <w:t>Change</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ind w:left="620"/>
              <w:spacing w:after="0"/>
              <w:rPr>
                <w:sz w:val="20"/>
                <w:szCs w:val="20"/>
                <w:color w:val="auto"/>
              </w:rPr>
            </w:pPr>
            <w:r>
              <w:rPr>
                <w:rFonts w:ascii="Arial" w:cs="Arial" w:eastAsia="Arial" w:hAnsi="Arial"/>
                <w:sz w:val="10"/>
                <w:szCs w:val="10"/>
                <w:b w:val="1"/>
                <w:bCs w:val="1"/>
                <w:color w:val="auto"/>
              </w:rPr>
              <w:t>Change</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7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0"/>
                <w:szCs w:val="10"/>
                <w:b w:val="1"/>
                <w:bCs w:val="1"/>
                <w:color w:val="auto"/>
              </w:rPr>
              <w:t>June 30,</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June 30,</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vMerge w:val="continue"/>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45"/>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w w:val="71"/>
              </w:rPr>
              <w:t>2021</w:t>
            </w: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760" w:type="dxa"/>
            <w:vAlign w:val="bottom"/>
            <w:tcBorders>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rPr>
              <w:t>%</w:t>
            </w: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45"/>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66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15"/>
        </w:trPr>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gridSpan w:val="3"/>
          </w:tcPr>
          <w:p>
            <w:pPr>
              <w:jc w:val="right"/>
              <w:spacing w:after="0"/>
              <w:rPr>
                <w:sz w:val="20"/>
                <w:szCs w:val="20"/>
                <w:color w:val="auto"/>
              </w:rPr>
            </w:pPr>
            <w:r>
              <w:rPr>
                <w:rFonts w:ascii="Arial" w:cs="Arial" w:eastAsia="Arial" w:hAnsi="Arial"/>
                <w:sz w:val="10"/>
                <w:szCs w:val="10"/>
                <w:b w:val="1"/>
                <w:bCs w:val="1"/>
                <w:color w:val="auto"/>
              </w:rPr>
              <w:t>(dollars in thousands)</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Core solutions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32,414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25,363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7,051</w:t>
            </w: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28 %</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63,223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49,537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13,686</w:t>
            </w: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28 %</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20"/>
                <w:szCs w:val="20"/>
                <w:color w:val="auto"/>
              </w:rPr>
            </w:pPr>
            <w:r>
              <w:rPr>
                <w:rFonts w:ascii="Arial" w:cs="Arial" w:eastAsia="Arial" w:hAnsi="Arial"/>
                <w:sz w:val="12"/>
                <w:szCs w:val="12"/>
                <w:color w:val="auto"/>
              </w:rPr>
              <w:t>Value Added Services</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81,450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60,447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21,003</w:t>
            </w:r>
          </w:p>
        </w:tc>
        <w:tc>
          <w:tcPr>
            <w:tcW w:w="4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35 %</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ind w:right="5"/>
              <w:spacing w:after="0"/>
              <w:rPr>
                <w:sz w:val="20"/>
                <w:szCs w:val="20"/>
                <w:color w:val="auto"/>
              </w:rPr>
            </w:pPr>
            <w:r>
              <w:rPr>
                <w:rFonts w:ascii="Arial" w:cs="Arial" w:eastAsia="Arial" w:hAnsi="Arial"/>
                <w:sz w:val="12"/>
                <w:szCs w:val="12"/>
                <w:color w:val="auto"/>
              </w:rPr>
              <w:t>152,950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111,957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40,993</w:t>
            </w: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37 %</w:t>
            </w: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2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3,586</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3,230</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356</w:t>
            </w: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11 %</w:t>
            </w:r>
          </w:p>
        </w:tc>
        <w:tc>
          <w:tcPr>
            <w:tcW w:w="1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6,573</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6,467</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0" w:type="dxa"/>
            <w:vAlign w:val="bottom"/>
          </w:tcPr>
          <w:p>
            <w:pPr>
              <w:spacing w:after="0"/>
              <w:rPr>
                <w:sz w:val="1"/>
                <w:szCs w:val="1"/>
                <w:color w:val="auto"/>
              </w:rPr>
            </w:pPr>
          </w:p>
        </w:tc>
      </w:tr>
      <w:tr>
        <w:trPr>
          <w:trHeight w:val="142"/>
        </w:trPr>
        <w:tc>
          <w:tcPr>
            <w:tcW w:w="2740" w:type="dxa"/>
            <w:vAlign w:val="bottom"/>
          </w:tcPr>
          <w:p>
            <w:pPr>
              <w:spacing w:after="0" w:line="133" w:lineRule="exact"/>
              <w:rPr>
                <w:sz w:val="20"/>
                <w:szCs w:val="20"/>
                <w:color w:val="auto"/>
              </w:rPr>
            </w:pPr>
            <w:r>
              <w:rPr>
                <w:rFonts w:ascii="Arial" w:cs="Arial" w:eastAsia="Arial" w:hAnsi="Arial"/>
                <w:sz w:val="12"/>
                <w:szCs w:val="12"/>
                <w:color w:val="auto"/>
              </w:rPr>
              <w:t>Total revenue</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117,450</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89,040</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28,410</w:t>
            </w:r>
          </w:p>
        </w:tc>
        <w:tc>
          <w:tcPr>
            <w:tcW w:w="4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32 %</w:t>
            </w:r>
          </w:p>
        </w:tc>
        <w:tc>
          <w:tcPr>
            <w:tcW w:w="12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222,746</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167,961</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54,785</w:t>
            </w:r>
          </w:p>
        </w:tc>
        <w:tc>
          <w:tcPr>
            <w:tcW w:w="3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33 %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increase in revenue for the three and six months ended June 30, 2022, compared to the same periods in the prior year, was primarily attributable to growth in our base of property management customers driving an increase in the number of property units under management, and growth in users of our subscription and usage-based services. During the three and six month period ended June 30, 2022, we experienced growth of 17% in the number of property management units under management resulting from 8% growth in the number of property management customers, compared to the same periods in the prior year.</w:t>
      </w:r>
    </w:p>
    <w:p>
      <w:pPr>
        <w:spacing w:after="0" w:line="23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Cost of Revenue (Exclusive of Depreciation and Amortization)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vMerge w:val="restart"/>
          </w:tcPr>
          <w:p>
            <w:pPr>
              <w:jc w:val="right"/>
              <w:ind w:right="106"/>
              <w:spacing w:after="0"/>
              <w:rPr>
                <w:sz w:val="20"/>
                <w:szCs w:val="20"/>
                <w:color w:val="auto"/>
              </w:rPr>
            </w:pPr>
            <w:r>
              <w:rPr>
                <w:rFonts w:ascii="Arial" w:cs="Arial" w:eastAsia="Arial" w:hAnsi="Arial"/>
                <w:sz w:val="10"/>
                <w:szCs w:val="10"/>
                <w:b w:val="1"/>
                <w:bCs w:val="1"/>
                <w:color w:val="auto"/>
              </w:rPr>
              <w:t>Change</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2"/>
          </w:tcPr>
          <w:p>
            <w:pPr>
              <w:jc w:val="right"/>
              <w:spacing w:after="0"/>
              <w:rPr>
                <w:sz w:val="20"/>
                <w:szCs w:val="20"/>
                <w:color w:val="auto"/>
              </w:rPr>
            </w:pPr>
            <w:r>
              <w:rPr>
                <w:rFonts w:ascii="Arial" w:cs="Arial" w:eastAsia="Arial" w:hAnsi="Arial"/>
                <w:sz w:val="10"/>
                <w:szCs w:val="10"/>
                <w:b w:val="1"/>
                <w:bCs w:val="1"/>
                <w:color w:val="auto"/>
              </w:rPr>
              <w:t>Six Months Ended</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86"/>
              <w:spacing w:after="0"/>
              <w:rPr>
                <w:sz w:val="20"/>
                <w:szCs w:val="20"/>
                <w:color w:val="auto"/>
              </w:rPr>
            </w:pPr>
            <w:r>
              <w:rPr>
                <w:rFonts w:ascii="Arial" w:cs="Arial" w:eastAsia="Arial" w:hAnsi="Arial"/>
                <w:sz w:val="10"/>
                <w:szCs w:val="10"/>
                <w:b w:val="1"/>
                <w:bCs w:val="1"/>
                <w:color w:val="auto"/>
              </w:rPr>
              <w:t>Change</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rPr>
              <w:t>June 30,</w:t>
            </w: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June 30,</w:t>
            </w:r>
          </w:p>
        </w:tc>
        <w:tc>
          <w:tcPr>
            <w:tcW w:w="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25"/>
              <w:spacing w:after="0"/>
              <w:rPr>
                <w:sz w:val="20"/>
                <w:szCs w:val="20"/>
                <w:color w:val="auto"/>
              </w:rPr>
            </w:pPr>
            <w:r>
              <w:rPr>
                <w:rFonts w:ascii="Arial" w:cs="Arial" w:eastAsia="Arial" w:hAnsi="Arial"/>
                <w:sz w:val="10"/>
                <w:szCs w:val="10"/>
                <w:b w:val="1"/>
                <w:bCs w:val="1"/>
                <w:color w:val="auto"/>
              </w:rPr>
              <w:t>2022</w:t>
            </w:r>
          </w:p>
        </w:tc>
        <w:tc>
          <w:tcPr>
            <w:tcW w:w="4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66"/>
              <w:spacing w:after="0"/>
              <w:rPr>
                <w:sz w:val="20"/>
                <w:szCs w:val="20"/>
                <w:color w:val="auto"/>
              </w:rPr>
            </w:pPr>
            <w:r>
              <w:rPr>
                <w:rFonts w:ascii="Arial" w:cs="Arial" w:eastAsia="Arial" w:hAnsi="Arial"/>
                <w:sz w:val="10"/>
                <w:szCs w:val="10"/>
                <w:b w:val="1"/>
                <w:bCs w:val="1"/>
                <w:color w:val="auto"/>
              </w:rPr>
              <w:t>Amount</w:t>
            </w:r>
          </w:p>
        </w:tc>
        <w:tc>
          <w:tcPr>
            <w:tcW w:w="70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w:t>
            </w: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b w:val="1"/>
                <w:bCs w:val="1"/>
                <w:color w:val="auto"/>
              </w:rPr>
              <w:t>2022</w:t>
            </w:r>
          </w:p>
        </w:tc>
        <w:tc>
          <w:tcPr>
            <w:tcW w:w="4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w w:val="98"/>
              </w:rPr>
              <w:t>2021</w:t>
            </w: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66"/>
              <w:spacing w:after="0"/>
              <w:rPr>
                <w:sz w:val="20"/>
                <w:szCs w:val="20"/>
                <w:color w:val="auto"/>
              </w:rPr>
            </w:pPr>
            <w:r>
              <w:rPr>
                <w:rFonts w:ascii="Arial" w:cs="Arial" w:eastAsia="Arial" w:hAnsi="Arial"/>
                <w:sz w:val="10"/>
                <w:szCs w:val="10"/>
                <w:b w:val="1"/>
                <w:bCs w:val="1"/>
                <w:color w:val="auto"/>
              </w:rPr>
              <w:t>Amount</w:t>
            </w:r>
          </w:p>
        </w:tc>
        <w:tc>
          <w:tcPr>
            <w:tcW w:w="64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15"/>
        </w:trPr>
        <w:tc>
          <w:tcPr>
            <w:tcW w:w="2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(dollars in thousands)</w:t>
            </w: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Cost of revenue (exclusive of depreciation and</w:t>
            </w:r>
          </w:p>
        </w:tc>
        <w:tc>
          <w:tcPr>
            <w:tcW w:w="26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ind w:right="125"/>
              <w:spacing w:after="0"/>
              <w:rPr>
                <w:sz w:val="20"/>
                <w:szCs w:val="20"/>
                <w:color w:val="auto"/>
              </w:rPr>
            </w:pPr>
            <w:r>
              <w:rPr>
                <w:rFonts w:ascii="Arial" w:cs="Arial" w:eastAsia="Arial" w:hAnsi="Arial"/>
                <w:sz w:val="12"/>
                <w:szCs w:val="12"/>
                <w:color w:val="auto"/>
              </w:rPr>
              <w:t>47,430</w:t>
            </w:r>
          </w:p>
        </w:tc>
        <w:tc>
          <w:tcPr>
            <w:tcW w:w="440" w:type="dxa"/>
            <w:vAlign w:val="bottom"/>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32,819</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vMerge w:val="restart"/>
            <w:shd w:val="clear" w:color="auto" w:fill="CCEEFF"/>
          </w:tcPr>
          <w:p>
            <w:pPr>
              <w:jc w:val="right"/>
              <w:ind w:right="406"/>
              <w:spacing w:after="0"/>
              <w:rPr>
                <w:sz w:val="20"/>
                <w:szCs w:val="20"/>
                <w:color w:val="auto"/>
              </w:rPr>
            </w:pPr>
            <w:r>
              <w:rPr>
                <w:rFonts w:ascii="Arial" w:cs="Arial" w:eastAsia="Arial" w:hAnsi="Arial"/>
                <w:sz w:val="12"/>
                <w:szCs w:val="12"/>
                <w:color w:val="auto"/>
              </w:rPr>
              <w:t>14,611</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45 %</w:t>
            </w:r>
          </w:p>
        </w:tc>
        <w:tc>
          <w:tcPr>
            <w:tcW w:w="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720" w:type="dxa"/>
            <w:vAlign w:val="bottom"/>
            <w:vMerge w:val="restart"/>
            <w:shd w:val="clear" w:color="auto" w:fill="CCEEFF"/>
          </w:tcPr>
          <w:p>
            <w:pPr>
              <w:jc w:val="right"/>
              <w:ind w:right="125"/>
              <w:spacing w:after="0"/>
              <w:rPr>
                <w:sz w:val="20"/>
                <w:szCs w:val="20"/>
                <w:color w:val="auto"/>
              </w:rPr>
            </w:pPr>
            <w:r>
              <w:rPr>
                <w:rFonts w:ascii="Arial" w:cs="Arial" w:eastAsia="Arial" w:hAnsi="Arial"/>
                <w:sz w:val="12"/>
                <w:szCs w:val="12"/>
                <w:color w:val="auto"/>
              </w:rPr>
              <w:t>90,777</w:t>
            </w:r>
          </w:p>
        </w:tc>
        <w:tc>
          <w:tcPr>
            <w:tcW w:w="440" w:type="dxa"/>
            <w:vAlign w:val="bottom"/>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66,117</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vMerge w:val="restart"/>
            <w:shd w:val="clear" w:color="auto" w:fill="CCEEFF"/>
          </w:tcPr>
          <w:p>
            <w:pPr>
              <w:jc w:val="right"/>
              <w:ind w:right="346"/>
              <w:spacing w:after="0"/>
              <w:rPr>
                <w:sz w:val="20"/>
                <w:szCs w:val="20"/>
                <w:color w:val="auto"/>
              </w:rPr>
            </w:pPr>
            <w:r>
              <w:rPr>
                <w:rFonts w:ascii="Arial" w:cs="Arial" w:eastAsia="Arial" w:hAnsi="Arial"/>
                <w:sz w:val="12"/>
                <w:szCs w:val="12"/>
                <w:color w:val="auto"/>
              </w:rPr>
              <w:t>24,660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37 %</w:t>
            </w: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amortization)</w:t>
            </w:r>
          </w:p>
        </w:tc>
        <w:tc>
          <w:tcPr>
            <w:tcW w:w="26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40.4 %</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36.9 %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40.8 %</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39.4 %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included above</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726</w:t>
            </w: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463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263</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57 %</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1,084</w:t>
            </w: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934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346"/>
              <w:spacing w:after="0"/>
              <w:rPr>
                <w:sz w:val="20"/>
                <w:szCs w:val="20"/>
                <w:color w:val="auto"/>
              </w:rPr>
            </w:pPr>
            <w:r>
              <w:rPr>
                <w:rFonts w:ascii="Arial" w:cs="Arial" w:eastAsia="Arial" w:hAnsi="Arial"/>
                <w:sz w:val="12"/>
                <w:szCs w:val="12"/>
                <w:color w:val="auto"/>
              </w:rPr>
              <w:t>150</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0.6 %</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0.5 %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0.5 %</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0.6 %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For the three and six months ended June 30, 2022, expenditures to third-party service providers related to the delivery of our Value Added Services increased $11.3 million and $18.7 million, respectively, compared to the same periods in the prior year. These increases were directly associated with the increased adoption and utilization of our Value Added Services, as evidenced by the increases of $21.0 million and $41.0 million for the three and six months ended June 30, 2022, respectively, in Value Added Services revenue, compared to the same periods in the prior year. Personnel-related costs, including performance-based compensation, necessary to support growth and key investments, increased $3.4 million and $5.7 million for the three and six months ended June 30, 2022, respectively, compared to the same periods in the prior year. Additionally, offsetting cost of revenue (exclusive of depreciation and amortization) during the three months ended June 30, 2021, was $2.1 million of incentives earned from third-party service providers related to programs intended to increase adoption and utilization of online payments.</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As a percentage of revenue, cost of revenue (exclusive of depreciation and amortization) fluctuates primarily based on the mix of Value Added Services revenue in the period, given the varying percentage of revenue we pay to third-party service providers. We expect cost of revenue (exclusive of depreciation and amortization) for the year ending December 31, 2022, to increase as a percentage of revenue compared to the year ended December 31, 2021, as we expect expenditures to third-party service providers related to the delivery of our Value Added Services revenue to increase at a faster rate than total revenue as a result of a higher growth rate related to our Value Added Services revenue.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3" w:name="page24"/>
    <w:bookmarkEnd w:id="2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Sales and Marketing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restart"/>
          </w:tcPr>
          <w:p>
            <w:pPr>
              <w:jc w:val="right"/>
              <w:ind w:right="106"/>
              <w:spacing w:after="0"/>
              <w:rPr>
                <w:sz w:val="20"/>
                <w:szCs w:val="20"/>
                <w:color w:val="auto"/>
              </w:rPr>
            </w:pPr>
            <w:r>
              <w:rPr>
                <w:rFonts w:ascii="Arial" w:cs="Arial" w:eastAsia="Arial" w:hAnsi="Arial"/>
                <w:sz w:val="10"/>
                <w:szCs w:val="10"/>
                <w:b w:val="1"/>
                <w:bCs w:val="1"/>
                <w:color w:val="auto"/>
              </w:rPr>
              <w:t>Change</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Six Months Ended</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ind w:right="86"/>
              <w:spacing w:after="0"/>
              <w:rPr>
                <w:sz w:val="20"/>
                <w:szCs w:val="20"/>
                <w:color w:val="auto"/>
              </w:rPr>
            </w:pPr>
            <w:r>
              <w:rPr>
                <w:rFonts w:ascii="Arial" w:cs="Arial" w:eastAsia="Arial" w:hAnsi="Arial"/>
                <w:sz w:val="10"/>
                <w:szCs w:val="10"/>
                <w:b w:val="1"/>
                <w:bCs w:val="1"/>
                <w:color w:val="auto"/>
              </w:rPr>
              <w:t>Change</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0"/>
                <w:szCs w:val="10"/>
                <w:b w:val="1"/>
                <w:bCs w:val="1"/>
                <w:color w:val="auto"/>
              </w:rPr>
              <w:t>June 30,</w:t>
            </w:r>
          </w:p>
        </w:tc>
        <w:tc>
          <w:tcPr>
            <w:tcW w:w="6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rPr>
              <w:t>June 30,</w:t>
            </w:r>
          </w:p>
        </w:tc>
        <w:tc>
          <w:tcPr>
            <w:tcW w:w="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w w:val="80"/>
              </w:rPr>
              <w:t>2021</w:t>
            </w: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606"/>
              <w:spacing w:after="0"/>
              <w:rPr>
                <w:sz w:val="20"/>
                <w:szCs w:val="20"/>
                <w:color w:val="auto"/>
              </w:rPr>
            </w:pPr>
            <w:r>
              <w:rPr>
                <w:rFonts w:ascii="Arial" w:cs="Arial" w:eastAsia="Arial" w:hAnsi="Arial"/>
                <w:sz w:val="10"/>
                <w:szCs w:val="10"/>
                <w:b w:val="1"/>
                <w:bCs w:val="1"/>
                <w:color w:val="auto"/>
              </w:rPr>
              <w:t>Amount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w w:val="98"/>
              </w:rPr>
              <w:t>2021</w:t>
            </w: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6"/>
              <w:spacing w:after="0"/>
              <w:rPr>
                <w:sz w:val="20"/>
                <w:szCs w:val="20"/>
                <w:color w:val="auto"/>
              </w:rPr>
            </w:pPr>
            <w:r>
              <w:rPr>
                <w:rFonts w:ascii="Arial" w:cs="Arial" w:eastAsia="Arial" w:hAnsi="Arial"/>
                <w:sz w:val="10"/>
                <w:szCs w:val="10"/>
                <w:b w:val="1"/>
                <w:bCs w:val="1"/>
                <w:color w:val="auto"/>
              </w:rPr>
              <w:t>Amount</w:t>
            </w:r>
          </w:p>
        </w:tc>
        <w:tc>
          <w:tcPr>
            <w:tcW w:w="62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15"/>
        </w:trPr>
        <w:tc>
          <w:tcPr>
            <w:tcW w:w="2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w w:val="86"/>
              </w:rPr>
              <w:t>(dollars in thousands)</w:t>
            </w: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Sales and marketing</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26,995</w:t>
            </w: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17,714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386"/>
              <w:spacing w:after="0"/>
              <w:rPr>
                <w:sz w:val="20"/>
                <w:szCs w:val="20"/>
                <w:color w:val="auto"/>
              </w:rPr>
            </w:pPr>
            <w:r>
              <w:rPr>
                <w:rFonts w:ascii="Arial" w:cs="Arial" w:eastAsia="Arial" w:hAnsi="Arial"/>
                <w:sz w:val="12"/>
                <w:szCs w:val="12"/>
                <w:color w:val="auto"/>
              </w:rPr>
              <w:t>9,281</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52 %</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51,914</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33,893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306"/>
              <w:spacing w:after="0"/>
              <w:rPr>
                <w:sz w:val="20"/>
                <w:szCs w:val="20"/>
                <w:color w:val="auto"/>
              </w:rPr>
            </w:pPr>
            <w:r>
              <w:rPr>
                <w:rFonts w:ascii="Arial" w:cs="Arial" w:eastAsia="Arial" w:hAnsi="Arial"/>
                <w:sz w:val="12"/>
                <w:szCs w:val="12"/>
                <w:color w:val="auto"/>
              </w:rPr>
              <w:t>18,021</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53 %</w:t>
            </w:r>
          </w:p>
        </w:tc>
        <w:tc>
          <w:tcPr>
            <w:tcW w:w="0" w:type="dxa"/>
            <w:vAlign w:val="bottom"/>
          </w:tcPr>
          <w:p>
            <w:pPr>
              <w:spacing w:after="0"/>
              <w:rPr>
                <w:sz w:val="1"/>
                <w:szCs w:val="1"/>
                <w:color w:val="auto"/>
              </w:rPr>
            </w:pPr>
          </w:p>
        </w:tc>
      </w:tr>
      <w:tr>
        <w:trPr>
          <w:trHeight w:val="153"/>
        </w:trPr>
        <w:tc>
          <w:tcPr>
            <w:tcW w:w="268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23.0 %</w:t>
            </w: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19.9 %</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23.3 %</w:t>
            </w: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20.2 %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included above</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2,013</w:t>
            </w: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447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386"/>
              <w:spacing w:after="0"/>
              <w:rPr>
                <w:sz w:val="20"/>
                <w:szCs w:val="20"/>
                <w:color w:val="auto"/>
              </w:rPr>
            </w:pPr>
            <w:r>
              <w:rPr>
                <w:rFonts w:ascii="Arial" w:cs="Arial" w:eastAsia="Arial" w:hAnsi="Arial"/>
                <w:sz w:val="12"/>
                <w:szCs w:val="12"/>
                <w:color w:val="auto"/>
              </w:rPr>
              <w:t>1,566</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350 %</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3,473</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849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306"/>
              <w:spacing w:after="0"/>
              <w:rPr>
                <w:sz w:val="20"/>
                <w:szCs w:val="20"/>
                <w:color w:val="auto"/>
              </w:rPr>
            </w:pPr>
            <w:r>
              <w:rPr>
                <w:rFonts w:ascii="Arial" w:cs="Arial" w:eastAsia="Arial" w:hAnsi="Arial"/>
                <w:sz w:val="12"/>
                <w:szCs w:val="12"/>
                <w:color w:val="auto"/>
              </w:rPr>
              <w:t>2,624</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309 %</w:t>
            </w:r>
          </w:p>
        </w:tc>
        <w:tc>
          <w:tcPr>
            <w:tcW w:w="0" w:type="dxa"/>
            <w:vAlign w:val="bottom"/>
          </w:tcPr>
          <w:p>
            <w:pPr>
              <w:spacing w:after="0"/>
              <w:rPr>
                <w:sz w:val="1"/>
                <w:szCs w:val="1"/>
                <w:color w:val="auto"/>
              </w:rPr>
            </w:pPr>
          </w:p>
        </w:tc>
      </w:tr>
      <w:tr>
        <w:trPr>
          <w:trHeight w:val="153"/>
        </w:trPr>
        <w:tc>
          <w:tcPr>
            <w:tcW w:w="268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1.7 %</w:t>
            </w: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0.5 %</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1.6 %</w:t>
            </w: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0.5 %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right="60" w:firstLine="432"/>
        <w:spacing w:after="0" w:line="298" w:lineRule="auto"/>
        <w:rPr>
          <w:sz w:val="20"/>
          <w:szCs w:val="20"/>
          <w:color w:val="auto"/>
        </w:rPr>
      </w:pPr>
      <w:r>
        <w:rPr>
          <w:rFonts w:ascii="Arial" w:cs="Arial" w:eastAsia="Arial" w:hAnsi="Arial"/>
          <w:sz w:val="11"/>
          <w:szCs w:val="11"/>
          <w:color w:val="auto"/>
        </w:rPr>
        <w:t>Sales and marketing expense for the three and six months ended June 30, 2022 increased primarily due to increases in personnel-related costs, including performance-based compensation, necessary to support growth in the business of $5.8 million and $12.2 million, respectively, compared to the same periods in the prior year. Allocated shared and other costs increased by $3.0 million and $4.7 million for the three and six months ended June 30, 2022, respectively, compared to the same periods in the prior year, with such increase being primarily related to software and other costs incurred in support of our overall growth.</w:t>
      </w:r>
    </w:p>
    <w:p>
      <w:pPr>
        <w:spacing w:after="0" w:line="33" w:lineRule="exact"/>
        <w:rPr>
          <w:sz w:val="20"/>
          <w:szCs w:val="20"/>
          <w:color w:val="auto"/>
        </w:rPr>
      </w:pPr>
    </w:p>
    <w:p>
      <w:pPr>
        <w:jc w:val="both"/>
        <w:ind w:right="60" w:firstLine="432"/>
        <w:spacing w:after="0" w:line="276" w:lineRule="auto"/>
        <w:rPr>
          <w:sz w:val="20"/>
          <w:szCs w:val="20"/>
          <w:color w:val="auto"/>
        </w:rPr>
      </w:pPr>
      <w:r>
        <w:rPr>
          <w:rFonts w:ascii="Arial" w:cs="Arial" w:eastAsia="Arial" w:hAnsi="Arial"/>
          <w:sz w:val="12"/>
          <w:szCs w:val="12"/>
          <w:color w:val="auto"/>
        </w:rPr>
        <w:t>We expect sales and marketing expense for the year ending December 31, 2022 to increase as a percentage of revenue compared to the year ended December 31, 2021, as we continue to increase our advertising, promotion and other marketing activities.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Research and Product Development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right"/>
              <w:ind w:right="86"/>
              <w:spacing w:after="0"/>
              <w:rPr>
                <w:sz w:val="20"/>
                <w:szCs w:val="20"/>
                <w:color w:val="auto"/>
              </w:rPr>
            </w:pPr>
            <w:r>
              <w:rPr>
                <w:rFonts w:ascii="Arial" w:cs="Arial" w:eastAsia="Arial" w:hAnsi="Arial"/>
                <w:sz w:val="10"/>
                <w:szCs w:val="10"/>
                <w:b w:val="1"/>
                <w:bCs w:val="1"/>
                <w:color w:val="auto"/>
              </w:rPr>
              <w:t>Change</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tcPr>
          <w:p>
            <w:pPr>
              <w:jc w:val="right"/>
              <w:spacing w:after="0"/>
              <w:rPr>
                <w:sz w:val="20"/>
                <w:szCs w:val="20"/>
                <w:color w:val="auto"/>
              </w:rPr>
            </w:pPr>
            <w:r>
              <w:rPr>
                <w:rFonts w:ascii="Arial" w:cs="Arial" w:eastAsia="Arial" w:hAnsi="Arial"/>
                <w:sz w:val="10"/>
                <w:szCs w:val="10"/>
                <w:b w:val="1"/>
                <w:bCs w:val="1"/>
                <w:color w:val="auto"/>
              </w:rPr>
              <w:t>Six Months Ended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0"/>
                <w:szCs w:val="10"/>
                <w:b w:val="1"/>
                <w:bCs w:val="1"/>
                <w:color w:val="auto"/>
              </w:rPr>
              <w:t>Change</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rPr>
              <w:t>June 30,</w:t>
            </w: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rPr>
              <w:t>June 30,</w:t>
            </w:r>
          </w:p>
        </w:tc>
        <w:tc>
          <w:tcPr>
            <w:tcW w:w="6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2022</w:t>
            </w:r>
          </w:p>
        </w:tc>
        <w:tc>
          <w:tcPr>
            <w:tcW w:w="4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w w:val="98"/>
              </w:rPr>
              <w:t>2021</w:t>
            </w: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626"/>
              <w:spacing w:after="0"/>
              <w:rPr>
                <w:sz w:val="20"/>
                <w:szCs w:val="20"/>
                <w:color w:val="auto"/>
              </w:rPr>
            </w:pPr>
            <w:r>
              <w:rPr>
                <w:rFonts w:ascii="Arial" w:cs="Arial" w:eastAsia="Arial" w:hAnsi="Arial"/>
                <w:sz w:val="10"/>
                <w:szCs w:val="10"/>
                <w:b w:val="1"/>
                <w:bCs w:val="1"/>
                <w:color w:val="auto"/>
              </w:rPr>
              <w:t>Amount</w:t>
            </w:r>
          </w:p>
        </w:tc>
        <w:tc>
          <w:tcPr>
            <w:tcW w:w="700" w:type="dxa"/>
            <w:vAlign w:val="bottom"/>
            <w:tcBorders>
              <w:bottom w:val="single" w:sz="8" w:color="auto"/>
            </w:tcBorders>
          </w:tcPr>
          <w:p>
            <w:pPr>
              <w:jc w:val="right"/>
              <w:ind w:right="386"/>
              <w:spacing w:after="0"/>
              <w:rPr>
                <w:sz w:val="20"/>
                <w:szCs w:val="20"/>
                <w:color w:val="auto"/>
              </w:rPr>
            </w:pPr>
            <w:r>
              <w:rPr>
                <w:rFonts w:ascii="Arial" w:cs="Arial" w:eastAsia="Arial" w:hAnsi="Arial"/>
                <w:sz w:val="10"/>
                <w:szCs w:val="10"/>
                <w:b w:val="1"/>
                <w:bCs w:val="1"/>
                <w:color w:val="auto"/>
              </w:rPr>
              <w:t>%</w:t>
            </w: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w w:val="98"/>
              </w:rPr>
              <w:t>2021</w:t>
            </w: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66"/>
              <w:spacing w:after="0"/>
              <w:rPr>
                <w:sz w:val="20"/>
                <w:szCs w:val="20"/>
                <w:color w:val="auto"/>
              </w:rPr>
            </w:pPr>
            <w:r>
              <w:rPr>
                <w:rFonts w:ascii="Arial" w:cs="Arial" w:eastAsia="Arial" w:hAnsi="Arial"/>
                <w:sz w:val="10"/>
                <w:szCs w:val="10"/>
                <w:b w:val="1"/>
                <w:bCs w:val="1"/>
                <w:color w:val="auto"/>
              </w:rPr>
              <w:t>Amount</w:t>
            </w:r>
          </w:p>
        </w:tc>
        <w:tc>
          <w:tcPr>
            <w:tcW w:w="66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15"/>
        </w:trPr>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(dollars in thousands)</w:t>
            </w: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Research and product development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rPr>
              <w:t>26,687</w:t>
            </w:r>
          </w:p>
        </w:tc>
        <w:tc>
          <w:tcPr>
            <w:tcW w:w="4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15,506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11,181</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72 %</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51,007</w:t>
            </w: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29,889</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346"/>
              <w:spacing w:after="0"/>
              <w:rPr>
                <w:sz w:val="20"/>
                <w:szCs w:val="20"/>
                <w:color w:val="auto"/>
              </w:rPr>
            </w:pPr>
            <w:r>
              <w:rPr>
                <w:rFonts w:ascii="Arial" w:cs="Arial" w:eastAsia="Arial" w:hAnsi="Arial"/>
                <w:sz w:val="12"/>
                <w:szCs w:val="12"/>
                <w:color w:val="auto"/>
              </w:rPr>
              <w:t>21,118</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71 %</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20"/>
                <w:szCs w:val="20"/>
                <w:color w:val="auto"/>
              </w:rPr>
            </w:pPr>
            <w:r>
              <w:rPr>
                <w:rFonts w:ascii="Arial" w:cs="Arial" w:eastAsia="Arial" w:hAnsi="Arial"/>
                <w:sz w:val="12"/>
                <w:szCs w:val="12"/>
                <w:color w:val="auto"/>
              </w:rPr>
              <w:t>Percentage of revenue</w:t>
            </w:r>
          </w:p>
        </w:tc>
        <w:tc>
          <w:tcPr>
            <w:tcW w:w="240" w:type="dxa"/>
            <w:vAlign w:val="bottom"/>
          </w:tcPr>
          <w:p>
            <w:pPr>
              <w:spacing w:after="0"/>
              <w:rPr>
                <w:sz w:val="13"/>
                <w:szCs w:val="13"/>
                <w:color w:val="auto"/>
              </w:rPr>
            </w:pPr>
          </w:p>
        </w:tc>
        <w:tc>
          <w:tcPr>
            <w:tcW w:w="900" w:type="dxa"/>
            <w:vAlign w:val="bottom"/>
          </w:tcPr>
          <w:p>
            <w:pPr>
              <w:jc w:val="right"/>
              <w:ind w:right="65"/>
              <w:spacing w:after="0"/>
              <w:rPr>
                <w:sz w:val="20"/>
                <w:szCs w:val="20"/>
                <w:color w:val="auto"/>
              </w:rPr>
            </w:pPr>
            <w:r>
              <w:rPr>
                <w:rFonts w:ascii="Arial" w:cs="Arial" w:eastAsia="Arial" w:hAnsi="Arial"/>
                <w:sz w:val="12"/>
                <w:szCs w:val="12"/>
                <w:color w:val="auto"/>
              </w:rPr>
              <w:t>22.7 %</w:t>
            </w:r>
          </w:p>
        </w:tc>
        <w:tc>
          <w:tcPr>
            <w:tcW w:w="4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17.4 %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22.9 %</w:t>
            </w: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17.8 %</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included above</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rPr>
              <w:t>4,024</w:t>
            </w:r>
          </w:p>
        </w:tc>
        <w:tc>
          <w:tcPr>
            <w:tcW w:w="4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1,214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2,810</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231 %</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6,830</w:t>
            </w: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2,071</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346"/>
              <w:spacing w:after="0"/>
              <w:rPr>
                <w:sz w:val="20"/>
                <w:szCs w:val="20"/>
                <w:color w:val="auto"/>
              </w:rPr>
            </w:pPr>
            <w:r>
              <w:rPr>
                <w:rFonts w:ascii="Arial" w:cs="Arial" w:eastAsia="Arial" w:hAnsi="Arial"/>
                <w:sz w:val="12"/>
                <w:szCs w:val="12"/>
                <w:color w:val="auto"/>
              </w:rPr>
              <w:t>4,759</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230 %</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20"/>
                <w:szCs w:val="20"/>
                <w:color w:val="auto"/>
              </w:rPr>
            </w:pPr>
            <w:r>
              <w:rPr>
                <w:rFonts w:ascii="Arial" w:cs="Arial" w:eastAsia="Arial" w:hAnsi="Arial"/>
                <w:sz w:val="12"/>
                <w:szCs w:val="12"/>
                <w:color w:val="auto"/>
              </w:rPr>
              <w:t>Percentage of revenue</w:t>
            </w:r>
          </w:p>
        </w:tc>
        <w:tc>
          <w:tcPr>
            <w:tcW w:w="240" w:type="dxa"/>
            <w:vAlign w:val="bottom"/>
          </w:tcPr>
          <w:p>
            <w:pPr>
              <w:spacing w:after="0"/>
              <w:rPr>
                <w:sz w:val="13"/>
                <w:szCs w:val="13"/>
                <w:color w:val="auto"/>
              </w:rPr>
            </w:pPr>
          </w:p>
        </w:tc>
        <w:tc>
          <w:tcPr>
            <w:tcW w:w="900" w:type="dxa"/>
            <w:vAlign w:val="bottom"/>
          </w:tcPr>
          <w:p>
            <w:pPr>
              <w:jc w:val="right"/>
              <w:ind w:right="65"/>
              <w:spacing w:after="0"/>
              <w:rPr>
                <w:sz w:val="20"/>
                <w:szCs w:val="20"/>
                <w:color w:val="auto"/>
              </w:rPr>
            </w:pPr>
            <w:r>
              <w:rPr>
                <w:rFonts w:ascii="Arial" w:cs="Arial" w:eastAsia="Arial" w:hAnsi="Arial"/>
                <w:sz w:val="12"/>
                <w:szCs w:val="12"/>
                <w:color w:val="auto"/>
              </w:rPr>
              <w:t>3.4 %</w:t>
            </w:r>
          </w:p>
        </w:tc>
        <w:tc>
          <w:tcPr>
            <w:tcW w:w="4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3.1 %</w:t>
            </w: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1.2 %</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right="60" w:firstLine="432"/>
        <w:spacing w:after="0" w:line="276" w:lineRule="auto"/>
        <w:rPr>
          <w:sz w:val="20"/>
          <w:szCs w:val="20"/>
          <w:color w:val="auto"/>
        </w:rPr>
      </w:pPr>
      <w:r>
        <w:rPr>
          <w:rFonts w:ascii="Arial" w:cs="Arial" w:eastAsia="Arial" w:hAnsi="Arial"/>
          <w:sz w:val="12"/>
          <w:szCs w:val="12"/>
          <w:color w:val="auto"/>
        </w:rPr>
        <w:t>Research and product development expense for the three and six months ended June 30, 2022 increased primarily due to an increase in personnel-related costs, including performance-based compensation, net of capitalized software development costs of $10.4 million and $19.9 million, respectively, compared to the same periods in the prior year.</w:t>
      </w:r>
    </w:p>
    <w:p>
      <w:pPr>
        <w:spacing w:after="0" w:line="43" w:lineRule="exact"/>
        <w:rPr>
          <w:sz w:val="20"/>
          <w:szCs w:val="20"/>
          <w:color w:val="auto"/>
        </w:rPr>
      </w:pPr>
    </w:p>
    <w:p>
      <w:pPr>
        <w:jc w:val="both"/>
        <w:ind w:right="80" w:firstLine="432"/>
        <w:spacing w:after="0" w:line="323" w:lineRule="auto"/>
        <w:rPr>
          <w:sz w:val="20"/>
          <w:szCs w:val="20"/>
          <w:color w:val="auto"/>
        </w:rPr>
      </w:pPr>
      <w:r>
        <w:rPr>
          <w:rFonts w:ascii="Arial" w:cs="Arial" w:eastAsia="Arial" w:hAnsi="Arial"/>
          <w:sz w:val="11"/>
          <w:szCs w:val="11"/>
          <w:color w:val="auto"/>
        </w:rPr>
        <w:t>We expect research and product development expenses for the year ending December 31, 2022 to increase as a percentage of revenue compared to the year ended December 31, 2021, as we continue to invest in our research and product development organization to support our strategy to expand the use cases of our product capabilities to the larger customer segment and to continue to strengthen the security of our product.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General and Administrative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ind w:left="240"/>
              <w:spacing w:after="0"/>
              <w:rPr>
                <w:sz w:val="20"/>
                <w:szCs w:val="20"/>
                <w:color w:val="auto"/>
              </w:rPr>
            </w:pPr>
            <w:r>
              <w:rPr>
                <w:rFonts w:ascii="Arial" w:cs="Arial" w:eastAsia="Arial" w:hAnsi="Arial"/>
                <w:sz w:val="10"/>
                <w:szCs w:val="10"/>
                <w:b w:val="1"/>
                <w:bCs w:val="1"/>
                <w:color w:val="auto"/>
              </w:rPr>
              <w:t>Three Months Ended</w:t>
            </w: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vMerge w:val="restart"/>
          </w:tcPr>
          <w:p>
            <w:pPr>
              <w:jc w:val="right"/>
              <w:ind w:right="364"/>
              <w:spacing w:after="0"/>
              <w:rPr>
                <w:sz w:val="20"/>
                <w:szCs w:val="20"/>
                <w:color w:val="auto"/>
              </w:rPr>
            </w:pPr>
            <w:r>
              <w:rPr>
                <w:rFonts w:ascii="Arial" w:cs="Arial" w:eastAsia="Arial" w:hAnsi="Arial"/>
                <w:sz w:val="10"/>
                <w:szCs w:val="10"/>
                <w:b w:val="1"/>
                <w:bCs w:val="1"/>
                <w:color w:val="auto"/>
                <w:w w:val="87"/>
              </w:rPr>
              <w:t>Change</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tcPr>
          <w:p>
            <w:pPr>
              <w:jc w:val="right"/>
              <w:ind w:right="124"/>
              <w:spacing w:after="0"/>
              <w:rPr>
                <w:sz w:val="20"/>
                <w:szCs w:val="20"/>
                <w:color w:val="auto"/>
              </w:rPr>
            </w:pPr>
            <w:r>
              <w:rPr>
                <w:rFonts w:ascii="Arial" w:cs="Arial" w:eastAsia="Arial" w:hAnsi="Arial"/>
                <w:sz w:val="10"/>
                <w:szCs w:val="10"/>
                <w:b w:val="1"/>
                <w:bCs w:val="1"/>
                <w:color w:val="auto"/>
              </w:rPr>
              <w:t>Six Months Ended</w:t>
            </w: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4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2022</w:t>
            </w:r>
          </w:p>
        </w:tc>
        <w:tc>
          <w:tcPr>
            <w:tcW w:w="1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Amount</w:t>
            </w:r>
          </w:p>
        </w:tc>
        <w:tc>
          <w:tcPr>
            <w:tcW w:w="7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w:t>
            </w: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2022</w:t>
            </w:r>
          </w:p>
        </w:tc>
        <w:tc>
          <w:tcPr>
            <w:tcW w:w="1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(dollars in thousands)</w:t>
            </w:r>
          </w:p>
        </w:tc>
        <w:tc>
          <w:tcPr>
            <w:tcW w:w="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40" w:type="dxa"/>
            <w:vAlign w:val="bottom"/>
            <w:shd w:val="clear" w:color="auto" w:fill="CCEEFF"/>
          </w:tcPr>
          <w:p>
            <w:pPr>
              <w:ind w:left="440"/>
              <w:spacing w:after="0" w:line="118" w:lineRule="exact"/>
              <w:rPr>
                <w:sz w:val="20"/>
                <w:szCs w:val="20"/>
                <w:color w:val="auto"/>
              </w:rPr>
            </w:pPr>
            <w:r>
              <w:rPr>
                <w:rFonts w:ascii="Arial" w:cs="Arial" w:eastAsia="Arial" w:hAnsi="Arial"/>
                <w:sz w:val="12"/>
                <w:szCs w:val="12"/>
                <w:color w:val="auto"/>
              </w:rPr>
              <w:t>General</w:t>
            </w:r>
          </w:p>
        </w:tc>
        <w:tc>
          <w:tcPr>
            <w:tcW w:w="720" w:type="dxa"/>
            <w:vAlign w:val="bottom"/>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ind w:right="162"/>
              <w:spacing w:after="0"/>
              <w:rPr>
                <w:sz w:val="20"/>
                <w:szCs w:val="20"/>
                <w:color w:val="auto"/>
              </w:rPr>
            </w:pPr>
            <w:r>
              <w:rPr>
                <w:rFonts w:ascii="Arial" w:cs="Arial" w:eastAsia="Arial" w:hAnsi="Arial"/>
                <w:sz w:val="12"/>
                <w:szCs w:val="12"/>
                <w:color w:val="auto"/>
              </w:rPr>
              <w:t>37,947</w:t>
            </w:r>
          </w:p>
        </w:tc>
        <w:tc>
          <w:tcPr>
            <w:tcW w:w="1320" w:type="dxa"/>
            <w:vAlign w:val="bottom"/>
            <w:vMerge w:val="restart"/>
            <w:shd w:val="clear" w:color="auto" w:fill="CCEEFF"/>
          </w:tcPr>
          <w:p>
            <w:pPr>
              <w:jc w:val="right"/>
              <w:ind w:right="184"/>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182"/>
              <w:spacing w:after="0"/>
              <w:rPr>
                <w:sz w:val="20"/>
                <w:szCs w:val="20"/>
                <w:color w:val="auto"/>
              </w:rPr>
            </w:pPr>
            <w:r>
              <w:rPr>
                <w:rFonts w:ascii="Arial" w:cs="Arial" w:eastAsia="Arial" w:hAnsi="Arial"/>
                <w:sz w:val="12"/>
                <w:szCs w:val="12"/>
                <w:color w:val="auto"/>
              </w:rPr>
              <w:t>14,206</w:t>
            </w: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23,741</w:t>
            </w:r>
          </w:p>
        </w:tc>
        <w:tc>
          <w:tcPr>
            <w:tcW w:w="760" w:type="dxa"/>
            <w:vAlign w:val="bottom"/>
            <w:vMerge w:val="restart"/>
            <w:shd w:val="clear" w:color="auto" w:fill="CCEEFF"/>
          </w:tcPr>
          <w:p>
            <w:pPr>
              <w:jc w:val="right"/>
              <w:ind w:right="24"/>
              <w:spacing w:after="0"/>
              <w:rPr>
                <w:sz w:val="20"/>
                <w:szCs w:val="20"/>
                <w:color w:val="auto"/>
              </w:rPr>
            </w:pPr>
            <w:r>
              <w:rPr>
                <w:rFonts w:ascii="Arial" w:cs="Arial" w:eastAsia="Arial" w:hAnsi="Arial"/>
                <w:sz w:val="12"/>
                <w:szCs w:val="12"/>
                <w:color w:val="auto"/>
              </w:rPr>
              <w:t>167</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CEEFF"/>
          </w:tcPr>
          <w:p>
            <w:pPr>
              <w:jc w:val="right"/>
              <w:ind w:right="162"/>
              <w:spacing w:after="0"/>
              <w:rPr>
                <w:sz w:val="20"/>
                <w:szCs w:val="20"/>
                <w:color w:val="auto"/>
              </w:rPr>
            </w:pPr>
            <w:r>
              <w:rPr>
                <w:rFonts w:ascii="Arial" w:cs="Arial" w:eastAsia="Arial" w:hAnsi="Arial"/>
                <w:sz w:val="12"/>
                <w:szCs w:val="12"/>
                <w:color w:val="auto"/>
              </w:rPr>
              <w:t>56,911</w:t>
            </w:r>
          </w:p>
        </w:tc>
        <w:tc>
          <w:tcPr>
            <w:tcW w:w="1160" w:type="dxa"/>
            <w:vAlign w:val="bottom"/>
            <w:vMerge w:val="restart"/>
            <w:shd w:val="clear" w:color="auto" w:fill="CCEEFF"/>
          </w:tcPr>
          <w:p>
            <w:pPr>
              <w:jc w:val="right"/>
              <w:ind w:right="184"/>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182"/>
              <w:spacing w:after="0"/>
              <w:rPr>
                <w:sz w:val="20"/>
                <w:szCs w:val="20"/>
                <w:color w:val="auto"/>
              </w:rPr>
            </w:pPr>
            <w:r>
              <w:rPr>
                <w:rFonts w:ascii="Arial" w:cs="Arial" w:eastAsia="Arial" w:hAnsi="Arial"/>
                <w:sz w:val="12"/>
                <w:szCs w:val="12"/>
                <w:color w:val="auto"/>
              </w:rPr>
              <w:t>27,567</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and administrative</w:t>
            </w:r>
          </w:p>
        </w:tc>
        <w:tc>
          <w:tcPr>
            <w:tcW w:w="7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40" w:type="dxa"/>
            <w:vAlign w:val="bottom"/>
          </w:tcPr>
          <w:p>
            <w:pPr>
              <w:ind w:left="440"/>
              <w:spacing w:after="0" w:line="117" w:lineRule="exact"/>
              <w:rPr>
                <w:sz w:val="20"/>
                <w:szCs w:val="20"/>
                <w:color w:val="auto"/>
              </w:rPr>
            </w:pPr>
            <w:r>
              <w:rPr>
                <w:rFonts w:ascii="Arial" w:cs="Arial" w:eastAsia="Arial" w:hAnsi="Arial"/>
                <w:sz w:val="12"/>
                <w:szCs w:val="12"/>
                <w:color w:val="auto"/>
                <w:w w:val="94"/>
              </w:rPr>
              <w:t>Percentage</w:t>
            </w:r>
          </w:p>
        </w:tc>
        <w:tc>
          <w:tcPr>
            <w:tcW w:w="720" w:type="dxa"/>
            <w:vAlign w:val="bottom"/>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32.3</w:t>
            </w:r>
          </w:p>
        </w:tc>
        <w:tc>
          <w:tcPr>
            <w:tcW w:w="1320" w:type="dxa"/>
            <w:vAlign w:val="bottom"/>
            <w:vMerge w:val="restart"/>
          </w:tcPr>
          <w:p>
            <w:pPr>
              <w:ind w:left="24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182"/>
              <w:spacing w:after="0"/>
              <w:rPr>
                <w:sz w:val="20"/>
                <w:szCs w:val="20"/>
                <w:color w:val="auto"/>
              </w:rPr>
            </w:pPr>
            <w:r>
              <w:rPr>
                <w:rFonts w:ascii="Arial" w:cs="Arial" w:eastAsia="Arial" w:hAnsi="Arial"/>
                <w:sz w:val="12"/>
                <w:szCs w:val="12"/>
                <w:color w:val="auto"/>
              </w:rPr>
              <w:t>16.0</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2"/>
                <w:szCs w:val="12"/>
                <w:color w:val="auto"/>
              </w:rPr>
              <w:t>25.5</w:t>
            </w:r>
          </w:p>
        </w:tc>
        <w:tc>
          <w:tcPr>
            <w:tcW w:w="1160" w:type="dxa"/>
            <w:vAlign w:val="bottom"/>
            <w:vMerge w:val="restart"/>
          </w:tcPr>
          <w:p>
            <w:pPr>
              <w:jc w:val="right"/>
              <w:ind w:right="764"/>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182"/>
              <w:spacing w:after="0"/>
              <w:rPr>
                <w:sz w:val="20"/>
                <w:szCs w:val="20"/>
                <w:color w:val="auto"/>
              </w:rPr>
            </w:pPr>
            <w:r>
              <w:rPr>
                <w:rFonts w:ascii="Arial" w:cs="Arial" w:eastAsia="Arial" w:hAnsi="Arial"/>
                <w:sz w:val="12"/>
                <w:szCs w:val="12"/>
                <w:color w:val="auto"/>
              </w:rPr>
              <w:t>16.4</w:t>
            </w:r>
          </w:p>
        </w:tc>
        <w:tc>
          <w:tcPr>
            <w:tcW w:w="3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40" w:type="dxa"/>
            <w:vAlign w:val="bottom"/>
          </w:tcPr>
          <w:p>
            <w:pPr>
              <w:spacing w:after="0"/>
              <w:rPr>
                <w:sz w:val="20"/>
                <w:szCs w:val="20"/>
                <w:color w:val="auto"/>
              </w:rPr>
            </w:pPr>
            <w:r>
              <w:rPr>
                <w:rFonts w:ascii="Arial" w:cs="Arial" w:eastAsia="Arial" w:hAnsi="Arial"/>
                <w:sz w:val="12"/>
                <w:szCs w:val="12"/>
                <w:color w:val="auto"/>
              </w:rPr>
              <w:t>of revenue</w:t>
            </w:r>
          </w:p>
        </w:tc>
        <w:tc>
          <w:tcPr>
            <w:tcW w:w="7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40" w:type="dxa"/>
            <w:vAlign w:val="bottom"/>
            <w:shd w:val="clear" w:color="auto" w:fill="CCEEFF"/>
          </w:tcPr>
          <w:p>
            <w:pPr>
              <w:ind w:left="440"/>
              <w:spacing w:after="0" w:line="117" w:lineRule="exact"/>
              <w:rPr>
                <w:sz w:val="20"/>
                <w:szCs w:val="20"/>
                <w:color w:val="auto"/>
              </w:rPr>
            </w:pPr>
            <w:r>
              <w:rPr>
                <w:rFonts w:ascii="Arial" w:cs="Arial" w:eastAsia="Arial" w:hAnsi="Arial"/>
                <w:sz w:val="12"/>
                <w:szCs w:val="12"/>
                <w:color w:val="auto"/>
              </w:rPr>
              <w:t>Stock-</w:t>
            </w: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4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based</w:t>
            </w: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4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compensation,</w:t>
            </w:r>
          </w:p>
        </w:tc>
        <w:tc>
          <w:tcPr>
            <w:tcW w:w="720" w:type="dxa"/>
            <w:vAlign w:val="bottom"/>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ind w:right="162"/>
              <w:spacing w:after="0"/>
              <w:rPr>
                <w:sz w:val="20"/>
                <w:szCs w:val="20"/>
                <w:color w:val="auto"/>
              </w:rPr>
            </w:pPr>
            <w:r>
              <w:rPr>
                <w:rFonts w:ascii="Arial" w:cs="Arial" w:eastAsia="Arial" w:hAnsi="Arial"/>
                <w:sz w:val="12"/>
                <w:szCs w:val="12"/>
                <w:color w:val="auto"/>
              </w:rPr>
              <w:t>3,198</w:t>
            </w:r>
          </w:p>
        </w:tc>
        <w:tc>
          <w:tcPr>
            <w:tcW w:w="1320" w:type="dxa"/>
            <w:vAlign w:val="bottom"/>
            <w:vMerge w:val="restart"/>
            <w:shd w:val="clear" w:color="auto" w:fill="CCEEFF"/>
          </w:tcPr>
          <w:p>
            <w:pPr>
              <w:jc w:val="right"/>
              <w:ind w:right="184"/>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182"/>
              <w:spacing w:after="0"/>
              <w:rPr>
                <w:sz w:val="20"/>
                <w:szCs w:val="20"/>
                <w:color w:val="auto"/>
              </w:rPr>
            </w:pPr>
            <w:r>
              <w:rPr>
                <w:rFonts w:ascii="Arial" w:cs="Arial" w:eastAsia="Arial" w:hAnsi="Arial"/>
                <w:sz w:val="12"/>
                <w:szCs w:val="12"/>
                <w:color w:val="auto"/>
              </w:rPr>
              <w:t>1,090</w:t>
            </w: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2,108</w:t>
            </w:r>
          </w:p>
        </w:tc>
        <w:tc>
          <w:tcPr>
            <w:tcW w:w="760" w:type="dxa"/>
            <w:vAlign w:val="bottom"/>
            <w:vMerge w:val="restart"/>
            <w:shd w:val="clear" w:color="auto" w:fill="CCEEFF"/>
          </w:tcPr>
          <w:p>
            <w:pPr>
              <w:jc w:val="right"/>
              <w:ind w:right="24"/>
              <w:spacing w:after="0"/>
              <w:rPr>
                <w:sz w:val="20"/>
                <w:szCs w:val="20"/>
                <w:color w:val="auto"/>
              </w:rPr>
            </w:pPr>
            <w:r>
              <w:rPr>
                <w:rFonts w:ascii="Arial" w:cs="Arial" w:eastAsia="Arial" w:hAnsi="Arial"/>
                <w:sz w:val="12"/>
                <w:szCs w:val="12"/>
                <w:color w:val="auto"/>
              </w:rPr>
              <w:t>193</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CEEFF"/>
          </w:tcPr>
          <w:p>
            <w:pPr>
              <w:jc w:val="right"/>
              <w:ind w:right="162"/>
              <w:spacing w:after="0"/>
              <w:rPr>
                <w:sz w:val="20"/>
                <w:szCs w:val="20"/>
                <w:color w:val="auto"/>
              </w:rPr>
            </w:pPr>
            <w:r>
              <w:rPr>
                <w:rFonts w:ascii="Arial" w:cs="Arial" w:eastAsia="Arial" w:hAnsi="Arial"/>
                <w:sz w:val="12"/>
                <w:szCs w:val="12"/>
                <w:color w:val="auto"/>
              </w:rPr>
              <w:t>5,992</w:t>
            </w:r>
          </w:p>
        </w:tc>
        <w:tc>
          <w:tcPr>
            <w:tcW w:w="1160" w:type="dxa"/>
            <w:vAlign w:val="bottom"/>
            <w:vMerge w:val="restart"/>
            <w:shd w:val="clear" w:color="auto" w:fill="CCEEFF"/>
          </w:tcPr>
          <w:p>
            <w:pPr>
              <w:jc w:val="right"/>
              <w:ind w:right="184"/>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182"/>
              <w:spacing w:after="0"/>
              <w:rPr>
                <w:sz w:val="20"/>
                <w:szCs w:val="20"/>
                <w:color w:val="auto"/>
              </w:rPr>
            </w:pPr>
            <w:r>
              <w:rPr>
                <w:rFonts w:ascii="Arial" w:cs="Arial" w:eastAsia="Arial" w:hAnsi="Arial"/>
                <w:sz w:val="12"/>
                <w:szCs w:val="12"/>
                <w:color w:val="auto"/>
              </w:rPr>
              <w:t>2,136</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included above</w:t>
            </w:r>
          </w:p>
        </w:tc>
        <w:tc>
          <w:tcPr>
            <w:tcW w:w="7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40" w:type="dxa"/>
            <w:vAlign w:val="bottom"/>
          </w:tcPr>
          <w:p>
            <w:pPr>
              <w:ind w:left="440"/>
              <w:spacing w:after="0" w:line="117" w:lineRule="exact"/>
              <w:rPr>
                <w:sz w:val="20"/>
                <w:szCs w:val="20"/>
                <w:color w:val="auto"/>
              </w:rPr>
            </w:pPr>
            <w:r>
              <w:rPr>
                <w:rFonts w:ascii="Arial" w:cs="Arial" w:eastAsia="Arial" w:hAnsi="Arial"/>
                <w:sz w:val="12"/>
                <w:szCs w:val="12"/>
                <w:color w:val="auto"/>
                <w:w w:val="94"/>
              </w:rPr>
              <w:t>Percentage</w:t>
            </w:r>
          </w:p>
        </w:tc>
        <w:tc>
          <w:tcPr>
            <w:tcW w:w="720" w:type="dxa"/>
            <w:vAlign w:val="bottom"/>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2.7</w:t>
            </w:r>
          </w:p>
        </w:tc>
        <w:tc>
          <w:tcPr>
            <w:tcW w:w="1320" w:type="dxa"/>
            <w:vAlign w:val="bottom"/>
            <w:vMerge w:val="restart"/>
          </w:tcPr>
          <w:p>
            <w:pPr>
              <w:ind w:left="24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182"/>
              <w:spacing w:after="0"/>
              <w:rPr>
                <w:sz w:val="20"/>
                <w:szCs w:val="20"/>
                <w:color w:val="auto"/>
              </w:rPr>
            </w:pPr>
            <w:r>
              <w:rPr>
                <w:rFonts w:ascii="Arial" w:cs="Arial" w:eastAsia="Arial" w:hAnsi="Arial"/>
                <w:sz w:val="12"/>
                <w:szCs w:val="12"/>
                <w:color w:val="auto"/>
              </w:rPr>
              <w:t>1.2</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2"/>
                <w:szCs w:val="12"/>
                <w:color w:val="auto"/>
              </w:rPr>
              <w:t>2.7</w:t>
            </w:r>
          </w:p>
        </w:tc>
        <w:tc>
          <w:tcPr>
            <w:tcW w:w="1160" w:type="dxa"/>
            <w:vAlign w:val="bottom"/>
            <w:vMerge w:val="restart"/>
          </w:tcPr>
          <w:p>
            <w:pPr>
              <w:jc w:val="right"/>
              <w:ind w:right="764"/>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182"/>
              <w:spacing w:after="0"/>
              <w:rPr>
                <w:sz w:val="20"/>
                <w:szCs w:val="20"/>
                <w:color w:val="auto"/>
              </w:rPr>
            </w:pPr>
            <w:r>
              <w:rPr>
                <w:rFonts w:ascii="Arial" w:cs="Arial" w:eastAsia="Arial" w:hAnsi="Arial"/>
                <w:sz w:val="12"/>
                <w:szCs w:val="12"/>
                <w:color w:val="auto"/>
              </w:rPr>
              <w:t>1.3</w:t>
            </w:r>
          </w:p>
        </w:tc>
        <w:tc>
          <w:tcPr>
            <w:tcW w:w="3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40" w:type="dxa"/>
            <w:vAlign w:val="bottom"/>
          </w:tcPr>
          <w:p>
            <w:pPr>
              <w:spacing w:after="0"/>
              <w:rPr>
                <w:sz w:val="20"/>
                <w:szCs w:val="20"/>
                <w:color w:val="auto"/>
              </w:rPr>
            </w:pPr>
            <w:r>
              <w:rPr>
                <w:rFonts w:ascii="Arial" w:cs="Arial" w:eastAsia="Arial" w:hAnsi="Arial"/>
                <w:sz w:val="12"/>
                <w:szCs w:val="12"/>
                <w:color w:val="auto"/>
              </w:rPr>
              <w:t>of revenue</w:t>
            </w:r>
          </w:p>
        </w:tc>
        <w:tc>
          <w:tcPr>
            <w:tcW w:w="7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9"/>
        </w:trPr>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ind w:right="563"/>
              <w:spacing w:after="0"/>
              <w:rPr>
                <w:sz w:val="20"/>
                <w:szCs w:val="20"/>
                <w:color w:val="auto"/>
              </w:rPr>
            </w:pPr>
            <w:r>
              <w:rPr>
                <w:rFonts w:ascii="Arial" w:cs="Arial" w:eastAsia="Arial" w:hAnsi="Arial"/>
                <w:sz w:val="12"/>
                <w:szCs w:val="12"/>
                <w:color w:val="auto"/>
                <w:w w:val="89"/>
              </w:rPr>
              <w:t>22</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0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60"/>
          </w:cols>
          <w:pgMar w:left="300" w:top="167" w:right="239" w:bottom="1440" w:gutter="0" w:footer="0" w:header="0"/>
        </w:sectPr>
      </w:pPr>
    </w:p>
    <w:bookmarkStart w:id="24" w:name="page25"/>
    <w:bookmarkEnd w:id="2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General and administrative expense for the three and six months ended June 30, 2022 increased primarily due to lease-related asset impairment charges of $19.4 million and $19.8 million, respectively. Personnel-related costs, including performance-based compensation, increased $3.3 million and $7.0 million for the three and six months ended June 30, 2022, respectively, compared to the same periods in the prior year. Allocated shared and other costs increased $1.0 million and $2.5 million for the three and six months ended June 30, 2022, respectively, compared to the same periods in the prior year, for professional fees, education and training, insurance, software and other costs to support our growth.</w:t>
      </w:r>
    </w:p>
    <w:p>
      <w:pPr>
        <w:spacing w:after="0" w:line="5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Excluding the impairment charges, we expect general and administrative expenses for the year ending December 31, 2022 to increase slightly as a percentage of revenue compared to the year ended December 31, 2021, as we continue to invest in headcount.</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Depreciation and Amortization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jc w:val="center"/>
              <w:ind w:left="287"/>
              <w:spacing w:after="0"/>
              <w:rPr>
                <w:sz w:val="20"/>
                <w:szCs w:val="20"/>
                <w:color w:val="auto"/>
              </w:rPr>
            </w:pPr>
            <w:r>
              <w:rPr>
                <w:rFonts w:ascii="Arial" w:cs="Arial" w:eastAsia="Arial" w:hAnsi="Arial"/>
                <w:sz w:val="10"/>
                <w:szCs w:val="10"/>
                <w:b w:val="1"/>
                <w:bCs w:val="1"/>
                <w:color w:val="auto"/>
                <w:w w:val="86"/>
              </w:rPr>
              <w:t>Three Months Ended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0"/>
                <w:szCs w:val="10"/>
                <w:b w:val="1"/>
                <w:bCs w:val="1"/>
                <w:color w:val="auto"/>
              </w:rPr>
              <w:t>Change</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jc w:val="right"/>
              <w:spacing w:after="0"/>
              <w:rPr>
                <w:sz w:val="20"/>
                <w:szCs w:val="20"/>
                <w:color w:val="auto"/>
              </w:rPr>
            </w:pPr>
            <w:r>
              <w:rPr>
                <w:rFonts w:ascii="Arial" w:cs="Arial" w:eastAsia="Arial" w:hAnsi="Arial"/>
                <w:sz w:val="10"/>
                <w:szCs w:val="10"/>
                <w:b w:val="1"/>
                <w:bCs w:val="1"/>
                <w:color w:val="auto"/>
              </w:rPr>
              <w:t>Six Months Ended</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rPr>
              <w:t>Change</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center"/>
              <w:ind w:left="287"/>
              <w:spacing w:after="0"/>
              <w:rPr>
                <w:sz w:val="20"/>
                <w:szCs w:val="20"/>
                <w:color w:val="auto"/>
              </w:rPr>
            </w:pPr>
            <w:r>
              <w:rPr>
                <w:rFonts w:ascii="Arial" w:cs="Arial" w:eastAsia="Arial" w:hAnsi="Arial"/>
                <w:sz w:val="10"/>
                <w:szCs w:val="10"/>
                <w:b w:val="1"/>
                <w:bCs w:val="1"/>
                <w:color w:val="auto"/>
                <w:w w:val="84"/>
              </w:rPr>
              <w:t>June 30,</w:t>
            </w:r>
          </w:p>
        </w:tc>
        <w:tc>
          <w:tcPr>
            <w:tcW w:w="6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w w:val="84"/>
              </w:rPr>
              <w:t>June 30,</w:t>
            </w:r>
          </w:p>
        </w:tc>
        <w:tc>
          <w:tcPr>
            <w:tcW w:w="6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47"/>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w w:val="89"/>
              </w:rPr>
              <w:t>2021</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89"/>
              </w:rPr>
              <w:t>Amount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w w:val="98"/>
              </w:rPr>
              <w:t>2022</w:t>
            </w:r>
          </w:p>
        </w:tc>
        <w:tc>
          <w:tcPr>
            <w:tcW w:w="6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0"/>
                <w:szCs w:val="10"/>
                <w:b w:val="1"/>
                <w:bCs w:val="1"/>
                <w:color w:val="auto"/>
              </w:rPr>
              <w:t>Amount</w:t>
            </w:r>
          </w:p>
        </w:tc>
        <w:tc>
          <w:tcPr>
            <w:tcW w:w="680" w:type="dxa"/>
            <w:vAlign w:val="bottom"/>
            <w:tcBorders>
              <w:bottom w:val="single" w:sz="8" w:color="auto"/>
            </w:tcBorders>
          </w:tcPr>
          <w:p>
            <w:pPr>
              <w:jc w:val="right"/>
              <w:ind w:right="386"/>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15"/>
        </w:trPr>
        <w:tc>
          <w:tcPr>
            <w:tcW w:w="2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gridSpan w:val="3"/>
          </w:tcPr>
          <w:p>
            <w:pPr>
              <w:jc w:val="right"/>
              <w:spacing w:after="0"/>
              <w:rPr>
                <w:sz w:val="20"/>
                <w:szCs w:val="20"/>
                <w:color w:val="auto"/>
              </w:rPr>
            </w:pPr>
            <w:r>
              <w:rPr>
                <w:rFonts w:ascii="Arial" w:cs="Arial" w:eastAsia="Arial" w:hAnsi="Arial"/>
                <w:sz w:val="10"/>
                <w:szCs w:val="10"/>
                <w:b w:val="1"/>
                <w:bCs w:val="1"/>
                <w:color w:val="auto"/>
                <w:w w:val="84"/>
              </w:rPr>
              <w:t>(dollars in thousands)</w:t>
            </w: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8,321</w:t>
            </w: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7,649</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668"/>
              <w:spacing w:after="0"/>
              <w:rPr>
                <w:sz w:val="20"/>
                <w:szCs w:val="20"/>
                <w:color w:val="auto"/>
              </w:rPr>
            </w:pPr>
            <w:r>
              <w:rPr>
                <w:rFonts w:ascii="Arial" w:cs="Arial" w:eastAsia="Arial" w:hAnsi="Arial"/>
                <w:sz w:val="12"/>
                <w:szCs w:val="12"/>
                <w:color w:val="auto"/>
                <w:w w:val="89"/>
              </w:rPr>
              <w:t>672</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16,736</w:t>
            </w:r>
          </w:p>
        </w:tc>
        <w:tc>
          <w:tcPr>
            <w:tcW w:w="600" w:type="dxa"/>
            <w:vAlign w:val="bottom"/>
            <w:shd w:val="clear" w:color="auto" w:fill="CCEEFF"/>
          </w:tcPr>
          <w:p>
            <w:pPr>
              <w:jc w:val="right"/>
              <w:ind w:right="226"/>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15,018</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348"/>
              <w:spacing w:after="0"/>
              <w:rPr>
                <w:sz w:val="20"/>
                <w:szCs w:val="20"/>
                <w:color w:val="auto"/>
              </w:rPr>
            </w:pPr>
            <w:r>
              <w:rPr>
                <w:rFonts w:ascii="Arial" w:cs="Arial" w:eastAsia="Arial" w:hAnsi="Arial"/>
                <w:sz w:val="12"/>
                <w:szCs w:val="12"/>
                <w:color w:val="auto"/>
              </w:rPr>
              <w:t>1,718</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11 %</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860" w:type="dxa"/>
            <w:vAlign w:val="bottom"/>
          </w:tcPr>
          <w:p>
            <w:pPr>
              <w:jc w:val="right"/>
              <w:ind w:right="7"/>
              <w:spacing w:after="0"/>
              <w:rPr>
                <w:sz w:val="20"/>
                <w:szCs w:val="20"/>
                <w:color w:val="auto"/>
              </w:rPr>
            </w:pPr>
            <w:r>
              <w:rPr>
                <w:rFonts w:ascii="Arial" w:cs="Arial" w:eastAsia="Arial" w:hAnsi="Arial"/>
                <w:sz w:val="12"/>
                <w:szCs w:val="12"/>
                <w:color w:val="auto"/>
              </w:rPr>
              <w:t>7.1 %</w:t>
            </w: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8.6 %</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406"/>
              <w:spacing w:after="0"/>
              <w:rPr>
                <w:sz w:val="20"/>
                <w:szCs w:val="20"/>
                <w:color w:val="auto"/>
              </w:rPr>
            </w:pPr>
            <w:r>
              <w:rPr>
                <w:rFonts w:ascii="Arial" w:cs="Arial" w:eastAsia="Arial" w:hAnsi="Arial"/>
                <w:sz w:val="12"/>
                <w:szCs w:val="12"/>
                <w:color w:val="auto"/>
              </w:rPr>
              <w:t>7.5 %</w:t>
            </w:r>
          </w:p>
        </w:tc>
        <w:tc>
          <w:tcPr>
            <w:tcW w:w="600" w:type="dxa"/>
            <w:vAlign w:val="bottom"/>
          </w:tcPr>
          <w:p>
            <w:pPr>
              <w:jc w:val="right"/>
              <w:spacing w:after="0"/>
              <w:rPr>
                <w:sz w:val="20"/>
                <w:szCs w:val="20"/>
                <w:color w:val="auto"/>
              </w:rPr>
            </w:pPr>
            <w:r>
              <w:rPr>
                <w:rFonts w:ascii="Arial" w:cs="Arial" w:eastAsia="Arial" w:hAnsi="Arial"/>
                <w:sz w:val="12"/>
                <w:szCs w:val="12"/>
                <w:color w:val="auto"/>
              </w:rPr>
              <w:t>8.9 %</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Depreciation and amortization expense for the three and six months ended June 30, 2022 increased, compared to the same periods in the prior year, primarily due to increased amortization expense associated with higher accumulated capitalized software development balances.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Other Income, Net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tcPr>
          <w:p>
            <w:pPr>
              <w:jc w:val="center"/>
              <w:ind w:left="307"/>
              <w:spacing w:after="0"/>
              <w:rPr>
                <w:sz w:val="20"/>
                <w:szCs w:val="20"/>
                <w:color w:val="auto"/>
              </w:rPr>
            </w:pPr>
            <w:r>
              <w:rPr>
                <w:rFonts w:ascii="Arial" w:cs="Arial" w:eastAsia="Arial" w:hAnsi="Arial"/>
                <w:sz w:val="10"/>
                <w:szCs w:val="10"/>
                <w:b w:val="1"/>
                <w:bCs w:val="1"/>
                <w:color w:val="auto"/>
                <w:w w:val="86"/>
              </w:rPr>
              <w:t>Three Months Ended</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0"/>
                <w:szCs w:val="10"/>
                <w:b w:val="1"/>
                <w:bCs w:val="1"/>
                <w:color w:val="auto"/>
              </w:rPr>
              <w:t>Change</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2"/>
          </w:tcPr>
          <w:p>
            <w:pPr>
              <w:jc w:val="center"/>
              <w:ind w:left="248"/>
              <w:spacing w:after="0"/>
              <w:rPr>
                <w:sz w:val="20"/>
                <w:szCs w:val="20"/>
                <w:color w:val="auto"/>
              </w:rPr>
            </w:pPr>
            <w:r>
              <w:rPr>
                <w:rFonts w:ascii="Arial" w:cs="Arial" w:eastAsia="Arial" w:hAnsi="Arial"/>
                <w:sz w:val="10"/>
                <w:szCs w:val="10"/>
                <w:b w:val="1"/>
                <w:bCs w:val="1"/>
                <w:color w:val="auto"/>
                <w:w w:val="87"/>
              </w:rPr>
              <w:t>Six Months Ended</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0"/>
                <w:szCs w:val="10"/>
                <w:b w:val="1"/>
                <w:bCs w:val="1"/>
                <w:color w:val="auto"/>
              </w:rPr>
              <w:t>Change</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center"/>
              <w:ind w:left="307"/>
              <w:spacing w:after="0"/>
              <w:rPr>
                <w:sz w:val="20"/>
                <w:szCs w:val="20"/>
                <w:color w:val="auto"/>
              </w:rPr>
            </w:pPr>
            <w:r>
              <w:rPr>
                <w:rFonts w:ascii="Arial" w:cs="Arial" w:eastAsia="Arial" w:hAnsi="Arial"/>
                <w:sz w:val="10"/>
                <w:szCs w:val="10"/>
                <w:b w:val="1"/>
                <w:bCs w:val="1"/>
                <w:color w:val="auto"/>
                <w:w w:val="84"/>
              </w:rPr>
              <w:t>June 30,</w:t>
            </w:r>
          </w:p>
        </w:tc>
        <w:tc>
          <w:tcPr>
            <w:tcW w:w="6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6"/>
              <w:spacing w:after="0"/>
              <w:rPr>
                <w:sz w:val="20"/>
                <w:szCs w:val="20"/>
                <w:color w:val="auto"/>
              </w:rPr>
            </w:pPr>
            <w:r>
              <w:rPr>
                <w:rFonts w:ascii="Arial" w:cs="Arial" w:eastAsia="Arial" w:hAnsi="Arial"/>
                <w:sz w:val="10"/>
                <w:szCs w:val="10"/>
                <w:b w:val="1"/>
                <w:bCs w:val="1"/>
                <w:color w:val="auto"/>
                <w:w w:val="84"/>
              </w:rPr>
              <w:t>June 30,</w:t>
            </w: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47"/>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b w:val="1"/>
                <w:bCs w:val="1"/>
                <w:color w:val="auto"/>
              </w:rPr>
              <w:t>Amount</w:t>
            </w:r>
          </w:p>
        </w:tc>
        <w:tc>
          <w:tcPr>
            <w:tcW w:w="68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2022</w:t>
            </w:r>
          </w:p>
        </w:tc>
        <w:tc>
          <w:tcPr>
            <w:tcW w:w="6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w w:val="89"/>
              </w:rPr>
              <w:t>2021</w:t>
            </w: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0"/>
                <w:szCs w:val="10"/>
                <w:b w:val="1"/>
                <w:bCs w:val="1"/>
                <w:color w:val="auto"/>
              </w:rPr>
              <w:t>Amount</w:t>
            </w:r>
          </w:p>
        </w:tc>
        <w:tc>
          <w:tcPr>
            <w:tcW w:w="66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15"/>
        </w:trPr>
        <w:tc>
          <w:tcPr>
            <w:tcW w:w="2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0" w:type="dxa"/>
            <w:vAlign w:val="bottom"/>
            <w:gridSpan w:val="3"/>
          </w:tcPr>
          <w:p>
            <w:pPr>
              <w:jc w:val="right"/>
              <w:spacing w:after="0"/>
              <w:rPr>
                <w:sz w:val="20"/>
                <w:szCs w:val="20"/>
                <w:color w:val="auto"/>
              </w:rPr>
            </w:pPr>
            <w:r>
              <w:rPr>
                <w:rFonts w:ascii="Arial" w:cs="Arial" w:eastAsia="Arial" w:hAnsi="Arial"/>
                <w:sz w:val="10"/>
                <w:szCs w:val="10"/>
                <w:b w:val="1"/>
                <w:bCs w:val="1"/>
                <w:color w:val="auto"/>
              </w:rPr>
              <w:t>(dollars in thousands)</w:t>
            </w: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Other income, net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ind w:left="540"/>
              <w:spacing w:after="0"/>
              <w:rPr>
                <w:sz w:val="20"/>
                <w:szCs w:val="20"/>
                <w:color w:val="auto"/>
              </w:rPr>
            </w:pPr>
            <w:r>
              <w:rPr>
                <w:rFonts w:ascii="Arial" w:cs="Arial" w:eastAsia="Arial" w:hAnsi="Arial"/>
                <w:sz w:val="12"/>
                <w:szCs w:val="12"/>
                <w:color w:val="auto"/>
              </w:rPr>
              <w:t>45</w:t>
            </w: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496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408"/>
              <w:spacing w:after="0"/>
              <w:rPr>
                <w:sz w:val="20"/>
                <w:szCs w:val="20"/>
                <w:color w:val="auto"/>
              </w:rPr>
            </w:pPr>
            <w:r>
              <w:rPr>
                <w:rFonts w:ascii="Arial" w:cs="Arial" w:eastAsia="Arial" w:hAnsi="Arial"/>
                <w:sz w:val="12"/>
                <w:szCs w:val="12"/>
                <w:color w:val="auto"/>
              </w:rPr>
              <w:t>(451)</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600" w:type="dxa"/>
            <w:vAlign w:val="bottom"/>
            <w:shd w:val="clear" w:color="auto" w:fill="CCEEFF"/>
          </w:tcPr>
          <w:p>
            <w:pPr>
              <w:jc w:val="right"/>
              <w:ind w:right="266"/>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1,058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308"/>
              <w:spacing w:after="0"/>
              <w:rPr>
                <w:sz w:val="20"/>
                <w:szCs w:val="20"/>
                <w:color w:val="auto"/>
              </w:rPr>
            </w:pPr>
            <w:r>
              <w:rPr>
                <w:rFonts w:ascii="Arial" w:cs="Arial" w:eastAsia="Arial" w:hAnsi="Arial"/>
                <w:sz w:val="12"/>
                <w:szCs w:val="12"/>
                <w:color w:val="auto"/>
              </w:rPr>
              <w:t>(1,023)</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 %</w:t>
            </w: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0.6 %</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tcPr>
          <w:p>
            <w:pPr>
              <w:jc w:val="right"/>
              <w:ind w:right="426"/>
              <w:spacing w:after="0"/>
              <w:rPr>
                <w:sz w:val="20"/>
                <w:szCs w:val="20"/>
                <w:color w:val="auto"/>
              </w:rPr>
            </w:pPr>
            <w:r>
              <w:rPr>
                <w:rFonts w:ascii="Arial" w:cs="Arial" w:eastAsia="Arial" w:hAnsi="Arial"/>
                <w:sz w:val="11"/>
                <w:szCs w:val="11"/>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0.6 %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Other income, net for the three and six months ended June 30, 2022 decreased primarily due to $0.3 million and $0.7 million in other income recorded during the three and six months ended June 30, 2021, respectively, compared to the same periods in the prior year, due to certain post-closing transition services provided to MyCase.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Provision for (Benefit from) Income Taxes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tcPr>
          <w:p>
            <w:pPr>
              <w:jc w:val="center"/>
              <w:ind w:left="327"/>
              <w:spacing w:after="0"/>
              <w:rPr>
                <w:sz w:val="20"/>
                <w:szCs w:val="20"/>
                <w:color w:val="auto"/>
              </w:rPr>
            </w:pPr>
            <w:r>
              <w:rPr>
                <w:rFonts w:ascii="Arial" w:cs="Arial" w:eastAsia="Arial" w:hAnsi="Arial"/>
                <w:sz w:val="10"/>
                <w:szCs w:val="10"/>
                <w:b w:val="1"/>
                <w:bCs w:val="1"/>
                <w:color w:val="auto"/>
                <w:w w:val="88"/>
              </w:rPr>
              <w:t>Three Months Ended</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jc w:val="right"/>
              <w:ind w:right="108"/>
              <w:spacing w:after="0"/>
              <w:rPr>
                <w:sz w:val="20"/>
                <w:szCs w:val="20"/>
                <w:color w:val="auto"/>
              </w:rPr>
            </w:pPr>
            <w:r>
              <w:rPr>
                <w:rFonts w:ascii="Arial" w:cs="Arial" w:eastAsia="Arial" w:hAnsi="Arial"/>
                <w:sz w:val="10"/>
                <w:szCs w:val="10"/>
                <w:b w:val="1"/>
                <w:bCs w:val="1"/>
                <w:color w:val="auto"/>
              </w:rPr>
              <w:t>Change</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tcPr>
          <w:p>
            <w:pPr>
              <w:jc w:val="center"/>
              <w:ind w:left="247"/>
              <w:spacing w:after="0"/>
              <w:rPr>
                <w:sz w:val="20"/>
                <w:szCs w:val="20"/>
                <w:color w:val="auto"/>
              </w:rPr>
            </w:pPr>
            <w:r>
              <w:rPr>
                <w:rFonts w:ascii="Arial" w:cs="Arial" w:eastAsia="Arial" w:hAnsi="Arial"/>
                <w:sz w:val="10"/>
                <w:szCs w:val="10"/>
                <w:b w:val="1"/>
                <w:bCs w:val="1"/>
                <w:color w:val="auto"/>
                <w:w w:val="87"/>
              </w:rPr>
              <w:t>Six Months Ended</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0"/>
                <w:szCs w:val="10"/>
                <w:b w:val="1"/>
                <w:bCs w:val="1"/>
                <w:color w:val="auto"/>
              </w:rPr>
              <w:t>Change</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center"/>
              <w:ind w:left="307"/>
              <w:spacing w:after="0"/>
              <w:rPr>
                <w:sz w:val="20"/>
                <w:szCs w:val="20"/>
                <w:color w:val="auto"/>
              </w:rPr>
            </w:pPr>
            <w:r>
              <w:rPr>
                <w:rFonts w:ascii="Arial" w:cs="Arial" w:eastAsia="Arial" w:hAnsi="Arial"/>
                <w:sz w:val="10"/>
                <w:szCs w:val="10"/>
                <w:b w:val="1"/>
                <w:bCs w:val="1"/>
                <w:color w:val="auto"/>
                <w:w w:val="84"/>
              </w:rPr>
              <w:t>June 30,</w:t>
            </w:r>
          </w:p>
        </w:tc>
        <w:tc>
          <w:tcPr>
            <w:tcW w:w="6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center"/>
              <w:ind w:left="267"/>
              <w:spacing w:after="0"/>
              <w:rPr>
                <w:sz w:val="20"/>
                <w:szCs w:val="20"/>
                <w:color w:val="auto"/>
              </w:rPr>
            </w:pPr>
            <w:r>
              <w:rPr>
                <w:rFonts w:ascii="Arial" w:cs="Arial" w:eastAsia="Arial" w:hAnsi="Arial"/>
                <w:sz w:val="10"/>
                <w:szCs w:val="10"/>
                <w:b w:val="1"/>
                <w:bCs w:val="1"/>
                <w:color w:val="auto"/>
                <w:w w:val="84"/>
              </w:rPr>
              <w:t>June 30,</w:t>
            </w:r>
          </w:p>
        </w:tc>
        <w:tc>
          <w:tcPr>
            <w:tcW w:w="6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47"/>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w w:val="89"/>
              </w:rPr>
              <w:t>2021</w:t>
            </w: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0"/>
                <w:szCs w:val="10"/>
                <w:b w:val="1"/>
                <w:bCs w:val="1"/>
                <w:color w:val="auto"/>
              </w:rPr>
              <w:t>Amount</w:t>
            </w:r>
          </w:p>
        </w:tc>
        <w:tc>
          <w:tcPr>
            <w:tcW w:w="660" w:type="dxa"/>
            <w:vAlign w:val="bottom"/>
            <w:tcBorders>
              <w:bottom w:val="single" w:sz="8" w:color="auto"/>
            </w:tcBorders>
            <w:gridSpan w:val="2"/>
          </w:tcPr>
          <w:p>
            <w:pPr>
              <w:jc w:val="right"/>
              <w:ind w:right="326"/>
              <w:spacing w:after="0"/>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427"/>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8"/>
              <w:spacing w:after="0"/>
              <w:rPr>
                <w:sz w:val="20"/>
                <w:szCs w:val="20"/>
                <w:color w:val="auto"/>
              </w:rPr>
            </w:pPr>
            <w:r>
              <w:rPr>
                <w:rFonts w:ascii="Arial" w:cs="Arial" w:eastAsia="Arial" w:hAnsi="Arial"/>
                <w:sz w:val="10"/>
                <w:szCs w:val="10"/>
                <w:b w:val="1"/>
                <w:bCs w:val="1"/>
                <w:color w:val="auto"/>
              </w:rPr>
              <w:t>Amount</w:t>
            </w:r>
          </w:p>
        </w:tc>
        <w:tc>
          <w:tcPr>
            <w:tcW w:w="60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15"/>
        </w:trPr>
        <w:tc>
          <w:tcPr>
            <w:tcW w:w="2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w w:val="84"/>
              </w:rPr>
              <w:t>(dollars in thousands)</w:t>
            </w: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Provision for (benefit from) income taxes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7"/>
              <w:spacing w:after="0"/>
              <w:rPr>
                <w:sz w:val="20"/>
                <w:szCs w:val="20"/>
                <w:color w:val="auto"/>
              </w:rPr>
            </w:pPr>
            <w:r>
              <w:rPr>
                <w:rFonts w:ascii="Arial" w:cs="Arial" w:eastAsia="Arial" w:hAnsi="Arial"/>
                <w:sz w:val="12"/>
                <w:szCs w:val="12"/>
                <w:color w:val="auto"/>
              </w:rPr>
              <w:t>236</w:t>
            </w:r>
          </w:p>
        </w:tc>
        <w:tc>
          <w:tcPr>
            <w:tcW w:w="42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(324)</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328"/>
              <w:spacing w:after="0"/>
              <w:rPr>
                <w:sz w:val="20"/>
                <w:szCs w:val="20"/>
                <w:color w:val="auto"/>
              </w:rPr>
            </w:pPr>
            <w:r>
              <w:rPr>
                <w:rFonts w:ascii="Arial" w:cs="Arial" w:eastAsia="Arial" w:hAnsi="Arial"/>
                <w:sz w:val="12"/>
                <w:szCs w:val="12"/>
                <w:color w:val="auto"/>
              </w:rPr>
              <w:t>560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07"/>
              <w:spacing w:after="0"/>
              <w:rPr>
                <w:sz w:val="20"/>
                <w:szCs w:val="20"/>
                <w:color w:val="auto"/>
              </w:rPr>
            </w:pPr>
            <w:r>
              <w:rPr>
                <w:rFonts w:ascii="Arial" w:cs="Arial" w:eastAsia="Arial" w:hAnsi="Arial"/>
                <w:sz w:val="12"/>
                <w:szCs w:val="12"/>
                <w:color w:val="auto"/>
              </w:rPr>
              <w:t>(49)</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(5,857)</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68"/>
              <w:spacing w:after="0"/>
              <w:rPr>
                <w:sz w:val="20"/>
                <w:szCs w:val="20"/>
                <w:color w:val="auto"/>
              </w:rPr>
            </w:pPr>
            <w:r>
              <w:rPr>
                <w:rFonts w:ascii="Arial" w:cs="Arial" w:eastAsia="Arial" w:hAnsi="Arial"/>
                <w:sz w:val="12"/>
                <w:szCs w:val="12"/>
                <w:color w:val="auto"/>
              </w:rPr>
              <w:t>5,808</w:t>
            </w:r>
          </w:p>
        </w:tc>
        <w:tc>
          <w:tcPr>
            <w:tcW w:w="600" w:type="dxa"/>
            <w:vAlign w:val="bottom"/>
            <w:shd w:val="clear" w:color="auto" w:fill="CCEEFF"/>
          </w:tcPr>
          <w:p>
            <w:pPr>
              <w:jc w:val="right"/>
              <w:ind w:right="326"/>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680" w:type="dxa"/>
            <w:vAlign w:val="bottom"/>
          </w:tcPr>
          <w:p>
            <w:pPr>
              <w:spacing w:after="0"/>
              <w:rPr>
                <w:sz w:val="20"/>
                <w:szCs w:val="20"/>
                <w:color w:val="auto"/>
              </w:rPr>
            </w:pPr>
            <w:r>
              <w:rPr>
                <w:rFonts w:ascii="Arial" w:cs="Arial" w:eastAsia="Arial" w:hAnsi="Arial"/>
                <w:sz w:val="12"/>
                <w:szCs w:val="12"/>
                <w:color w:val="auto"/>
              </w:rPr>
              <w:t>Percentage of revenue</w:t>
            </w:r>
          </w:p>
        </w:tc>
        <w:tc>
          <w:tcPr>
            <w:tcW w:w="240" w:type="dxa"/>
            <w:vAlign w:val="bottom"/>
          </w:tcPr>
          <w:p>
            <w:pPr>
              <w:spacing w:after="0"/>
              <w:rPr>
                <w:sz w:val="13"/>
                <w:szCs w:val="13"/>
                <w:color w:val="auto"/>
              </w:rPr>
            </w:pPr>
          </w:p>
        </w:tc>
        <w:tc>
          <w:tcPr>
            <w:tcW w:w="880" w:type="dxa"/>
            <w:vAlign w:val="bottom"/>
          </w:tcPr>
          <w:p>
            <w:pPr>
              <w:jc w:val="right"/>
              <w:ind w:right="27"/>
              <w:spacing w:after="0"/>
              <w:rPr>
                <w:sz w:val="20"/>
                <w:szCs w:val="20"/>
                <w:color w:val="auto"/>
              </w:rPr>
            </w:pPr>
            <w:r>
              <w:rPr>
                <w:rFonts w:ascii="Arial" w:cs="Arial" w:eastAsia="Arial" w:hAnsi="Arial"/>
                <w:sz w:val="12"/>
                <w:szCs w:val="12"/>
                <w:color w:val="auto"/>
              </w:rPr>
              <w:t>0.2 %</w:t>
            </w:r>
          </w:p>
        </w:tc>
        <w:tc>
          <w:tcPr>
            <w:tcW w:w="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(0.4)%</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7"/>
              <w:spacing w:after="0"/>
              <w:rPr>
                <w:sz w:val="20"/>
                <w:szCs w:val="20"/>
                <w:color w:val="auto"/>
              </w:rPr>
            </w:pPr>
            <w:r>
              <w:rPr>
                <w:rFonts w:ascii="Arial" w:cs="Arial" w:eastAsia="Arial" w:hAnsi="Arial"/>
                <w:sz w:val="12"/>
                <w:szCs w:val="12"/>
                <w:color w:val="auto"/>
              </w:rPr>
              <w:t>— %</w:t>
            </w:r>
          </w:p>
        </w:tc>
        <w:tc>
          <w:tcPr>
            <w:tcW w:w="4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*Percentage not meaningful</w:t>
      </w:r>
    </w:p>
    <w:p>
      <w:pPr>
        <w:spacing w:after="0" w:line="78"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Our effective tax rate as compared to the U.S. federal statutory rate of 21% differs primarily due to the significance of the benefits associated with stock-based compensation expense, research and development tax credits, offset by the change in the valuation allowance against deferred taxes.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principal sources of liquidity continue to be cash, cash equivalents, and investment securities, as well as cash flows generated from our operations.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5" w:name="page26"/>
    <w:bookmarkEnd w:id="2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Our future capital requirements will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the timing and extent of our expansion into new or adjacent markets, and the timing and extent of our investments across our organization. In addition, we have in the past entered into, and may in the future enter into, arrangements to acquire or invest in new technologies or markets adjacent to those we serve today. Furthermore, our Board of Directors has authorized the repurchase of up to $100.0 million of shares of our Class A common stock from time to time. To date, we have repurchased $4.2 million of our Class A common stock under the share repurchase program.</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Cash Flows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cash flows for the periods indicated (in thousands):</w:t>
      </w:r>
    </w:p>
    <w:p>
      <w:pPr>
        <w:spacing w:after="0" w:line="75" w:lineRule="exact"/>
        <w:rPr>
          <w:sz w:val="20"/>
          <w:szCs w:val="20"/>
          <w:color w:val="auto"/>
        </w:rPr>
      </w:pPr>
    </w:p>
    <w:p>
      <w:pPr>
        <w:jc w:val="center"/>
        <w:ind w:left="8560"/>
        <w:spacing w:after="0"/>
        <w:rPr>
          <w:sz w:val="20"/>
          <w:szCs w:val="20"/>
          <w:color w:val="auto"/>
        </w:rPr>
      </w:pPr>
      <w:r>
        <w:rPr>
          <w:rFonts w:ascii="Arial" w:cs="Arial" w:eastAsia="Arial" w:hAnsi="Arial"/>
          <w:sz w:val="10"/>
          <w:szCs w:val="10"/>
          <w:b w:val="1"/>
          <w:bCs w:val="1"/>
          <w:color w:val="auto"/>
        </w:rPr>
        <w:t>Six Months Ended</w:t>
      </w:r>
    </w:p>
    <w:p>
      <w:pPr>
        <w:jc w:val="center"/>
        <w:ind w:left="8560"/>
        <w:spacing w:after="0" w:line="236" w:lineRule="auto"/>
        <w:rPr>
          <w:sz w:val="20"/>
          <w:szCs w:val="20"/>
          <w:color w:val="auto"/>
        </w:rPr>
      </w:pPr>
      <w:r>
        <w:rPr>
          <w:rFonts w:ascii="Arial" w:cs="Arial" w:eastAsia="Arial" w:hAnsi="Arial"/>
          <w:sz w:val="10"/>
          <w:szCs w:val="10"/>
          <w:b w:val="1"/>
          <w:bCs w:val="1"/>
          <w:color w:val="auto"/>
        </w:rPr>
        <w:t>June 30,</w:t>
      </w:r>
    </w:p>
    <w:tbl>
      <w:tblPr>
        <w:tblLayout w:type="fixed"/>
        <w:tblInd w:w="0" w:type="dxa"/>
        <w:tblCellMar>
          <w:top w:w="0" w:type="dxa"/>
          <w:left w:w="0" w:type="dxa"/>
          <w:bottom w:w="0" w:type="dxa"/>
          <w:right w:w="0" w:type="dxa"/>
        </w:tblCellMar>
      </w:tblPr>
      <w:tr>
        <w:trPr>
          <w:trHeight w:val="123"/>
        </w:trPr>
        <w:tc>
          <w:tcPr>
            <w:tcW w:w="8560" w:type="dxa"/>
            <w:vAlign w:val="bottom"/>
            <w:tcBorders>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2022</w:t>
            </w:r>
          </w:p>
        </w:tc>
        <w:tc>
          <w:tcPr>
            <w:tcW w:w="5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2021</w:t>
            </w:r>
          </w:p>
        </w:tc>
      </w:tr>
      <w:tr>
        <w:trPr>
          <w:trHeight w:val="142"/>
        </w:trPr>
        <w:tc>
          <w:tcPr>
            <w:tcW w:w="85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cash provided by operating activities</w:t>
            </w:r>
          </w:p>
        </w:tc>
        <w:tc>
          <w:tcPr>
            <w:tcW w:w="820" w:type="dxa"/>
            <w:vAlign w:val="bottom"/>
            <w:shd w:val="clear" w:color="auto" w:fill="CCEEFF"/>
          </w:tcPr>
          <w:p>
            <w:pPr>
              <w:jc w:val="right"/>
              <w:ind w:right="684"/>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10,661</w:t>
            </w:r>
          </w:p>
        </w:tc>
      </w:tr>
      <w:tr>
        <w:trPr>
          <w:trHeight w:val="153"/>
        </w:trPr>
        <w:tc>
          <w:tcPr>
            <w:tcW w:w="856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(13,694)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(94,060)</w:t>
            </w:r>
          </w:p>
        </w:tc>
      </w:tr>
      <w:tr>
        <w:trPr>
          <w:trHeight w:val="153"/>
        </w:trPr>
        <w:tc>
          <w:tcPr>
            <w:tcW w:w="856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financing activities</w:t>
            </w: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(4,994)</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(8,254)</w:t>
            </w:r>
          </w:p>
        </w:tc>
      </w:tr>
      <w:tr>
        <w:trPr>
          <w:trHeight w:val="142"/>
        </w:trPr>
        <w:tc>
          <w:tcPr>
            <w:tcW w:w="8560" w:type="dxa"/>
            <w:vAlign w:val="bottom"/>
          </w:tcPr>
          <w:p>
            <w:pPr>
              <w:spacing w:after="0" w:line="133" w:lineRule="exact"/>
              <w:rPr>
                <w:sz w:val="20"/>
                <w:szCs w:val="20"/>
                <w:color w:val="auto"/>
              </w:rPr>
            </w:pPr>
            <w:r>
              <w:rPr>
                <w:rFonts w:ascii="Arial" w:cs="Arial" w:eastAsia="Arial" w:hAnsi="Arial"/>
                <w:sz w:val="12"/>
                <w:szCs w:val="12"/>
                <w:color w:val="auto"/>
              </w:rPr>
              <w:t>Net decrease in cash, cash equivalents and restricted cash</w:t>
            </w:r>
          </w:p>
        </w:tc>
        <w:tc>
          <w:tcPr>
            <w:tcW w:w="820" w:type="dxa"/>
            <w:vAlign w:val="bottom"/>
            <w:tcBorders>
              <w:bottom w:val="single" w:sz="8" w:color="auto"/>
            </w:tcBorders>
          </w:tcPr>
          <w:p>
            <w:pPr>
              <w:jc w:val="right"/>
              <w:ind w:right="684"/>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(15,407)</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(91,653)</w:t>
            </w:r>
          </w:p>
        </w:tc>
      </w:tr>
      <w:tr>
        <w:trPr>
          <w:trHeight w:val="20"/>
        </w:trPr>
        <w:tc>
          <w:tcPr>
            <w:tcW w:w="8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spacing w:after="0" w:line="9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Net cash provided by operating activities was $3.3 million for the six months ended June 30, 2022 compared to net cash provided by operating activities of $10.7 million for the six months ended June 30, 2021. The net decrease in cash provided by operating activities was primarily due to an increase in employee related costs and the settlement of accounts payable offset by an increase in cash collections from customers due to higher revenue growth and a decrease in income taxes paid related to the sale of MyCase during the six months ended June 30, 2021.</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Cash used in investing activities is generally composed of purchases of investment securities, maturities and sales of investment securities, purchases of property and equipment, and additions to capitalized software development.</w:t>
      </w:r>
    </w:p>
    <w:p>
      <w:pPr>
        <w:spacing w:after="0" w:line="8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Net cash used in investing activities for the six months ended June 30, 2022 was $13.7 million compared to $94.1 million for the six months ended June 30, 2021. The net decrease in cash used in investing activities was primarily due to a decrease in purchases of available-for-sale investment securities, offset by an increase in proceeds from maturities of available-for-sale investment securities.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Cash used in financing activities is generally composed of net share settlements for employee tax withholdings associated with the vesting of equity awards offset by proceeds from the exercise of stock options.</w:t>
      </w:r>
    </w:p>
    <w:p>
      <w:pPr>
        <w:spacing w:after="0" w:line="13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Net cash used in financing activities for the six months ended June 30, 2022 was $5.0 million compared to $8.3 million for the six months ended June 30, 2021. The decrease in cash used in financing activities was primarily due to a decrease in taxes paid related to net share settlement of equity awards.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7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accordance with ASC 360, Property, Plant, and Equipment (“ASC 360”), we evaluate our long-lived assets, such as property and equipment and right-of-use assets, for impairment whenever events and circumstances indicate that the assets might be impaired due to the carrying amount of an asset group not being recoverable. When the projected undiscounted cash flows estimated to be generated by those assets are less than their carrying amounts, the assets are adjusted to their estimated fair value and an impairment loss is recorded as a component of operating expenses.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6" w:name="page27"/>
    <w:bookmarkEnd w:id="2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6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0"/>
          <w:szCs w:val="10"/>
          <w:color w:val="auto"/>
        </w:rPr>
        <w:t xml:space="preserve">During the second quarter of 2022, we decided to exit and make available for sublease certain other leased office spaces. As a result, we reassessed our asset groupings and evaluated the recoverability of our right-of-use and other lease related assets, and determined that the carrying value of the respective asset groups was not fully recoverable. As a result, we utilized discounted cash flow models to estimate the fair value of the asset groups and calculated the corresponding impairment loss. We recorded an impairment of $19.4 million consisting of $15.7 million related to ROU assets and $3.7 million related to property and equipment associated with our leased office spaces as described further in Note 6, </w:t>
      </w:r>
      <w:r>
        <w:rPr>
          <w:rFonts w:ascii="Arial" w:cs="Arial" w:eastAsia="Arial" w:hAnsi="Arial"/>
          <w:sz w:val="10"/>
          <w:szCs w:val="10"/>
          <w:i w:val="1"/>
          <w:iCs w:val="1"/>
          <w:color w:val="auto"/>
        </w:rPr>
        <w:t>Leases.</w:t>
      </w:r>
      <w:r>
        <w:rPr>
          <w:rFonts w:ascii="Arial" w:cs="Arial" w:eastAsia="Arial" w:hAnsi="Arial"/>
          <w:sz w:val="10"/>
          <w:szCs w:val="10"/>
          <w:color w:val="auto"/>
        </w:rPr>
        <w:t xml:space="preserve"> The Company used the following significant assumptions to determine the impairment charge: time period it will take to obtain a sublessee, the applicable discount rate and the anticipated sublease income.</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Qualitative and Quantitative Disclosure about Market Risk</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Investment Securities</w:t>
      </w:r>
    </w:p>
    <w:p>
      <w:pPr>
        <w:spacing w:after="0" w:line="7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As of June 30, 2022, we had $125.3 million of investment securities consisting of United States government agency securities, corporate bonds,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2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As of June 30, 2022, a hypothetical 100 basis point decrease in interest rates would have resulted in an increase in the fair value of our investment securities of approximately $1.0 million and a hypothetical 100 basis point increase in interest rates would have resulted in a decrease in the fair value of our investment securities of approximately $1.0 million. This estimate is based on a sensitivity model which measures an instant change in interest rates by 100 basis points at June 30, 2022.</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78"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9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Based on our management's evaluation, our principal executive officer and principal financial officer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7" w:name="page28"/>
    <w:bookmarkEnd w:id="2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From time to time, we are involved in various investigative inquiries, legal proceedings and other disputes arising from or related to matters incident to the ordinary course of our business activities, including actions with respect to intellectual property, employment,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8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1"/>
          <w:szCs w:val="11"/>
          <w:color w:val="auto"/>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28, 2022, as well as in our other public filings with the SEC. If any of the identified risks are realized, our business, financial condition, operating results and prospects could be materially and adversely affected. In that case, the trading price of our Class A common stock may decline, and you could lose all or part of your investment. In addition, other risks of which we are currently unaware, or which we do not currently view as material, could have a material adverse effect on our business, financial condition, operating results and prospects. As of the date of this report, there have been no material changes to the risk factors previously disclosed in the Annual Report. We may, however, disclose changes to such factors or disclose additional factors from time to time in our future filings with the SEC.</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8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1"/>
          <w:szCs w:val="11"/>
          <w:color w:val="auto"/>
        </w:rPr>
        <w:t>On July 27, 2022, the Company entered into an employment agreement (the “Employment Agreement”) with Jason Randall, the Company’s President and Chief Executive Officer. Pursuant to the Employment Agreement, Mr. Randall is entitled to receive (a) an annual base salary of $500,000, (b) an annual cash bonus award, with a target of $500,000 for fiscal year 2022, and (c) long-term incentive cash awards for increases in “economic value” on a per share basis measured as of December 31, 2023, December 31, 2024, and December 31, 2025 under the “long-term executive cash incentive plan” more fully described in the Company’s 2022 Proxy Statement. In the event the Company terminates Mr. Randall’s employment without “cause” or he resigns for “good reason,” he will be entitled to (i) twelve months of base salary continuation, (ii) a prorated short-term incentive award for the year of termination, (iii) payment of COBRA premiums for twelve months, (iv) payment of any earned but unpaid short-term incentive award, and (v) if such termination or resignation occurs in fiscal year 2022, a cash payment of $5,000,000 or, if such termination or resignation occurs during fiscal year 2023, 2024 or 2025, a prorated long-term incentive cash award.</w:t>
      </w:r>
    </w:p>
    <w:p>
      <w:pPr>
        <w:spacing w:after="0" w:line="41"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The foregoing description of the Employment Agreement does not purport to be complete and is qualified in its entirety by reference to the full text of the Employment Agreement, a copy of which is filed as an exhibit to this Quarterly Report.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Exhibits</w:t>
      </w:r>
    </w:p>
    <w:p>
      <w:pPr>
        <w:spacing w:after="0" w:line="84"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1140" w:type="dxa"/>
            <w:vAlign w:val="bottom"/>
            <w:gridSpan w:val="2"/>
          </w:tcPr>
          <w:p>
            <w:pPr>
              <w:spacing w:after="0"/>
              <w:rPr>
                <w:sz w:val="20"/>
                <w:szCs w:val="20"/>
                <w:color w:val="auto"/>
              </w:rPr>
            </w:pPr>
            <w:r>
              <w:rPr>
                <w:rFonts w:ascii="Arial" w:cs="Arial" w:eastAsia="Arial" w:hAnsi="Arial"/>
                <w:sz w:val="10"/>
                <w:szCs w:val="10"/>
                <w:b w:val="1"/>
                <w:bCs w:val="1"/>
                <w:color w:val="auto"/>
              </w:rPr>
              <w:t>Exhibit</w:t>
            </w:r>
          </w:p>
        </w:tc>
        <w:tc>
          <w:tcPr>
            <w:tcW w:w="20" w:type="dxa"/>
            <w:vAlign w:val="bottom"/>
          </w:tcPr>
          <w:p>
            <w:pPr>
              <w:spacing w:after="0"/>
              <w:rPr>
                <w:sz w:val="10"/>
                <w:szCs w:val="10"/>
                <w:color w:val="auto"/>
              </w:rPr>
            </w:pPr>
          </w:p>
        </w:tc>
        <w:tc>
          <w:tcPr>
            <w:tcW w:w="986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Description of Document</w:t>
            </w:r>
          </w:p>
        </w:tc>
        <w:tc>
          <w:tcPr>
            <w:tcW w:w="0" w:type="dxa"/>
            <w:vAlign w:val="bottom"/>
          </w:tcPr>
          <w:p>
            <w:pPr>
              <w:spacing w:after="0"/>
              <w:rPr>
                <w:sz w:val="1"/>
                <w:szCs w:val="1"/>
                <w:color w:val="auto"/>
              </w:rPr>
            </w:pPr>
          </w:p>
        </w:tc>
      </w:tr>
      <w:tr>
        <w:trPr>
          <w:trHeight w:val="125"/>
        </w:trPr>
        <w:tc>
          <w:tcPr>
            <w:tcW w:w="1140" w:type="dxa"/>
            <w:vAlign w:val="bottom"/>
            <w:gridSpan w:val="2"/>
          </w:tcPr>
          <w:p>
            <w:pPr>
              <w:spacing w:after="0"/>
              <w:rPr>
                <w:sz w:val="20"/>
                <w:szCs w:val="20"/>
                <w:color w:val="auto"/>
              </w:rPr>
            </w:pPr>
            <w:r>
              <w:rPr>
                <w:rFonts w:ascii="Arial" w:cs="Arial" w:eastAsia="Arial" w:hAnsi="Arial"/>
                <w:sz w:val="10"/>
                <w:szCs w:val="10"/>
                <w:b w:val="1"/>
                <w:bCs w:val="1"/>
                <w:color w:val="auto"/>
              </w:rPr>
              <w:t>Number</w:t>
            </w:r>
          </w:p>
        </w:tc>
        <w:tc>
          <w:tcPr>
            <w:tcW w:w="20" w:type="dxa"/>
            <w:vAlign w:val="bottom"/>
          </w:tcPr>
          <w:p>
            <w:pPr>
              <w:spacing w:after="0"/>
              <w:rPr>
                <w:sz w:val="10"/>
                <w:szCs w:val="10"/>
                <w:color w:val="auto"/>
              </w:rPr>
            </w:pPr>
          </w:p>
        </w:tc>
        <w:tc>
          <w:tcPr>
            <w:tcW w:w="98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80" w:type="dxa"/>
            <w:vAlign w:val="bottom"/>
            <w:tcBorders>
              <w:top w:val="single" w:sz="8" w:color="auto"/>
            </w:tcBorders>
          </w:tcPr>
          <w:p>
            <w:pPr>
              <w:spacing w:after="0" w:line="117" w:lineRule="exact"/>
              <w:rPr>
                <w:sz w:val="20"/>
                <w:szCs w:val="20"/>
                <w:color w:val="auto"/>
              </w:rPr>
            </w:pPr>
            <w:r>
              <w:rPr>
                <w:rFonts w:ascii="Arial" w:cs="Arial" w:eastAsia="Arial" w:hAnsi="Arial"/>
                <w:sz w:val="12"/>
                <w:szCs w:val="12"/>
                <w:color w:val="auto"/>
              </w:rPr>
              <w:t>10.1</w:t>
            </w:r>
          </w:p>
        </w:tc>
        <w:tc>
          <w:tcPr>
            <w:tcW w:w="1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160" w:type="dxa"/>
            <w:vAlign w:val="bottom"/>
            <w:tcBorders>
              <w:top w:val="single" w:sz="8" w:color="auto"/>
              <w:bottom w:val="single" w:sz="8" w:color="0000FF"/>
            </w:tcBorders>
          </w:tcPr>
          <w:p>
            <w:pPr>
              <w:spacing w:after="0" w:line="117" w:lineRule="exact"/>
              <w:rPr>
                <w:rFonts w:ascii="Arial" w:cs="Arial" w:eastAsia="Arial" w:hAnsi="Arial"/>
                <w:sz w:val="12"/>
                <w:szCs w:val="12"/>
                <w:color w:val="0000FF"/>
                <w:w w:val="88"/>
              </w:rPr>
            </w:pPr>
            <w:hyperlink w:anchor="page31">
              <w:r>
                <w:rPr>
                  <w:rFonts w:ascii="Arial" w:cs="Arial" w:eastAsia="Arial" w:hAnsi="Arial"/>
                  <w:sz w:val="12"/>
                  <w:szCs w:val="12"/>
                  <w:color w:val="0000FF"/>
                  <w:w w:val="88"/>
                </w:rPr>
                <w:t>Employment agreement between the Company and Jason Randall</w:t>
              </w:r>
            </w:hyperlink>
          </w:p>
        </w:tc>
        <w:tc>
          <w:tcPr>
            <w:tcW w:w="6700" w:type="dxa"/>
            <w:vAlign w:val="bottom"/>
            <w:tcBorders>
              <w:top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31.1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500" w:type="dxa"/>
            <w:vAlign w:val="bottom"/>
            <w:tcBorders>
              <w:bottom w:val="single" w:sz="8" w:color="0000FF"/>
            </w:tcBorders>
            <w:gridSpan w:val="2"/>
          </w:tcPr>
          <w:p>
            <w:pPr>
              <w:spacing w:after="0" w:line="133" w:lineRule="exact"/>
              <w:rPr>
                <w:rFonts w:ascii="Arial" w:cs="Arial" w:eastAsia="Arial" w:hAnsi="Arial"/>
                <w:sz w:val="12"/>
                <w:szCs w:val="12"/>
                <w:color w:val="0000FF"/>
                <w:w w:val="90"/>
              </w:rPr>
            </w:pPr>
            <w:hyperlink w:anchor="page44">
              <w:r>
                <w:rPr>
                  <w:rFonts w:ascii="Arial" w:cs="Arial" w:eastAsia="Arial" w:hAnsi="Arial"/>
                  <w:sz w:val="12"/>
                  <w:szCs w:val="12"/>
                  <w:color w:val="0000FF"/>
                  <w:w w:val="90"/>
                </w:rPr>
                <w:t>Certification of Chief Executive Officer pursuant to Rule 13a-14(a) or Rule 15d-14(a) promulgated under the Securities Exchange Act of 1934, as amended.</w:t>
              </w:r>
            </w:hyperlink>
          </w:p>
        </w:tc>
        <w:tc>
          <w:tcPr>
            <w:tcW w:w="23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31.2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40" w:type="dxa"/>
            <w:vAlign w:val="bottom"/>
            <w:tcBorders>
              <w:bottom w:val="single" w:sz="8" w:color="0000FF"/>
            </w:tcBorders>
            <w:gridSpan w:val="3"/>
          </w:tcPr>
          <w:p>
            <w:pPr>
              <w:spacing w:after="0" w:line="133" w:lineRule="exact"/>
              <w:rPr>
                <w:rFonts w:ascii="Arial" w:cs="Arial" w:eastAsia="Arial" w:hAnsi="Arial"/>
                <w:sz w:val="12"/>
                <w:szCs w:val="12"/>
                <w:color w:val="0000FF"/>
                <w:w w:val="91"/>
              </w:rPr>
            </w:pPr>
            <w:hyperlink w:anchor="page45">
              <w:r>
                <w:rPr>
                  <w:rFonts w:ascii="Arial" w:cs="Arial" w:eastAsia="Arial" w:hAnsi="Arial"/>
                  <w:sz w:val="12"/>
                  <w:szCs w:val="12"/>
                  <w:color w:val="0000FF"/>
                  <w:w w:val="91"/>
                </w:rPr>
                <w:t>Certification of Principal Financial Officer pursuant to Rule 13a-14(a) or Rule 15d-14(a) promulgated under the Securities Exchange Act of 1934, as amended.</w:t>
              </w:r>
            </w:hyperlink>
          </w:p>
        </w:tc>
        <w:tc>
          <w:tcPr>
            <w:tcW w:w="2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32.1*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60" w:type="dxa"/>
            <w:vAlign w:val="bottom"/>
            <w:gridSpan w:val="5"/>
          </w:tcPr>
          <w:p>
            <w:pPr>
              <w:spacing w:after="0" w:line="133" w:lineRule="exact"/>
              <w:rPr>
                <w:rFonts w:ascii="Arial" w:cs="Arial" w:eastAsia="Arial" w:hAnsi="Arial"/>
                <w:sz w:val="12"/>
                <w:szCs w:val="12"/>
                <w:color w:val="0000FF"/>
              </w:rPr>
            </w:pPr>
            <w:hyperlink w:anchor="page46">
              <w:r>
                <w:rPr>
                  <w:rFonts w:ascii="Arial" w:cs="Arial" w:eastAsia="Arial" w:hAnsi="Arial"/>
                  <w:sz w:val="12"/>
                  <w:szCs w:val="12"/>
                  <w:color w:val="0000FF"/>
                </w:rPr>
                <w:t>Certifications of Chief Executive Officer and Principal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2"/>
                <w:szCs w:val="12"/>
                <w:color w:val="auto"/>
              </w:rPr>
              <w:t>101.INS</w:t>
            </w:r>
          </w:p>
        </w:tc>
        <w:tc>
          <w:tcPr>
            <w:tcW w:w="20" w:type="dxa"/>
            <w:vAlign w:val="bottom"/>
          </w:tcPr>
          <w:p>
            <w:pPr>
              <w:spacing w:after="0"/>
              <w:rPr>
                <w:sz w:val="13"/>
                <w:szCs w:val="13"/>
                <w:color w:val="auto"/>
              </w:rPr>
            </w:pPr>
          </w:p>
        </w:tc>
        <w:tc>
          <w:tcPr>
            <w:tcW w:w="8700" w:type="dxa"/>
            <w:vAlign w:val="bottom"/>
            <w:tcBorders>
              <w:top w:val="single" w:sz="8" w:color="0000FF"/>
            </w:tcBorders>
            <w:gridSpan w:val="4"/>
          </w:tcPr>
          <w:p>
            <w:pPr>
              <w:spacing w:after="0"/>
              <w:rPr>
                <w:sz w:val="20"/>
                <w:szCs w:val="20"/>
                <w:color w:val="auto"/>
              </w:rPr>
            </w:pPr>
            <w:r>
              <w:rPr>
                <w:rFonts w:ascii="Arial" w:cs="Arial" w:eastAsia="Arial" w:hAnsi="Arial"/>
                <w:sz w:val="12"/>
                <w:szCs w:val="12"/>
                <w:color w:val="auto"/>
              </w:rPr>
              <w:t>Inline XBRL Instance Document.</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2"/>
                <w:szCs w:val="12"/>
                <w:color w:val="auto"/>
              </w:rPr>
              <w:t>101.SCH</w:t>
            </w:r>
          </w:p>
        </w:tc>
        <w:tc>
          <w:tcPr>
            <w:tcW w:w="20" w:type="dxa"/>
            <w:vAlign w:val="bottom"/>
          </w:tcPr>
          <w:p>
            <w:pPr>
              <w:spacing w:after="0"/>
              <w:rPr>
                <w:sz w:val="13"/>
                <w:szCs w:val="13"/>
                <w:color w:val="auto"/>
              </w:rPr>
            </w:pPr>
          </w:p>
        </w:tc>
        <w:tc>
          <w:tcPr>
            <w:tcW w:w="9860" w:type="dxa"/>
            <w:vAlign w:val="bottom"/>
            <w:gridSpan w:val="5"/>
          </w:tcPr>
          <w:p>
            <w:pPr>
              <w:spacing w:after="0"/>
              <w:rPr>
                <w:sz w:val="20"/>
                <w:szCs w:val="20"/>
                <w:color w:val="auto"/>
              </w:rPr>
            </w:pPr>
            <w:r>
              <w:rPr>
                <w:rFonts w:ascii="Arial" w:cs="Arial" w:eastAsia="Arial" w:hAnsi="Arial"/>
                <w:sz w:val="12"/>
                <w:szCs w:val="12"/>
                <w:color w:val="auto"/>
              </w:rPr>
              <w:t>Inline XBRL Taxonomy Extension Schema Document.</w:t>
            </w: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2"/>
                <w:szCs w:val="12"/>
                <w:color w:val="auto"/>
              </w:rPr>
              <w:t>101.CAL</w:t>
            </w:r>
          </w:p>
        </w:tc>
        <w:tc>
          <w:tcPr>
            <w:tcW w:w="20" w:type="dxa"/>
            <w:vAlign w:val="bottom"/>
          </w:tcPr>
          <w:p>
            <w:pPr>
              <w:spacing w:after="0"/>
              <w:rPr>
                <w:sz w:val="13"/>
                <w:szCs w:val="13"/>
                <w:color w:val="auto"/>
              </w:rPr>
            </w:pPr>
          </w:p>
        </w:tc>
        <w:tc>
          <w:tcPr>
            <w:tcW w:w="9860" w:type="dxa"/>
            <w:vAlign w:val="bottom"/>
            <w:gridSpan w:val="5"/>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2"/>
                <w:szCs w:val="12"/>
                <w:color w:val="auto"/>
              </w:rPr>
              <w:t>101.DEF</w:t>
            </w:r>
          </w:p>
        </w:tc>
        <w:tc>
          <w:tcPr>
            <w:tcW w:w="20" w:type="dxa"/>
            <w:vAlign w:val="bottom"/>
          </w:tcPr>
          <w:p>
            <w:pPr>
              <w:spacing w:after="0"/>
              <w:rPr>
                <w:sz w:val="13"/>
                <w:szCs w:val="13"/>
                <w:color w:val="auto"/>
              </w:rPr>
            </w:pPr>
          </w:p>
        </w:tc>
        <w:tc>
          <w:tcPr>
            <w:tcW w:w="9860" w:type="dxa"/>
            <w:vAlign w:val="bottom"/>
            <w:gridSpan w:val="5"/>
          </w:tcPr>
          <w:p>
            <w:pPr>
              <w:spacing w:after="0"/>
              <w:rPr>
                <w:sz w:val="20"/>
                <w:szCs w:val="20"/>
                <w:color w:val="auto"/>
              </w:rPr>
            </w:pPr>
            <w:r>
              <w:rPr>
                <w:rFonts w:ascii="Arial" w:cs="Arial" w:eastAsia="Arial" w:hAnsi="Arial"/>
                <w:sz w:val="12"/>
                <w:szCs w:val="12"/>
                <w:color w:val="auto"/>
              </w:rPr>
              <w:t>Inline XBRL Taxonomy Extension Definition Linkbase Document.</w:t>
            </w: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2"/>
                <w:szCs w:val="12"/>
                <w:color w:val="auto"/>
              </w:rPr>
              <w:t>101.LAB</w:t>
            </w:r>
          </w:p>
        </w:tc>
        <w:tc>
          <w:tcPr>
            <w:tcW w:w="20" w:type="dxa"/>
            <w:vAlign w:val="bottom"/>
          </w:tcPr>
          <w:p>
            <w:pPr>
              <w:spacing w:after="0"/>
              <w:rPr>
                <w:sz w:val="13"/>
                <w:szCs w:val="13"/>
                <w:color w:val="auto"/>
              </w:rPr>
            </w:pPr>
          </w:p>
        </w:tc>
        <w:tc>
          <w:tcPr>
            <w:tcW w:w="9860" w:type="dxa"/>
            <w:vAlign w:val="bottom"/>
            <w:gridSpan w:val="5"/>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2"/>
                <w:szCs w:val="12"/>
                <w:color w:val="auto"/>
              </w:rPr>
              <w:t>101.PRE</w:t>
            </w:r>
          </w:p>
        </w:tc>
        <w:tc>
          <w:tcPr>
            <w:tcW w:w="20" w:type="dxa"/>
            <w:vAlign w:val="bottom"/>
          </w:tcPr>
          <w:p>
            <w:pPr>
              <w:spacing w:after="0"/>
              <w:rPr>
                <w:sz w:val="13"/>
                <w:szCs w:val="13"/>
                <w:color w:val="auto"/>
              </w:rPr>
            </w:pPr>
          </w:p>
        </w:tc>
        <w:tc>
          <w:tcPr>
            <w:tcW w:w="9860" w:type="dxa"/>
            <w:vAlign w:val="bottom"/>
            <w:gridSpan w:val="5"/>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0" w:type="dxa"/>
            <w:vAlign w:val="bottom"/>
          </w:tcPr>
          <w:p>
            <w:pPr>
              <w:spacing w:after="0"/>
              <w:rPr>
                <w:sz w:val="1"/>
                <w:szCs w:val="1"/>
                <w:color w:val="auto"/>
              </w:rPr>
            </w:pP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104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gridSpan w:val="5"/>
          </w:tcPr>
          <w:p>
            <w:pPr>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1420" w:right="40" w:hanging="1155"/>
        <w:spacing w:after="0" w:line="218" w:lineRule="auto"/>
        <w:tabs>
          <w:tab w:leader="none" w:pos="1420" w:val="left"/>
        </w:tabs>
        <w:numPr>
          <w:ilvl w:val="0"/>
          <w:numId w:val="3"/>
        </w:numPr>
        <w:rPr>
          <w:rFonts w:ascii="Arial" w:cs="Arial" w:eastAsia="Arial" w:hAnsi="Arial"/>
          <w:sz w:val="13"/>
          <w:szCs w:val="13"/>
          <w:color w:val="auto"/>
        </w:rPr>
      </w:pPr>
      <w:r>
        <w:rPr>
          <w:rFonts w:ascii="Arial" w:cs="Arial" w:eastAsia="Arial" w:hAnsi="Arial"/>
          <w:sz w:val="12"/>
          <w:szCs w:val="12"/>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9" w:name="page30"/>
    <w:bookmarkEnd w:id="2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Pursuant to the requirements of the Securities Exchange Act of 1934, as amended, the registrant has duly caused this report to be signed on its behalf by the undersigned thereunto duly authorized.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020" w:type="dxa"/>
            <w:vAlign w:val="bottom"/>
            <w:gridSpan w:val="2"/>
          </w:tcPr>
          <w:p>
            <w:pPr>
              <w:ind w:left="1360"/>
              <w:spacing w:after="0"/>
              <w:rPr>
                <w:sz w:val="20"/>
                <w:szCs w:val="20"/>
                <w:color w:val="auto"/>
              </w:rPr>
            </w:pPr>
            <w:r>
              <w:rPr>
                <w:rFonts w:ascii="Arial" w:cs="Arial" w:eastAsia="Arial" w:hAnsi="Arial"/>
                <w:sz w:val="12"/>
                <w:szCs w:val="12"/>
                <w:color w:val="auto"/>
              </w:rPr>
              <w:t>AppFolio, Inc.</w:t>
            </w:r>
          </w:p>
        </w:tc>
      </w:tr>
      <w:tr>
        <w:trPr>
          <w:trHeight w:val="621"/>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2240" w:type="dxa"/>
            <w:vAlign w:val="bottom"/>
          </w:tcPr>
          <w:p>
            <w:pPr>
              <w:ind w:left="220"/>
              <w:spacing w:after="0"/>
              <w:rPr>
                <w:sz w:val="20"/>
                <w:szCs w:val="20"/>
                <w:color w:val="auto"/>
              </w:rPr>
            </w:pPr>
            <w:r>
              <w:rPr>
                <w:rFonts w:ascii="Arial" w:cs="Arial" w:eastAsia="Arial" w:hAnsi="Arial"/>
                <w:sz w:val="12"/>
                <w:szCs w:val="12"/>
                <w:color w:val="auto"/>
              </w:rPr>
              <w:t>July 28, 2022</w:t>
            </w:r>
          </w:p>
        </w:tc>
        <w:tc>
          <w:tcPr>
            <w:tcW w:w="1920" w:type="dxa"/>
            <w:vAlign w:val="bottom"/>
          </w:tcPr>
          <w:p>
            <w:pPr>
              <w:ind w:left="1360"/>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Jason Randall</w:t>
            </w:r>
          </w:p>
        </w:tc>
      </w:tr>
      <w:tr>
        <w:trPr>
          <w:trHeight w:val="142"/>
        </w:trPr>
        <w:tc>
          <w:tcPr>
            <w:tcW w:w="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Jason Randall</w:t>
            </w:r>
          </w:p>
        </w:tc>
      </w:tr>
      <w:tr>
        <w:trPr>
          <w:trHeight w:val="153"/>
        </w:trPr>
        <w:tc>
          <w:tcPr>
            <w:tcW w:w="4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153"/>
        </w:trPr>
        <w:tc>
          <w:tcPr>
            <w:tcW w:w="4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(Principal Executive Officer)</w:t>
            </w:r>
          </w:p>
        </w:tc>
      </w:tr>
      <w:tr>
        <w:trPr>
          <w:trHeight w:val="468"/>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2240" w:type="dxa"/>
            <w:vAlign w:val="bottom"/>
          </w:tcPr>
          <w:p>
            <w:pPr>
              <w:ind w:left="220"/>
              <w:spacing w:after="0"/>
              <w:rPr>
                <w:sz w:val="20"/>
                <w:szCs w:val="20"/>
                <w:color w:val="auto"/>
              </w:rPr>
            </w:pPr>
            <w:r>
              <w:rPr>
                <w:rFonts w:ascii="Arial" w:cs="Arial" w:eastAsia="Arial" w:hAnsi="Arial"/>
                <w:sz w:val="12"/>
                <w:szCs w:val="12"/>
                <w:color w:val="auto"/>
              </w:rPr>
              <w:t>July 28, 2022</w:t>
            </w:r>
          </w:p>
        </w:tc>
        <w:tc>
          <w:tcPr>
            <w:tcW w:w="1920" w:type="dxa"/>
            <w:vAlign w:val="bottom"/>
          </w:tcPr>
          <w:p>
            <w:pPr>
              <w:ind w:left="1360"/>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Fay Sien Goon</w:t>
            </w:r>
          </w:p>
        </w:tc>
      </w:tr>
      <w:tr>
        <w:trPr>
          <w:trHeight w:val="142"/>
        </w:trPr>
        <w:tc>
          <w:tcPr>
            <w:tcW w:w="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Fay Sien Goon</w:t>
            </w:r>
          </w:p>
        </w:tc>
      </w:tr>
      <w:tr>
        <w:trPr>
          <w:trHeight w:val="153"/>
        </w:trPr>
        <w:tc>
          <w:tcPr>
            <w:tcW w:w="4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4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(Principal Financial and Accounting Officer)</w:t>
            </w:r>
          </w:p>
        </w:tc>
      </w:tr>
    </w:tbl>
    <w:p>
      <w:pPr>
        <w:sectPr>
          <w:pgSz w:w="11900" w:h="16838" w:orient="portrait"/>
          <w:cols w:equalWidth="0" w:num="1">
            <w:col w:w="10159"/>
          </w:cols>
          <w:pgMar w:left="300" w:top="167"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2"/>
          <w:szCs w:val="12"/>
          <w:b w:val="1"/>
          <w:bCs w:val="1"/>
          <w:color w:val="auto"/>
        </w:rPr>
        <w:t>EXHIBIT 10.1</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EMPLOYMENT AGREEMENT</w:t>
      </w:r>
    </w:p>
    <w:p>
      <w:pPr>
        <w:spacing w:after="0" w:line="190" w:lineRule="exact"/>
        <w:rPr>
          <w:sz w:val="20"/>
          <w:szCs w:val="20"/>
          <w:color w:val="auto"/>
        </w:rPr>
      </w:pPr>
    </w:p>
    <w:p>
      <w:pPr>
        <w:ind w:firstLine="432"/>
        <w:spacing w:after="0" w:line="252" w:lineRule="auto"/>
        <w:rPr>
          <w:sz w:val="20"/>
          <w:szCs w:val="20"/>
          <w:color w:val="auto"/>
        </w:rPr>
      </w:pPr>
      <w:r>
        <w:rPr>
          <w:rFonts w:ascii="Arial" w:cs="Arial" w:eastAsia="Arial" w:hAnsi="Arial"/>
          <w:sz w:val="14"/>
          <w:szCs w:val="14"/>
          <w:color w:val="auto"/>
        </w:rPr>
        <w:t xml:space="preserve">This </w:t>
      </w:r>
      <w:r>
        <w:rPr>
          <w:rFonts w:ascii="Arial" w:cs="Arial" w:eastAsia="Arial" w:hAnsi="Arial"/>
          <w:sz w:val="14"/>
          <w:szCs w:val="14"/>
          <w:b w:val="1"/>
          <w:bCs w:val="1"/>
          <w:color w:val="auto"/>
        </w:rPr>
        <w:t>EMPLOYMENT AGREEMENT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is entered into as of July 27, 2022, between AppFolio,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Jason Randall (“</w:t>
      </w:r>
      <w:r>
        <w:rPr>
          <w:rFonts w:ascii="Arial" w:cs="Arial" w:eastAsia="Arial" w:hAnsi="Arial"/>
          <w:sz w:val="14"/>
          <w:szCs w:val="14"/>
          <w:u w:val="single" w:color="auto"/>
          <w:color w:val="auto"/>
        </w:rPr>
        <w:t>Randall</w:t>
      </w:r>
      <w:r>
        <w:rPr>
          <w:rFonts w:ascii="Arial" w:cs="Arial" w:eastAsia="Arial" w:hAnsi="Arial"/>
          <w:sz w:val="14"/>
          <w:szCs w:val="14"/>
          <w:color w:val="auto"/>
        </w:rPr>
        <w:t>”).</w:t>
      </w:r>
    </w:p>
    <w:p>
      <w:pPr>
        <w:spacing w:after="0" w:line="94" w:lineRule="exact"/>
        <w:rPr>
          <w:sz w:val="20"/>
          <w:szCs w:val="20"/>
          <w:color w:val="auto"/>
        </w:rPr>
      </w:pPr>
    </w:p>
    <w:p>
      <w:pPr>
        <w:ind w:left="5000"/>
        <w:spacing w:after="0"/>
        <w:rPr>
          <w:sz w:val="20"/>
          <w:szCs w:val="20"/>
          <w:color w:val="auto"/>
        </w:rPr>
      </w:pPr>
      <w:r>
        <w:rPr>
          <w:rFonts w:ascii="Arial" w:cs="Arial" w:eastAsia="Arial" w:hAnsi="Arial"/>
          <w:sz w:val="14"/>
          <w:szCs w:val="14"/>
          <w:b w:val="1"/>
          <w:bCs w:val="1"/>
          <w:u w:val="single" w:color="auto"/>
          <w:color w:val="auto"/>
        </w:rPr>
        <w:t>W I T N E S S E T H</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and Randall desire to enter into this Agreement as to the terms of Randall’s employment with the Company.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the parties to this Agreement agree as follows:</w:t>
      </w:r>
    </w:p>
    <w:p>
      <w:pPr>
        <w:spacing w:after="0" w:line="127" w:lineRule="exact"/>
        <w:rPr>
          <w:sz w:val="20"/>
          <w:szCs w:val="20"/>
          <w:color w:val="auto"/>
        </w:rPr>
      </w:pPr>
    </w:p>
    <w:p>
      <w:pPr>
        <w:jc w:val="both"/>
        <w:ind w:firstLine="424"/>
        <w:spacing w:after="0" w:line="235" w:lineRule="auto"/>
        <w:tabs>
          <w:tab w:leader="none" w:pos="864"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Employment Term. </w:t>
      </w:r>
      <w:r>
        <w:rPr>
          <w:rFonts w:ascii="Arial" w:cs="Arial" w:eastAsia="Arial" w:hAnsi="Arial"/>
          <w:sz w:val="14"/>
          <w:szCs w:val="14"/>
          <w:color w:val="auto"/>
        </w:rPr>
        <w:t>The Company agrees to employ Randall pursuant to the terms of this Agreement, and Randall agrees to be so employed, commencing as of July 27, 2022 (the</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u w:val="single" w:color="auto"/>
          <w:color w:val="auto"/>
        </w:rPr>
        <w:t>Effective Date</w:t>
      </w:r>
      <w:r>
        <w:rPr>
          <w:rFonts w:ascii="Arial" w:cs="Arial" w:eastAsia="Arial" w:hAnsi="Arial"/>
          <w:sz w:val="14"/>
          <w:szCs w:val="14"/>
          <w:color w:val="auto"/>
        </w:rPr>
        <w:t xml:space="preserve">”). Randall’s employment may be terminated in accordance with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of this Agreement. The period of time between the Effective Date and the termination of Randall’s employment is the “</w:t>
      </w:r>
      <w:r>
        <w:rPr>
          <w:rFonts w:ascii="Arial" w:cs="Arial" w:eastAsia="Arial" w:hAnsi="Arial"/>
          <w:sz w:val="14"/>
          <w:szCs w:val="14"/>
          <w:u w:val="single" w:color="auto"/>
          <w:color w:val="auto"/>
        </w:rPr>
        <w:t>Employment Term</w:t>
      </w:r>
      <w:r>
        <w:rPr>
          <w:rFonts w:ascii="Arial" w:cs="Arial" w:eastAsia="Arial" w:hAnsi="Arial"/>
          <w:sz w:val="14"/>
          <w:szCs w:val="14"/>
          <w:color w:val="auto"/>
        </w:rPr>
        <w:t>.”</w:t>
      </w:r>
    </w:p>
    <w:p>
      <w:pPr>
        <w:spacing w:after="0" w:line="103" w:lineRule="exact"/>
        <w:rPr>
          <w:rFonts w:ascii="Arial" w:cs="Arial" w:eastAsia="Arial" w:hAnsi="Arial"/>
          <w:sz w:val="14"/>
          <w:szCs w:val="14"/>
          <w:b w:val="1"/>
          <w:bCs w:val="1"/>
          <w:color w:val="auto"/>
        </w:rPr>
      </w:pPr>
    </w:p>
    <w:p>
      <w:pPr>
        <w:ind w:left="860" w:hanging="436"/>
        <w:spacing w:after="0"/>
        <w:tabs>
          <w:tab w:leader="none" w:pos="86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Position and Duties.</w:t>
      </w:r>
    </w:p>
    <w:p>
      <w:pPr>
        <w:spacing w:after="0" w:line="59" w:lineRule="exact"/>
        <w:rPr>
          <w:rFonts w:ascii="Arial" w:cs="Arial" w:eastAsia="Arial" w:hAnsi="Arial"/>
          <w:sz w:val="14"/>
          <w:szCs w:val="14"/>
          <w:b w:val="1"/>
          <w:bCs w:val="1"/>
          <w:color w:val="auto"/>
        </w:rPr>
      </w:pPr>
    </w:p>
    <w:p>
      <w:pPr>
        <w:ind w:firstLine="856"/>
        <w:spacing w:after="0" w:line="246" w:lineRule="auto"/>
        <w:tabs>
          <w:tab w:leader="none" w:pos="1293" w:val="left"/>
        </w:tabs>
        <w:numPr>
          <w:ilvl w:val="1"/>
          <w:numId w:val="4"/>
        </w:numPr>
        <w:rPr>
          <w:rFonts w:ascii="Arial" w:cs="Arial" w:eastAsia="Arial" w:hAnsi="Arial"/>
          <w:sz w:val="14"/>
          <w:szCs w:val="14"/>
          <w:color w:val="auto"/>
        </w:rPr>
      </w:pPr>
      <w:r>
        <w:rPr>
          <w:rFonts w:ascii="Arial" w:cs="Arial" w:eastAsia="Arial" w:hAnsi="Arial"/>
          <w:sz w:val="14"/>
          <w:szCs w:val="14"/>
          <w:color w:val="auto"/>
        </w:rPr>
        <w:t>During the Employment Term, Randall will serve as the Chief Executive Officer of the Company, reporting to the Company’s Board of Directors. In this capacity, Randall will have the duties, authorities and responsibilities as are consistent with that position.</w:t>
      </w:r>
    </w:p>
    <w:p>
      <w:pPr>
        <w:spacing w:after="0" w:line="101" w:lineRule="exact"/>
        <w:rPr>
          <w:rFonts w:ascii="Arial" w:cs="Arial" w:eastAsia="Arial" w:hAnsi="Arial"/>
          <w:sz w:val="14"/>
          <w:szCs w:val="14"/>
          <w:color w:val="auto"/>
        </w:rPr>
      </w:pPr>
    </w:p>
    <w:p>
      <w:pPr>
        <w:jc w:val="both"/>
        <w:ind w:firstLine="856"/>
        <w:spacing w:after="0" w:line="226" w:lineRule="auto"/>
        <w:tabs>
          <w:tab w:leader="none" w:pos="1293" w:val="left"/>
        </w:tabs>
        <w:numPr>
          <w:ilvl w:val="1"/>
          <w:numId w:val="4"/>
        </w:numPr>
        <w:rPr>
          <w:rFonts w:ascii="Arial" w:cs="Arial" w:eastAsia="Arial" w:hAnsi="Arial"/>
          <w:sz w:val="14"/>
          <w:szCs w:val="14"/>
          <w:color w:val="auto"/>
        </w:rPr>
      </w:pPr>
      <w:r>
        <w:rPr>
          <w:rFonts w:ascii="Arial" w:cs="Arial" w:eastAsia="Arial" w:hAnsi="Arial"/>
          <w:sz w:val="14"/>
          <w:szCs w:val="14"/>
          <w:color w:val="auto"/>
        </w:rPr>
        <w:t xml:space="preserve">During the Employment Term, Randall shall devote all of his business time, energy, business judgment, knowledge and skill and his best efforts to the performance of his duties with the Company. Notwithstanding the foregoing, Randall may: (i) serve on boards of directors of non-profit organizations and, in a manner consistent with the Company’s applicable policies and procedures and practices, of other for-profit companies, (ii) participate in charitable, civic, educational, professional, community or industry affairs, (iii) manage Randall’s passive personal investments,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each case of clauses (i)-(iii), so long as such activities in the aggregate do not interfere or conflict with Randall’s duties under this Agreement or create a potential business or fiduciary conflict.</w:t>
      </w:r>
    </w:p>
    <w:p>
      <w:pPr>
        <w:spacing w:after="0" w:line="101" w:lineRule="exact"/>
        <w:rPr>
          <w:rFonts w:ascii="Arial" w:cs="Arial" w:eastAsia="Arial" w:hAnsi="Arial"/>
          <w:sz w:val="14"/>
          <w:szCs w:val="14"/>
          <w:color w:val="auto"/>
        </w:rPr>
      </w:pPr>
    </w:p>
    <w:p>
      <w:pPr>
        <w:ind w:left="860" w:hanging="436"/>
        <w:spacing w:after="0"/>
        <w:tabs>
          <w:tab w:leader="none" w:pos="86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Termination. </w:t>
      </w:r>
      <w:r>
        <w:rPr>
          <w:rFonts w:ascii="Arial" w:cs="Arial" w:eastAsia="Arial" w:hAnsi="Arial"/>
          <w:sz w:val="14"/>
          <w:szCs w:val="14"/>
          <w:color w:val="auto"/>
        </w:rPr>
        <w:t>Randall’s employment and the Employment Term shall terminate on the first of the following to occur:</w:t>
      </w:r>
    </w:p>
    <w:p>
      <w:pPr>
        <w:spacing w:after="0" w:line="55" w:lineRule="exact"/>
        <w:rPr>
          <w:rFonts w:ascii="Arial" w:cs="Arial" w:eastAsia="Arial" w:hAnsi="Arial"/>
          <w:sz w:val="14"/>
          <w:szCs w:val="14"/>
          <w:b w:val="1"/>
          <w:bCs w:val="1"/>
          <w:color w:val="auto"/>
        </w:rPr>
      </w:pPr>
    </w:p>
    <w:p>
      <w:pPr>
        <w:ind w:left="1280" w:hanging="424"/>
        <w:spacing w:after="0"/>
        <w:tabs>
          <w:tab w:leader="none" w:pos="1280" w:val="left"/>
        </w:tabs>
        <w:numPr>
          <w:ilvl w:val="1"/>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Cause. </w:t>
      </w:r>
      <w:r>
        <w:rPr>
          <w:rFonts w:ascii="Arial" w:cs="Arial" w:eastAsia="Arial" w:hAnsi="Arial"/>
          <w:sz w:val="14"/>
          <w:szCs w:val="14"/>
          <w:color w:val="auto"/>
        </w:rPr>
        <w:t>Immediately upon written notice by the Company to Randall of a termination for Cause.</w:t>
      </w:r>
    </w:p>
    <w:p>
      <w:pPr>
        <w:spacing w:after="0" w:line="127" w:lineRule="exact"/>
        <w:rPr>
          <w:rFonts w:ascii="Arial" w:cs="Arial" w:eastAsia="Arial" w:hAnsi="Arial"/>
          <w:sz w:val="14"/>
          <w:szCs w:val="14"/>
          <w:color w:val="auto"/>
        </w:rPr>
      </w:pPr>
    </w:p>
    <w:p>
      <w:pPr>
        <w:ind w:right="20" w:firstLine="856"/>
        <w:spacing w:after="0" w:line="252" w:lineRule="auto"/>
        <w:tabs>
          <w:tab w:leader="none" w:pos="1293" w:val="left"/>
        </w:tabs>
        <w:numPr>
          <w:ilvl w:val="1"/>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Without Good Reason. </w:t>
      </w:r>
      <w:r>
        <w:rPr>
          <w:rFonts w:ascii="Arial" w:cs="Arial" w:eastAsia="Arial" w:hAnsi="Arial"/>
          <w:sz w:val="14"/>
          <w:szCs w:val="14"/>
          <w:color w:val="auto"/>
        </w:rPr>
        <w:t>Upon thirty (30) days’ prior written notice by Randall to the Company of Randall’s voluntary termination of employment without Good Reason</w:t>
      </w:r>
      <w:r>
        <w:rPr>
          <w:rFonts w:ascii="Arial" w:cs="Arial" w:eastAsia="Arial" w:hAnsi="Arial"/>
          <w:sz w:val="14"/>
          <w:szCs w:val="14"/>
          <w:b w:val="1"/>
          <w:bCs w:val="1"/>
          <w:color w:val="auto"/>
        </w:rPr>
        <w:t xml:space="preserve"> </w:t>
      </w:r>
      <w:r>
        <w:rPr>
          <w:rFonts w:ascii="Arial" w:cs="Arial" w:eastAsia="Arial" w:hAnsi="Arial"/>
          <w:sz w:val="14"/>
          <w:szCs w:val="14"/>
          <w:color w:val="auto"/>
        </w:rPr>
        <w:t>(which the Company may, in its sole discretion, make effective earlier than any notice date).</w:t>
      </w:r>
    </w:p>
    <w:p>
      <w:pPr>
        <w:spacing w:after="0" w:line="93" w:lineRule="exact"/>
        <w:rPr>
          <w:rFonts w:ascii="Arial" w:cs="Arial" w:eastAsia="Arial" w:hAnsi="Arial"/>
          <w:sz w:val="14"/>
          <w:szCs w:val="14"/>
          <w:color w:val="auto"/>
        </w:rPr>
      </w:pPr>
    </w:p>
    <w:p>
      <w:pPr>
        <w:ind w:left="1280" w:hanging="424"/>
        <w:spacing w:after="0"/>
        <w:tabs>
          <w:tab w:leader="none" w:pos="1280" w:val="left"/>
        </w:tabs>
        <w:numPr>
          <w:ilvl w:val="1"/>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Without Cause. </w:t>
      </w:r>
      <w:r>
        <w:rPr>
          <w:rFonts w:ascii="Arial" w:cs="Arial" w:eastAsia="Arial" w:hAnsi="Arial"/>
          <w:sz w:val="14"/>
          <w:szCs w:val="14"/>
          <w:color w:val="auto"/>
        </w:rPr>
        <w:t>Immediately upon written notice by the Company to Randall of an involuntary termination without Cause (other than for death or Disability).</w:t>
      </w:r>
    </w:p>
    <w:p>
      <w:pPr>
        <w:spacing w:after="0" w:line="127" w:lineRule="exact"/>
        <w:rPr>
          <w:rFonts w:ascii="Arial" w:cs="Arial" w:eastAsia="Arial" w:hAnsi="Arial"/>
          <w:sz w:val="14"/>
          <w:szCs w:val="14"/>
          <w:color w:val="auto"/>
        </w:rPr>
      </w:pPr>
    </w:p>
    <w:p>
      <w:pPr>
        <w:ind w:left="1280" w:hanging="424"/>
        <w:spacing w:after="0"/>
        <w:tabs>
          <w:tab w:leader="none" w:pos="1280" w:val="left"/>
        </w:tabs>
        <w:numPr>
          <w:ilvl w:val="1"/>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Good Reason. </w:t>
      </w:r>
      <w:r>
        <w:rPr>
          <w:rFonts w:ascii="Arial" w:cs="Arial" w:eastAsia="Arial" w:hAnsi="Arial"/>
          <w:sz w:val="14"/>
          <w:szCs w:val="14"/>
          <w:color w:val="auto"/>
        </w:rPr>
        <w:t>Upon written notice by the Randall to the Company of a termination for Good Reason.</w:t>
      </w:r>
    </w:p>
    <w:p>
      <w:pPr>
        <w:spacing w:after="0" w:line="127" w:lineRule="exact"/>
        <w:rPr>
          <w:rFonts w:ascii="Arial" w:cs="Arial" w:eastAsia="Arial" w:hAnsi="Arial"/>
          <w:sz w:val="14"/>
          <w:szCs w:val="14"/>
          <w:color w:val="auto"/>
        </w:rPr>
      </w:pPr>
    </w:p>
    <w:p>
      <w:pPr>
        <w:ind w:left="1280" w:hanging="424"/>
        <w:spacing w:after="0"/>
        <w:tabs>
          <w:tab w:leader="none" w:pos="1280" w:val="left"/>
        </w:tabs>
        <w:numPr>
          <w:ilvl w:val="1"/>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Death. </w:t>
      </w:r>
      <w:r>
        <w:rPr>
          <w:rFonts w:ascii="Arial" w:cs="Arial" w:eastAsia="Arial" w:hAnsi="Arial"/>
          <w:sz w:val="14"/>
          <w:szCs w:val="14"/>
          <w:color w:val="auto"/>
        </w:rPr>
        <w:t>Automatically upon the date of death of Randall.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00"/>
          </w:cols>
          <w:pgMar w:left="300" w:top="953" w:right="299" w:bottom="1440" w:gutter="0" w:footer="0" w:header="0"/>
        </w:sectPr>
      </w:pPr>
    </w:p>
    <w:bookmarkStart w:id="31" w:name="page32"/>
    <w:bookmarkEnd w:id="31"/>
    <w:p>
      <w:pPr>
        <w:ind w:firstLine="856"/>
        <w:spacing w:after="0" w:line="252" w:lineRule="auto"/>
        <w:tabs>
          <w:tab w:leader="none" w:pos="1293" w:val="left"/>
        </w:tabs>
        <w:numPr>
          <w:ilvl w:val="1"/>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Disability. </w:t>
      </w:r>
      <w:r>
        <w:rPr>
          <w:rFonts w:ascii="Arial" w:cs="Arial" w:eastAsia="Arial" w:hAnsi="Arial"/>
          <w:sz w:val="14"/>
          <w:szCs w:val="14"/>
          <w:color w:val="auto"/>
        </w:rPr>
        <w:t>Immediately upon written notice by the Company to Randall of termination due to Disability (capitalized terms in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w:t>
      </w:r>
      <w:r>
        <w:rPr>
          <w:rFonts w:ascii="Arial" w:cs="Arial" w:eastAsia="Arial" w:hAnsi="Arial"/>
          <w:sz w:val="14"/>
          <w:szCs w:val="14"/>
          <w:b w:val="1"/>
          <w:bCs w:val="1"/>
          <w:color w:val="auto"/>
        </w:rPr>
        <w:t xml:space="preserve"> </w:t>
      </w:r>
      <w:r>
        <w:rPr>
          <w:rFonts w:ascii="Arial" w:cs="Arial" w:eastAsia="Arial" w:hAnsi="Arial"/>
          <w:sz w:val="14"/>
          <w:szCs w:val="14"/>
          <w:color w:val="auto"/>
        </w:rPr>
        <w:t>that have not been previously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defined in this Agreement are defined in </w:t>
      </w:r>
      <w:r>
        <w:rPr>
          <w:rFonts w:ascii="Arial" w:cs="Arial" w:eastAsia="Arial" w:hAnsi="Arial"/>
          <w:sz w:val="14"/>
          <w:szCs w:val="14"/>
          <w:u w:val="single" w:color="auto"/>
          <w:color w:val="auto"/>
        </w:rPr>
        <w:t>Section 11</w:t>
      </w:r>
      <w:r>
        <w:rPr>
          <w:rFonts w:ascii="Arial" w:cs="Arial" w:eastAsia="Arial" w:hAnsi="Arial"/>
          <w:sz w:val="14"/>
          <w:szCs w:val="14"/>
          <w:color w:val="auto"/>
        </w:rPr>
        <w:t xml:space="preserve"> below).</w:t>
      </w:r>
    </w:p>
    <w:p>
      <w:pPr>
        <w:spacing w:after="0" w:line="93" w:lineRule="exact"/>
        <w:rPr>
          <w:rFonts w:ascii="Arial" w:cs="Arial" w:eastAsia="Arial" w:hAnsi="Arial"/>
          <w:sz w:val="14"/>
          <w:szCs w:val="14"/>
          <w:color w:val="auto"/>
        </w:rPr>
      </w:pPr>
    </w:p>
    <w:p>
      <w:pPr>
        <w:ind w:right="20" w:firstLine="424"/>
        <w:spacing w:after="0" w:line="252" w:lineRule="auto"/>
        <w:tabs>
          <w:tab w:leader="none" w:pos="864"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color w:val="auto"/>
        </w:rPr>
        <w:t>During the Employment Term, the Company will pay Randall a base salary (the “</w:t>
      </w:r>
      <w:r>
        <w:rPr>
          <w:rFonts w:ascii="Arial" w:cs="Arial" w:eastAsia="Arial" w:hAnsi="Arial"/>
          <w:sz w:val="14"/>
          <w:szCs w:val="14"/>
          <w:u w:val="single" w:color="auto"/>
          <w:color w:val="auto"/>
        </w:rPr>
        <w:t>Base Salary</w:t>
      </w:r>
      <w:r>
        <w:rPr>
          <w:rFonts w:ascii="Arial" w:cs="Arial" w:eastAsia="Arial" w:hAnsi="Arial"/>
          <w:sz w:val="14"/>
          <w:szCs w:val="14"/>
          <w:color w:val="auto"/>
        </w:rPr>
        <w:t>”) at an annual rate of $500,000 in accordance with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regular payroll practices. The Base Salary is subject to annual review by the Company’s Board of Directors (the “</w:t>
      </w:r>
      <w:r>
        <w:rPr>
          <w:rFonts w:ascii="Arial" w:cs="Arial" w:eastAsia="Arial" w:hAnsi="Arial"/>
          <w:sz w:val="14"/>
          <w:szCs w:val="14"/>
          <w:u w:val="single" w:color="auto"/>
          <w:color w:val="auto"/>
        </w:rPr>
        <w:t>Board</w:t>
      </w:r>
      <w:r>
        <w:rPr>
          <w:rFonts w:ascii="Arial" w:cs="Arial" w:eastAsia="Arial" w:hAnsi="Arial"/>
          <w:sz w:val="14"/>
          <w:szCs w:val="14"/>
          <w:color w:val="auto"/>
        </w:rPr>
        <w:t>”).</w:t>
      </w:r>
    </w:p>
    <w:p>
      <w:pPr>
        <w:spacing w:after="0" w:line="93" w:lineRule="exact"/>
        <w:rPr>
          <w:rFonts w:ascii="Arial" w:cs="Arial" w:eastAsia="Arial" w:hAnsi="Arial"/>
          <w:sz w:val="14"/>
          <w:szCs w:val="14"/>
          <w:b w:val="1"/>
          <w:bCs w:val="1"/>
          <w:color w:val="auto"/>
        </w:rPr>
      </w:pPr>
    </w:p>
    <w:p>
      <w:pPr>
        <w:jc w:val="both"/>
        <w:ind w:firstLine="424"/>
        <w:spacing w:after="0" w:line="230" w:lineRule="auto"/>
        <w:tabs>
          <w:tab w:leader="none" w:pos="864"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Corporate Bonus Program. </w:t>
      </w:r>
      <w:r>
        <w:rPr>
          <w:rFonts w:ascii="Arial" w:cs="Arial" w:eastAsia="Arial" w:hAnsi="Arial"/>
          <w:sz w:val="14"/>
          <w:szCs w:val="14"/>
          <w:color w:val="auto"/>
        </w:rPr>
        <w:t>For each fiscal year of the Company completed during the Employment Term, Randall will be eligible to earn an annual bonus (each annual bonus, an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“Annual Bonus”) under the Company’s Corporate Bonus Program. The Annual Bonus is subject to the Board’s approval and Randall’s execution of the applicable participation agreement under the Corporate Bonus Program. For fiscal year 2022, Randall will be eligible for an Annual Bonus of $500,000 at target (subject to a possible increase or decrease relative to certain performance metrics). In each case, the Annual Bonus will be subject to the terms and conditions of this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and the applicable plan documents.</w:t>
      </w:r>
    </w:p>
    <w:p>
      <w:pPr>
        <w:spacing w:after="0" w:line="102" w:lineRule="exact"/>
        <w:rPr>
          <w:rFonts w:ascii="Arial" w:cs="Arial" w:eastAsia="Arial" w:hAnsi="Arial"/>
          <w:sz w:val="14"/>
          <w:szCs w:val="14"/>
          <w:b w:val="1"/>
          <w:bCs w:val="1"/>
          <w:color w:val="auto"/>
        </w:rPr>
      </w:pPr>
    </w:p>
    <w:p>
      <w:pPr>
        <w:ind w:right="20" w:firstLine="424"/>
        <w:spacing w:after="0" w:line="290" w:lineRule="auto"/>
        <w:tabs>
          <w:tab w:leader="none" w:pos="864"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Long-Term Cash Incentive</w:t>
      </w:r>
      <w:r>
        <w:rPr>
          <w:rFonts w:ascii="Arial" w:cs="Arial" w:eastAsia="Arial" w:hAnsi="Arial"/>
          <w:sz w:val="13"/>
          <w:szCs w:val="13"/>
          <w:color w:val="auto"/>
        </w:rPr>
        <w:t>. Randall is eligible for cash bonus opportunities under the Long-Term Cash Incentive Plan and its Exhibits, (the “</w:t>
      </w:r>
      <w:r>
        <w:rPr>
          <w:rFonts w:ascii="Arial" w:cs="Arial" w:eastAsia="Arial" w:hAnsi="Arial"/>
          <w:sz w:val="13"/>
          <w:szCs w:val="13"/>
          <w:u w:val="single" w:color="auto"/>
          <w:color w:val="auto"/>
        </w:rPr>
        <w:t>Incentive Plan</w:t>
      </w:r>
      <w:r>
        <w:rPr>
          <w:rFonts w:ascii="Arial" w:cs="Arial" w:eastAsia="Arial" w:hAnsi="Arial"/>
          <w:sz w:val="13"/>
          <w:szCs w:val="13"/>
          <w:color w:val="auto"/>
        </w:rPr>
        <w:t>”) adopted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AppFolio Board of Directors on February 20, 2018, and the Long-Term Cash Incentive Award Offer of the same date (the “Incentive Offer”), subject to the following additional terms:</w:t>
      </w:r>
    </w:p>
    <w:p>
      <w:pPr>
        <w:spacing w:after="0" w:line="2" w:lineRule="exact"/>
        <w:rPr>
          <w:rFonts w:ascii="Arial" w:cs="Arial" w:eastAsia="Arial" w:hAnsi="Arial"/>
          <w:sz w:val="13"/>
          <w:szCs w:val="13"/>
          <w:b w:val="1"/>
          <w:bCs w:val="1"/>
          <w:color w:val="auto"/>
        </w:rPr>
      </w:pPr>
    </w:p>
    <w:p>
      <w:pPr>
        <w:ind w:firstLine="856"/>
        <w:spacing w:after="0" w:line="283" w:lineRule="auto"/>
        <w:tabs>
          <w:tab w:leader="none" w:pos="1293" w:val="left"/>
        </w:tabs>
        <w:numPr>
          <w:ilvl w:val="1"/>
          <w:numId w:val="7"/>
        </w:numPr>
        <w:rPr>
          <w:rFonts w:ascii="Arial" w:cs="Arial" w:eastAsia="Arial" w:hAnsi="Arial"/>
          <w:sz w:val="13"/>
          <w:szCs w:val="13"/>
          <w:color w:val="auto"/>
        </w:rPr>
      </w:pPr>
      <w:r>
        <w:rPr>
          <w:rFonts w:ascii="Arial" w:cs="Arial" w:eastAsia="Arial" w:hAnsi="Arial"/>
          <w:sz w:val="13"/>
          <w:szCs w:val="13"/>
          <w:color w:val="auto"/>
        </w:rPr>
        <w:t xml:space="preserve">The Payout Formula (as defined in the Incentive Plan) for Randall will be as set forth in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of the Incentive Plan, but the payout percentage will be as follows: .5% for an annual Internal Rate of Return (“IRR”) at 10% and below 15%; 1% (one percent) for IRR at 15% and below 20%; 1.5% for IRR at 20% and below 25%; and at 2.5% for IRR at 25% or above.</w:t>
      </w:r>
    </w:p>
    <w:p>
      <w:pPr>
        <w:spacing w:after="0" w:line="79" w:lineRule="exact"/>
        <w:rPr>
          <w:rFonts w:ascii="Arial" w:cs="Arial" w:eastAsia="Arial" w:hAnsi="Arial"/>
          <w:sz w:val="13"/>
          <w:szCs w:val="13"/>
          <w:color w:val="auto"/>
        </w:rPr>
      </w:pPr>
    </w:p>
    <w:p>
      <w:pPr>
        <w:ind w:firstLine="856"/>
        <w:spacing w:after="0" w:line="246" w:lineRule="auto"/>
        <w:tabs>
          <w:tab w:leader="none" w:pos="1293" w:val="left"/>
        </w:tabs>
        <w:numPr>
          <w:ilvl w:val="1"/>
          <w:numId w:val="7"/>
        </w:numPr>
        <w:rPr>
          <w:rFonts w:ascii="Arial" w:cs="Arial" w:eastAsia="Arial" w:hAnsi="Arial"/>
          <w:sz w:val="14"/>
          <w:szCs w:val="14"/>
          <w:color w:val="auto"/>
        </w:rPr>
      </w:pPr>
      <w:r>
        <w:rPr>
          <w:rFonts w:ascii="Arial" w:cs="Arial" w:eastAsia="Arial" w:hAnsi="Arial"/>
          <w:sz w:val="14"/>
          <w:szCs w:val="14"/>
          <w:color w:val="auto"/>
        </w:rPr>
        <w:t>In the event of voluntary resignation or termination of employment by the Company with Cause whenever such resignation or termination occurs during the calendar year, Randall will receive no payment from the Company other than what it may have already paid to him which he shall retain.</w:t>
      </w:r>
    </w:p>
    <w:p>
      <w:pPr>
        <w:spacing w:after="0" w:line="101" w:lineRule="exact"/>
        <w:rPr>
          <w:rFonts w:ascii="Arial" w:cs="Arial" w:eastAsia="Arial" w:hAnsi="Arial"/>
          <w:sz w:val="14"/>
          <w:szCs w:val="14"/>
          <w:color w:val="auto"/>
        </w:rPr>
      </w:pPr>
    </w:p>
    <w:p>
      <w:pPr>
        <w:jc w:val="both"/>
        <w:ind w:firstLine="856"/>
        <w:spacing w:after="0" w:line="235" w:lineRule="auto"/>
        <w:tabs>
          <w:tab w:leader="none" w:pos="1293" w:val="left"/>
        </w:tabs>
        <w:numPr>
          <w:ilvl w:val="1"/>
          <w:numId w:val="7"/>
        </w:numPr>
        <w:rPr>
          <w:rFonts w:ascii="Arial" w:cs="Arial" w:eastAsia="Arial" w:hAnsi="Arial"/>
          <w:sz w:val="13"/>
          <w:szCs w:val="13"/>
          <w:color w:val="auto"/>
        </w:rPr>
      </w:pPr>
      <w:r>
        <w:rPr>
          <w:rFonts w:ascii="Arial" w:cs="Arial" w:eastAsia="Arial" w:hAnsi="Arial"/>
          <w:sz w:val="13"/>
          <w:szCs w:val="13"/>
          <w:color w:val="auto"/>
        </w:rPr>
        <w:t>In the event of termination of employment by the Company without Cause or by Randall for Good Reason occurring during the calendar year 2022 the Company will pay Randall the sum of $5,000,000; and if such a termination occurs during calendar years 2023, 2024 or 2025, the Company will pay Randall a pro-rated amount, based on the number of full months Randall worked between January 1, 2018 and the date of the event, to be paid if and when such amounts are earned under the Payout Formula, in each case subject to Randall’s continued compliance with Sections 9 and 10 of this Agreement. (For illustration, if such termination or resignation occurs on July 10, 2024, Randall would be entitled to 78 months over 96 months which is</w:t>
      </w:r>
    </w:p>
    <w:p>
      <w:pPr>
        <w:spacing w:after="0" w:line="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.8125 of the 2024 and 2025 payments, if and to the extent the thresholds for those payments are met.)</w:t>
      </w:r>
    </w:p>
    <w:p>
      <w:pPr>
        <w:spacing w:after="0" w:line="115" w:lineRule="exact"/>
        <w:rPr>
          <w:rFonts w:ascii="Arial" w:cs="Arial" w:eastAsia="Arial" w:hAnsi="Arial"/>
          <w:sz w:val="13"/>
          <w:szCs w:val="13"/>
          <w:color w:val="auto"/>
        </w:rPr>
      </w:pPr>
    </w:p>
    <w:p>
      <w:pPr>
        <w:jc w:val="both"/>
        <w:ind w:firstLine="856"/>
        <w:spacing w:after="0" w:line="228" w:lineRule="auto"/>
        <w:tabs>
          <w:tab w:leader="none" w:pos="1293" w:val="left"/>
        </w:tabs>
        <w:numPr>
          <w:ilvl w:val="1"/>
          <w:numId w:val="7"/>
        </w:numPr>
        <w:rPr>
          <w:rFonts w:ascii="Arial" w:cs="Arial" w:eastAsia="Arial" w:hAnsi="Arial"/>
          <w:sz w:val="14"/>
          <w:szCs w:val="14"/>
          <w:color w:val="auto"/>
        </w:rPr>
      </w:pPr>
      <w:r>
        <w:rPr>
          <w:rFonts w:ascii="Arial" w:cs="Arial" w:eastAsia="Arial" w:hAnsi="Arial"/>
          <w:sz w:val="14"/>
          <w:szCs w:val="14"/>
          <w:color w:val="auto"/>
        </w:rPr>
        <w:t>In the event of termination of employment other than for Cause or Randall’s resignation with Good Reason, in each case within 12 months of a Change of Control (as that term is defined in the Incentive Plan), the Company will pay Randall $5,000,000 if such termination or resignation occurs in 2022, and if such termination or resignation occurs in 2023, 2024 or 2025, Randall would be entitled to payment of the pro-rated amount as set forth in subsection (c) above, in each case subject to Randall’s continued compliance with Sections 9 and 10 of this Agreement.</w:t>
      </w:r>
    </w:p>
    <w:p>
      <w:pPr>
        <w:spacing w:after="0" w:line="108" w:lineRule="exact"/>
        <w:rPr>
          <w:rFonts w:ascii="Arial" w:cs="Arial" w:eastAsia="Arial" w:hAnsi="Arial"/>
          <w:sz w:val="14"/>
          <w:szCs w:val="14"/>
          <w:color w:val="auto"/>
        </w:rPr>
      </w:pPr>
    </w:p>
    <w:p>
      <w:pPr>
        <w:ind w:right="20" w:firstLine="856"/>
        <w:spacing w:after="0" w:line="246" w:lineRule="auto"/>
        <w:tabs>
          <w:tab w:leader="none" w:pos="1293" w:val="left"/>
        </w:tabs>
        <w:numPr>
          <w:ilvl w:val="1"/>
          <w:numId w:val="7"/>
        </w:numPr>
        <w:rPr>
          <w:rFonts w:ascii="Arial" w:cs="Arial" w:eastAsia="Arial" w:hAnsi="Arial"/>
          <w:sz w:val="14"/>
          <w:szCs w:val="14"/>
          <w:color w:val="auto"/>
        </w:rPr>
      </w:pPr>
      <w:r>
        <w:rPr>
          <w:rFonts w:ascii="Arial" w:cs="Arial" w:eastAsia="Arial" w:hAnsi="Arial"/>
          <w:sz w:val="14"/>
          <w:szCs w:val="14"/>
          <w:color w:val="auto"/>
        </w:rPr>
        <w:t>In the event of termination of employment as a result of Randall’s death or Disability occurring in 2022 the Company will pay Randall or his estate $5,000,000 and for such a termination occurring in 2023, 2024 or 2025 the Company will pay Randall or his estate the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940" w:right="299" w:bottom="1440" w:gutter="0" w:footer="0" w:header="0"/>
        </w:sectPr>
      </w:pPr>
    </w:p>
    <w:bookmarkStart w:id="32" w:name="page33"/>
    <w:bookmarkEnd w:id="32"/>
    <w:p>
      <w:pPr>
        <w:jc w:val="both"/>
        <w:spacing w:after="0" w:line="248" w:lineRule="auto"/>
        <w:rPr>
          <w:sz w:val="20"/>
          <w:szCs w:val="20"/>
          <w:color w:val="auto"/>
        </w:rPr>
      </w:pPr>
      <w:r>
        <w:rPr>
          <w:rFonts w:ascii="Arial" w:cs="Arial" w:eastAsia="Arial" w:hAnsi="Arial"/>
          <w:sz w:val="13"/>
          <w:szCs w:val="13"/>
          <w:color w:val="auto"/>
        </w:rPr>
        <w:t>greater of $5,000,000 or the pro-rated amount set forth in (c) above; provided, however, for purposes of that pro-rated payment 12 months will be added to his time of service at his death. For a termination for Disability, 12 months will be added to his time of service but it shall be measured from the first date Randall is continuously unable to work as a result of that disability. (For example, if Randall’s employment terminated as a result of death on July 10, 2023, or for Disability that began on that date, his estate would be entitled to 78 months over 96 months or .8125 of the 2024 and 2025 payments if, and to the extent, the thresholds are met, less any amount already paid in previous years; or $5,000,000, whichever is greater.)</w:t>
      </w:r>
    </w:p>
    <w:p>
      <w:pPr>
        <w:spacing w:after="0" w:line="98" w:lineRule="exact"/>
        <w:rPr>
          <w:sz w:val="20"/>
          <w:szCs w:val="20"/>
          <w:color w:val="auto"/>
        </w:rPr>
      </w:pPr>
    </w:p>
    <w:p>
      <w:pPr>
        <w:ind w:left="860" w:hanging="436"/>
        <w:spacing w:after="0"/>
        <w:tabs>
          <w:tab w:leader="none" w:pos="86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Employee Benefits.</w:t>
      </w:r>
    </w:p>
    <w:p>
      <w:pPr>
        <w:spacing w:after="0" w:line="55" w:lineRule="exact"/>
        <w:rPr>
          <w:rFonts w:ascii="Arial" w:cs="Arial" w:eastAsia="Arial" w:hAnsi="Arial"/>
          <w:sz w:val="14"/>
          <w:szCs w:val="14"/>
          <w:b w:val="1"/>
          <w:bCs w:val="1"/>
          <w:color w:val="auto"/>
        </w:rPr>
      </w:pPr>
    </w:p>
    <w:p>
      <w:pPr>
        <w:jc w:val="both"/>
        <w:ind w:firstLine="856"/>
        <w:spacing w:after="0" w:line="230" w:lineRule="auto"/>
        <w:tabs>
          <w:tab w:leader="none" w:pos="1293" w:val="left"/>
        </w:tabs>
        <w:numPr>
          <w:ilvl w:val="1"/>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Benefit Plans; Vacation. </w:t>
      </w:r>
      <w:r>
        <w:rPr>
          <w:rFonts w:ascii="Arial" w:cs="Arial" w:eastAsia="Arial" w:hAnsi="Arial"/>
          <w:sz w:val="14"/>
          <w:szCs w:val="14"/>
          <w:color w:val="auto"/>
        </w:rPr>
        <w:t>During the Employment Term, Randall will be eligible to participate in any employee benefit plan adopted by the Company for the benefit of its</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employees, subject to satisfying the applicable eligibility requirements, except to the extent such plans are duplicative of the benefits otherwise provided under this Agreement. Randall shall be entitled to the same vacation policy for executive employees of the Company as in effect from time to time. Notwithstanding the foregoing, the Company may modify or terminate any employee benefit plan at any time.</w:t>
      </w:r>
    </w:p>
    <w:p>
      <w:pPr>
        <w:spacing w:after="0" w:line="102" w:lineRule="exact"/>
        <w:rPr>
          <w:rFonts w:ascii="Arial" w:cs="Arial" w:eastAsia="Arial" w:hAnsi="Arial"/>
          <w:sz w:val="14"/>
          <w:szCs w:val="14"/>
          <w:color w:val="auto"/>
        </w:rPr>
      </w:pPr>
    </w:p>
    <w:p>
      <w:pPr>
        <w:ind w:firstLine="856"/>
        <w:spacing w:after="0" w:line="252" w:lineRule="auto"/>
        <w:tabs>
          <w:tab w:leader="none" w:pos="1293" w:val="left"/>
        </w:tabs>
        <w:numPr>
          <w:ilvl w:val="1"/>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Business Expenses. </w:t>
      </w:r>
      <w:r>
        <w:rPr>
          <w:rFonts w:ascii="Arial" w:cs="Arial" w:eastAsia="Arial" w:hAnsi="Arial"/>
          <w:sz w:val="14"/>
          <w:szCs w:val="14"/>
          <w:color w:val="auto"/>
        </w:rPr>
        <w:t>The Company will reimburse Randall for all reasonable and necessary out-of-pocket business expenses incurred in connection with the performance of</w:t>
      </w:r>
      <w:r>
        <w:rPr>
          <w:rFonts w:ascii="Arial" w:cs="Arial" w:eastAsia="Arial" w:hAnsi="Arial"/>
          <w:sz w:val="14"/>
          <w:szCs w:val="14"/>
          <w:b w:val="1"/>
          <w:bCs w:val="1"/>
          <w:color w:val="auto"/>
        </w:rPr>
        <w:t xml:space="preserve"> </w:t>
      </w:r>
      <w:r>
        <w:rPr>
          <w:rFonts w:ascii="Arial" w:cs="Arial" w:eastAsia="Arial" w:hAnsi="Arial"/>
          <w:sz w:val="14"/>
          <w:szCs w:val="14"/>
          <w:color w:val="auto"/>
        </w:rPr>
        <w:t>Randall’s duties under this Agreement, in accordance with the Company’s expense reimbursement policy.</w:t>
      </w:r>
    </w:p>
    <w:p>
      <w:pPr>
        <w:spacing w:after="0" w:line="93" w:lineRule="exact"/>
        <w:rPr>
          <w:rFonts w:ascii="Arial" w:cs="Arial" w:eastAsia="Arial" w:hAnsi="Arial"/>
          <w:sz w:val="14"/>
          <w:szCs w:val="14"/>
          <w:color w:val="auto"/>
        </w:rPr>
      </w:pPr>
    </w:p>
    <w:p>
      <w:pPr>
        <w:ind w:left="840" w:hanging="424"/>
        <w:spacing w:after="0"/>
        <w:tabs>
          <w:tab w:leader="none" w:pos="8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Other Benefits On Termination.</w:t>
      </w:r>
    </w:p>
    <w:p>
      <w:pPr>
        <w:spacing w:after="0" w:line="55" w:lineRule="exact"/>
        <w:rPr>
          <w:sz w:val="20"/>
          <w:szCs w:val="20"/>
          <w:color w:val="auto"/>
        </w:rPr>
      </w:pPr>
    </w:p>
    <w:p>
      <w:pPr>
        <w:ind w:right="20" w:firstLine="856"/>
        <w:spacing w:after="0" w:line="252" w:lineRule="auto"/>
        <w:tabs>
          <w:tab w:leader="none" w:pos="1294"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Termination For Cause Or Voluntary Termination By Randall. </w:t>
      </w:r>
      <w:r>
        <w:rPr>
          <w:rFonts w:ascii="Arial" w:cs="Arial" w:eastAsia="Arial" w:hAnsi="Arial"/>
          <w:sz w:val="14"/>
          <w:szCs w:val="14"/>
          <w:color w:val="auto"/>
        </w:rPr>
        <w:t>If Randall’s employment is terminated: (x) by the Company for Cause, or (y) by Randall other than by</w:t>
      </w:r>
      <w:r>
        <w:rPr>
          <w:rFonts w:ascii="Arial" w:cs="Arial" w:eastAsia="Arial" w:hAnsi="Arial"/>
          <w:sz w:val="14"/>
          <w:szCs w:val="14"/>
          <w:b w:val="1"/>
          <w:bCs w:val="1"/>
          <w:color w:val="auto"/>
        </w:rPr>
        <w:t xml:space="preserve"> </w:t>
      </w:r>
      <w:r>
        <w:rPr>
          <w:rFonts w:ascii="Arial" w:cs="Arial" w:eastAsia="Arial" w:hAnsi="Arial"/>
          <w:sz w:val="14"/>
          <w:szCs w:val="14"/>
          <w:color w:val="auto"/>
        </w:rPr>
        <w:t>reason of death, Disability or resignation for Good Reason, then the Company shall pay to Randall the Accrued Benefits.</w:t>
      </w:r>
    </w:p>
    <w:p>
      <w:pPr>
        <w:spacing w:after="0" w:line="93" w:lineRule="exact"/>
        <w:rPr>
          <w:rFonts w:ascii="Arial" w:cs="Arial" w:eastAsia="Arial" w:hAnsi="Arial"/>
          <w:sz w:val="14"/>
          <w:szCs w:val="14"/>
          <w:color w:val="auto"/>
        </w:rPr>
      </w:pPr>
    </w:p>
    <w:p>
      <w:pPr>
        <w:ind w:right="20" w:firstLine="856"/>
        <w:spacing w:after="0" w:line="252" w:lineRule="auto"/>
        <w:tabs>
          <w:tab w:leader="none" w:pos="1293"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Termination Without Cause or Resignation for Good Reason. </w:t>
      </w:r>
      <w:r>
        <w:rPr>
          <w:rFonts w:ascii="Arial" w:cs="Arial" w:eastAsia="Arial" w:hAnsi="Arial"/>
          <w:sz w:val="14"/>
          <w:szCs w:val="14"/>
          <w:color w:val="auto"/>
        </w:rPr>
        <w:t>If Randall’s employment by the Company is terminated by the Company other than for Cause or Randall</w:t>
      </w:r>
      <w:r>
        <w:rPr>
          <w:rFonts w:ascii="Arial" w:cs="Arial" w:eastAsia="Arial" w:hAnsi="Arial"/>
          <w:sz w:val="14"/>
          <w:szCs w:val="14"/>
          <w:b w:val="1"/>
          <w:bCs w:val="1"/>
          <w:color w:val="auto"/>
        </w:rPr>
        <w:t xml:space="preserve"> </w:t>
      </w:r>
      <w:r>
        <w:rPr>
          <w:rFonts w:ascii="Arial" w:cs="Arial" w:eastAsia="Arial" w:hAnsi="Arial"/>
          <w:sz w:val="14"/>
          <w:szCs w:val="14"/>
          <w:color w:val="auto"/>
        </w:rPr>
        <w:t>resigns for Good Reason, the Company shall pay or provide Randall with the following:</w:t>
      </w:r>
    </w:p>
    <w:p>
      <w:pPr>
        <w:spacing w:after="0" w:line="25" w:lineRule="exact"/>
        <w:rPr>
          <w:rFonts w:ascii="Arial" w:cs="Arial" w:eastAsia="Arial" w:hAnsi="Arial"/>
          <w:sz w:val="14"/>
          <w:szCs w:val="14"/>
          <w:color w:val="auto"/>
        </w:rPr>
      </w:pPr>
    </w:p>
    <w:p>
      <w:pPr>
        <w:ind w:left="1660" w:hanging="372"/>
        <w:spacing w:after="0"/>
        <w:tabs>
          <w:tab w:leader="none" w:pos="1660" w:val="left"/>
        </w:tabs>
        <w:numPr>
          <w:ilvl w:val="1"/>
          <w:numId w:val="9"/>
        </w:numPr>
        <w:rPr>
          <w:rFonts w:ascii="Arial" w:cs="Arial" w:eastAsia="Arial" w:hAnsi="Arial"/>
          <w:sz w:val="14"/>
          <w:szCs w:val="14"/>
          <w:color w:val="auto"/>
        </w:rPr>
      </w:pPr>
      <w:r>
        <w:rPr>
          <w:rFonts w:ascii="Arial" w:cs="Arial" w:eastAsia="Arial" w:hAnsi="Arial"/>
          <w:sz w:val="14"/>
          <w:szCs w:val="14"/>
          <w:color w:val="auto"/>
        </w:rPr>
        <w:t>the Accrued Benefits; and</w:t>
      </w:r>
    </w:p>
    <w:p>
      <w:pPr>
        <w:spacing w:after="0" w:line="127" w:lineRule="exact"/>
        <w:rPr>
          <w:rFonts w:ascii="Arial" w:cs="Arial" w:eastAsia="Arial" w:hAnsi="Arial"/>
          <w:sz w:val="14"/>
          <w:szCs w:val="14"/>
          <w:color w:val="auto"/>
        </w:rPr>
      </w:pPr>
    </w:p>
    <w:p>
      <w:pPr>
        <w:jc w:val="both"/>
        <w:ind w:firstLine="1288"/>
        <w:spacing w:after="0" w:line="221" w:lineRule="auto"/>
        <w:tabs>
          <w:tab w:leader="none" w:pos="1725" w:val="left"/>
        </w:tabs>
        <w:numPr>
          <w:ilvl w:val="1"/>
          <w:numId w:val="9"/>
        </w:numPr>
        <w:rPr>
          <w:rFonts w:ascii="Arial" w:cs="Arial" w:eastAsia="Arial" w:hAnsi="Arial"/>
          <w:sz w:val="14"/>
          <w:szCs w:val="14"/>
          <w:color w:val="auto"/>
        </w:rPr>
      </w:pPr>
      <w:r>
        <w:rPr>
          <w:rFonts w:ascii="Arial" w:cs="Arial" w:eastAsia="Arial" w:hAnsi="Arial"/>
          <w:sz w:val="14"/>
          <w:szCs w:val="14"/>
          <w:color w:val="auto"/>
        </w:rPr>
        <w:t xml:space="preserve">subject to Randall’s continued compliance with </w:t>
      </w:r>
      <w:r>
        <w:rPr>
          <w:rFonts w:ascii="Arial" w:cs="Arial" w:eastAsia="Arial" w:hAnsi="Arial"/>
          <w:sz w:val="14"/>
          <w:szCs w:val="14"/>
          <w:u w:val="single" w:color="auto"/>
          <w:color w:val="auto"/>
        </w:rPr>
        <w:t>Sections 9 and 10</w:t>
      </w:r>
      <w:r>
        <w:rPr>
          <w:rFonts w:ascii="Arial" w:cs="Arial" w:eastAsia="Arial" w:hAnsi="Arial"/>
          <w:sz w:val="14"/>
          <w:szCs w:val="14"/>
          <w:color w:val="auto"/>
        </w:rPr>
        <w:t xml:space="preserve"> of this Agreement, (1) an amount equal to Randall’s monthly Base Salary paid in accordance with the Company’s normal payroll practices for a period of twelve (12) months following such termination; (2) a pro-rated portion of the Annual Bonus for the fiscal year in which such termination occurs, with such pro-rated portion determined based on the number of days Randall was employed by the Company during such year, and achievement of the applicable performance goals determined by the Board at the time of such termination based on forecasted results (but no greater than target-level performance), payable on the first regularly scheduled pay period following the sixtieth (60th) day following such termination; (3) payment of COBRA premiums (through premium reimbursement or direct payment to the insurer) for twelve (12) months following termination; and (4) payment of any earned but unpaid Annual Award for the prior completed fiscal year. Notwithstanding the foregoing, any such payment scheduled to occur pursuant to this </w:t>
      </w:r>
      <w:r>
        <w:rPr>
          <w:rFonts w:ascii="Arial" w:cs="Arial" w:eastAsia="Arial" w:hAnsi="Arial"/>
          <w:sz w:val="14"/>
          <w:szCs w:val="14"/>
          <w:u w:val="single" w:color="auto"/>
          <w:color w:val="auto"/>
        </w:rPr>
        <w:t>Section 8(b)(ii)</w:t>
      </w:r>
      <w:r>
        <w:rPr>
          <w:rFonts w:ascii="Arial" w:cs="Arial" w:eastAsia="Arial" w:hAnsi="Arial"/>
          <w:sz w:val="14"/>
          <w:szCs w:val="14"/>
          <w:color w:val="auto"/>
        </w:rPr>
        <w:t xml:space="preserve"> during the first sixty (60) days following the termination will not be paid until the first regularly scheduled pay period following the sixtieth (60th) day following such termination and will include payment of any amount that was otherwise scheduled to be paid prior thereto.</w:t>
      </w:r>
    </w:p>
    <w:p>
      <w:pPr>
        <w:spacing w:after="0" w:line="106" w:lineRule="exact"/>
        <w:rPr>
          <w:sz w:val="20"/>
          <w:szCs w:val="20"/>
          <w:color w:val="auto"/>
        </w:rPr>
      </w:pPr>
    </w:p>
    <w:p>
      <w:pPr>
        <w:ind w:left="1280" w:hanging="424"/>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b w:val="1"/>
          <w:bCs w:val="1"/>
          <w:color w:val="auto"/>
        </w:rPr>
        <w:t xml:space="preserve">Death; Disability. </w:t>
      </w:r>
      <w:r>
        <w:rPr>
          <w:rFonts w:ascii="Arial" w:cs="Arial" w:eastAsia="Arial" w:hAnsi="Arial"/>
          <w:sz w:val="13"/>
          <w:szCs w:val="13"/>
          <w:color w:val="auto"/>
        </w:rPr>
        <w:t>In the event that Randall’s employment and/or the Employment Term ends on account of Randall’s death or Disability, the Company shall pay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300" w:top="944" w:right="299" w:bottom="1440" w:gutter="0" w:footer="0" w:header="0"/>
        </w:sectPr>
      </w:pPr>
    </w:p>
    <w:bookmarkStart w:id="33" w:name="page34"/>
    <w:bookmarkEnd w:id="33"/>
    <w:p>
      <w:pPr>
        <w:jc w:val="both"/>
        <w:spacing w:after="0" w:line="228" w:lineRule="auto"/>
        <w:rPr>
          <w:sz w:val="20"/>
          <w:szCs w:val="20"/>
          <w:color w:val="auto"/>
        </w:rPr>
      </w:pPr>
      <w:r>
        <w:rPr>
          <w:rFonts w:ascii="Arial" w:cs="Arial" w:eastAsia="Arial" w:hAnsi="Arial"/>
          <w:sz w:val="14"/>
          <w:szCs w:val="14"/>
          <w:color w:val="auto"/>
        </w:rPr>
        <w:t>Randall or Randall’s estate, as the case may be, the Accrued Benefits, any earned but unpaid Annual Award, and a pro-rated portion of the then current year’s Annual Award at target. Also, if the Employment Term ends because of Randall’s death, the Company will pay COBRA premiums for twelve (12) months for any family members covered by the Company’s plans subject to COBRA and any required timely elections for COBRA coverage. Notwithstanding the foregoing, all right and obligations to the Accrued Benefits shall be subject to state and federal laws governing disabilities and leaves of absence as well as the Company’s applicable policies.</w:t>
      </w:r>
    </w:p>
    <w:p>
      <w:pPr>
        <w:spacing w:after="0" w:line="104" w:lineRule="exact"/>
        <w:rPr>
          <w:sz w:val="20"/>
          <w:szCs w:val="20"/>
          <w:color w:val="auto"/>
        </w:rPr>
      </w:pPr>
    </w:p>
    <w:p>
      <w:pPr>
        <w:jc w:val="both"/>
        <w:ind w:firstLine="856"/>
        <w:spacing w:after="0" w:line="235" w:lineRule="auto"/>
        <w:tabs>
          <w:tab w:leader="none" w:pos="1293" w:val="left"/>
        </w:tabs>
        <w:numPr>
          <w:ilvl w:val="1"/>
          <w:numId w:val="11"/>
        </w:numPr>
        <w:rPr>
          <w:rFonts w:ascii="Arial" w:cs="Arial" w:eastAsia="Arial" w:hAnsi="Arial"/>
          <w:sz w:val="14"/>
          <w:szCs w:val="14"/>
          <w:color w:val="auto"/>
        </w:rPr>
      </w:pPr>
      <w:r>
        <w:rPr>
          <w:rFonts w:ascii="Arial" w:cs="Arial" w:eastAsia="Arial" w:hAnsi="Arial"/>
          <w:sz w:val="14"/>
          <w:szCs w:val="14"/>
          <w:b w:val="1"/>
          <w:bCs w:val="1"/>
          <w:color w:val="auto"/>
        </w:rPr>
        <w:t>Resignation From All Other Positions</w:t>
      </w:r>
      <w:r>
        <w:rPr>
          <w:rFonts w:ascii="Arial" w:cs="Arial" w:eastAsia="Arial" w:hAnsi="Arial"/>
          <w:sz w:val="14"/>
          <w:szCs w:val="14"/>
          <w:color w:val="auto"/>
        </w:rPr>
        <w:t>. Upon any termination of the Employment Term, Randall will promptly resign, and will be deemed to have automatically resigned,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from all positions, if any, that Randall holds as a member of the Board (including any committees), officer, director, manager or fiduciary of the Company or any of its affiliates or subsidiaries. Randall will take all actions reasonably requested by the Company to give effect to this </w:t>
      </w:r>
      <w:r>
        <w:rPr>
          <w:rFonts w:ascii="Arial" w:cs="Arial" w:eastAsia="Arial" w:hAnsi="Arial"/>
          <w:sz w:val="14"/>
          <w:szCs w:val="14"/>
          <w:u w:val="single" w:color="auto"/>
          <w:color w:val="auto"/>
        </w:rPr>
        <w:t>Section (e)</w:t>
      </w:r>
      <w:r>
        <w:rPr>
          <w:rFonts w:ascii="Arial" w:cs="Arial" w:eastAsia="Arial" w:hAnsi="Arial"/>
          <w:sz w:val="14"/>
          <w:szCs w:val="14"/>
          <w:color w:val="auto"/>
        </w:rPr>
        <w:t>.</w:t>
      </w:r>
    </w:p>
    <w:p>
      <w:pPr>
        <w:spacing w:after="0" w:line="103" w:lineRule="exact"/>
        <w:rPr>
          <w:rFonts w:ascii="Arial" w:cs="Arial" w:eastAsia="Arial" w:hAnsi="Arial"/>
          <w:sz w:val="14"/>
          <w:szCs w:val="14"/>
          <w:color w:val="auto"/>
        </w:rPr>
      </w:pPr>
    </w:p>
    <w:p>
      <w:pPr>
        <w:jc w:val="both"/>
        <w:ind w:firstLine="856"/>
        <w:spacing w:after="0" w:line="230" w:lineRule="auto"/>
        <w:tabs>
          <w:tab w:leader="none" w:pos="1294" w:val="left"/>
        </w:tabs>
        <w:numPr>
          <w:ilvl w:val="1"/>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Exclusive Remedy. </w:t>
      </w:r>
      <w:r>
        <w:rPr>
          <w:rFonts w:ascii="Arial" w:cs="Arial" w:eastAsia="Arial" w:hAnsi="Arial"/>
          <w:sz w:val="14"/>
          <w:szCs w:val="14"/>
          <w:color w:val="auto"/>
        </w:rPr>
        <w:t>The amounts payable to Randall following termination of employment and the Employment Term pursuant to</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Sections 6 and 8</w:t>
      </w:r>
      <w:r>
        <w:rPr>
          <w:rFonts w:ascii="Arial" w:cs="Arial" w:eastAsia="Arial" w:hAnsi="Arial"/>
          <w:sz w:val="14"/>
          <w:szCs w:val="14"/>
          <w:b w:val="1"/>
          <w:bCs w:val="1"/>
          <w:color w:val="auto"/>
        </w:rPr>
        <w:t xml:space="preserve"> </w:t>
      </w:r>
      <w:r>
        <w:rPr>
          <w:rFonts w:ascii="Arial" w:cs="Arial" w:eastAsia="Arial" w:hAnsi="Arial"/>
          <w:sz w:val="14"/>
          <w:szCs w:val="14"/>
          <w:color w:val="auto"/>
        </w:rPr>
        <w:t>of this Agreement shall</w:t>
      </w:r>
      <w:r>
        <w:rPr>
          <w:rFonts w:ascii="Arial" w:cs="Arial" w:eastAsia="Arial" w:hAnsi="Arial"/>
          <w:sz w:val="14"/>
          <w:szCs w:val="14"/>
          <w:b w:val="1"/>
          <w:bCs w:val="1"/>
          <w:color w:val="auto"/>
        </w:rPr>
        <w:t xml:space="preserve"> </w:t>
      </w:r>
      <w:r>
        <w:rPr>
          <w:rFonts w:ascii="Arial" w:cs="Arial" w:eastAsia="Arial" w:hAnsi="Arial"/>
          <w:sz w:val="14"/>
          <w:szCs w:val="14"/>
          <w:color w:val="auto"/>
        </w:rPr>
        <w:t>be in full and complete satisfaction of Randall’s rights under this Agreement and any other claims that Randall may have in respect of Randall’s employment with the Company or any of its affiliates. Randall acknowledges that such amounts are fair and reasonable and are Randall’s sole and exclusive remedy, in lieu of all other remedies at law or in equity, with respect to the termination of Randall’s employment or any breach of this Agreement.</w:t>
      </w:r>
    </w:p>
    <w:p>
      <w:pPr>
        <w:spacing w:after="0" w:line="102" w:lineRule="exact"/>
        <w:rPr>
          <w:rFonts w:ascii="Arial" w:cs="Arial" w:eastAsia="Arial" w:hAnsi="Arial"/>
          <w:sz w:val="14"/>
          <w:szCs w:val="14"/>
          <w:color w:val="auto"/>
        </w:rPr>
      </w:pPr>
    </w:p>
    <w:p>
      <w:pPr>
        <w:jc w:val="both"/>
        <w:ind w:firstLine="424"/>
        <w:spacing w:after="0" w:line="223" w:lineRule="auto"/>
        <w:tabs>
          <w:tab w:leader="none" w:pos="864"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Release; Continued Compliance. </w:t>
      </w:r>
      <w:r>
        <w:rPr>
          <w:rFonts w:ascii="Arial" w:cs="Arial" w:eastAsia="Arial" w:hAnsi="Arial"/>
          <w:sz w:val="14"/>
          <w:szCs w:val="14"/>
          <w:color w:val="auto"/>
        </w:rPr>
        <w:t>Any and all payments and benefits provided Randall pursuant to</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Sections 6 and 8</w:t>
      </w:r>
      <w:r>
        <w:rPr>
          <w:rFonts w:ascii="Arial" w:cs="Arial" w:eastAsia="Arial" w:hAnsi="Arial"/>
          <w:sz w:val="14"/>
          <w:szCs w:val="14"/>
          <w:b w:val="1"/>
          <w:bCs w:val="1"/>
          <w:color w:val="auto"/>
        </w:rPr>
        <w:t xml:space="preserve"> </w:t>
      </w:r>
      <w:r>
        <w:rPr>
          <w:rFonts w:ascii="Arial" w:cs="Arial" w:eastAsia="Arial" w:hAnsi="Arial"/>
          <w:sz w:val="14"/>
          <w:szCs w:val="14"/>
          <w:color w:val="auto"/>
        </w:rPr>
        <w:t>of this Agreement beyond the Accrued Benefits (the</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u w:val="single" w:color="auto"/>
          <w:color w:val="auto"/>
        </w:rPr>
        <w:t>Additional Payments and Benefits</w:t>
      </w:r>
      <w:r>
        <w:rPr>
          <w:rFonts w:ascii="Arial" w:cs="Arial" w:eastAsia="Arial" w:hAnsi="Arial"/>
          <w:sz w:val="14"/>
          <w:szCs w:val="14"/>
          <w:color w:val="auto"/>
        </w:rPr>
        <w:t xml:space="preserve">”) shall be payable only if Randall delivers to the Company, and does not revoke, a general release of claims in favor of the Company in substantially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Such release will be executed and delivered (and no longer subject to revocation, if applicable) within sixty (60) days following termination. During such time that Randall is receiving the Additional Payments and Benefits, if (a) the Company discovers grounds constituting Cause existed before Randall’s termination or (b) Randall breaches any of the restrictive covenants set forth in the Employee Proprietary Information and Invention Assignment Agreement attached to this Agreement as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Randall’s right to receive the Additional Payment and Benefits, including without limitation those pursuant to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of this Agreement, will immediately cease and become null and void, and any previously paid Additional Payments and Benefits shall be repaid to the Company by Randall.</w:t>
      </w:r>
    </w:p>
    <w:p>
      <w:pPr>
        <w:spacing w:after="0" w:line="104" w:lineRule="exact"/>
        <w:rPr>
          <w:rFonts w:ascii="Arial" w:cs="Arial" w:eastAsia="Arial" w:hAnsi="Arial"/>
          <w:sz w:val="14"/>
          <w:szCs w:val="14"/>
          <w:b w:val="1"/>
          <w:bCs w:val="1"/>
          <w:color w:val="auto"/>
        </w:rPr>
      </w:pPr>
    </w:p>
    <w:p>
      <w:pPr>
        <w:ind w:right="20" w:firstLine="424"/>
        <w:spacing w:after="0" w:line="252" w:lineRule="auto"/>
        <w:tabs>
          <w:tab w:leader="none" w:pos="864"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Restrictive Covenants. </w:t>
      </w:r>
      <w:r>
        <w:rPr>
          <w:rFonts w:ascii="Arial" w:cs="Arial" w:eastAsia="Arial" w:hAnsi="Arial"/>
          <w:sz w:val="14"/>
          <w:szCs w:val="14"/>
          <w:color w:val="auto"/>
        </w:rPr>
        <w:t>Randall acknowledges and agrees to be bound by the restrictive covenants set forth in the Employee Proprietary Information and Invention Assignment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Agreement attached to this Agreement as </w:t>
      </w:r>
      <w:r>
        <w:rPr>
          <w:rFonts w:ascii="Arial" w:cs="Arial" w:eastAsia="Arial" w:hAnsi="Arial"/>
          <w:sz w:val="14"/>
          <w:szCs w:val="14"/>
          <w:u w:val="single" w:color="auto"/>
          <w:color w:val="auto"/>
        </w:rPr>
        <w:t>Exhibit B</w:t>
      </w:r>
      <w:r>
        <w:rPr>
          <w:rFonts w:ascii="Arial" w:cs="Arial" w:eastAsia="Arial" w:hAnsi="Arial"/>
          <w:sz w:val="14"/>
          <w:szCs w:val="14"/>
          <w:color w:val="auto"/>
        </w:rPr>
        <w:t>.</w:t>
      </w:r>
    </w:p>
    <w:p>
      <w:pPr>
        <w:spacing w:after="0" w:line="93" w:lineRule="exact"/>
        <w:rPr>
          <w:rFonts w:ascii="Arial" w:cs="Arial" w:eastAsia="Arial" w:hAnsi="Arial"/>
          <w:sz w:val="14"/>
          <w:szCs w:val="14"/>
          <w:b w:val="1"/>
          <w:bCs w:val="1"/>
          <w:color w:val="auto"/>
        </w:rPr>
      </w:pPr>
    </w:p>
    <w:p>
      <w:pPr>
        <w:ind w:left="840" w:hanging="416"/>
        <w:spacing w:after="0"/>
        <w:tabs>
          <w:tab w:leader="none" w:pos="84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Certain Defined Terms</w:t>
      </w:r>
      <w:r>
        <w:rPr>
          <w:rFonts w:ascii="Arial" w:cs="Arial" w:eastAsia="Arial" w:hAnsi="Arial"/>
          <w:sz w:val="14"/>
          <w:szCs w:val="14"/>
          <w:color w:val="auto"/>
        </w:rPr>
        <w:t>. As used in this Agreement, the following terms have the meanings set forth below:</w:t>
      </w:r>
    </w:p>
    <w:p>
      <w:pPr>
        <w:spacing w:after="0" w:line="59" w:lineRule="exact"/>
        <w:rPr>
          <w:sz w:val="20"/>
          <w:szCs w:val="20"/>
          <w:color w:val="auto"/>
        </w:rPr>
      </w:pPr>
    </w:p>
    <w:p>
      <w:pPr>
        <w:ind w:firstLine="856"/>
        <w:spacing w:after="0" w:line="246" w:lineRule="auto"/>
        <w:tabs>
          <w:tab w:leader="none" w:pos="1293" w:val="left"/>
        </w:tabs>
        <w:numPr>
          <w:ilvl w:val="0"/>
          <w:numId w:val="1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Accrued Benefits</w:t>
      </w:r>
      <w:r>
        <w:rPr>
          <w:rFonts w:ascii="Arial" w:cs="Arial" w:eastAsia="Arial" w:hAnsi="Arial"/>
          <w:sz w:val="14"/>
          <w:szCs w:val="14"/>
          <w:color w:val="auto"/>
        </w:rPr>
        <w:t>” means: (i) any accrued but unpaid Base Salary through the date of termination; (ii) any other amount already earned but not yet paid; and (iii) reimbursement for any unreimbursed business expenses incurred through the date of termination.</w:t>
      </w:r>
    </w:p>
    <w:p>
      <w:pPr>
        <w:spacing w:after="0" w:line="101" w:lineRule="exact"/>
        <w:rPr>
          <w:rFonts w:ascii="Arial" w:cs="Arial" w:eastAsia="Arial" w:hAnsi="Arial"/>
          <w:sz w:val="14"/>
          <w:szCs w:val="14"/>
          <w:color w:val="auto"/>
        </w:rPr>
      </w:pPr>
    </w:p>
    <w:p>
      <w:pPr>
        <w:jc w:val="both"/>
        <w:ind w:firstLine="856"/>
        <w:spacing w:after="0" w:line="228" w:lineRule="auto"/>
        <w:tabs>
          <w:tab w:leader="none" w:pos="1293" w:val="left"/>
        </w:tabs>
        <w:numPr>
          <w:ilvl w:val="0"/>
          <w:numId w:val="1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Cause</w:t>
      </w:r>
      <w:r>
        <w:rPr>
          <w:rFonts w:ascii="Arial" w:cs="Arial" w:eastAsia="Arial" w:hAnsi="Arial"/>
          <w:sz w:val="14"/>
          <w:szCs w:val="14"/>
          <w:color w:val="auto"/>
        </w:rPr>
        <w:t>” means Randall’s: (i) theft, dishonesty, misconduct, falsification of any employment or Company records or any other act or omission that has a material detrimental effect on the Company’s reputation or business; (ii) conviction (including any plea of guilty or no contest) for any felony, or for any criminal act that materially impairs Randall’s ability to perform Randall’s duties to the Company; (iii) breach of fiduciary duty; (iv) material breach of this Agreement any other agreement between Randall and the Company; or (v) material violation of any Company policy, including but not limited to the harassment policy; or (vi) Randall’s willful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00"/>
          </w:cols>
          <w:pgMar w:left="300" w:top="944" w:right="299" w:bottom="1440" w:gutter="0" w:footer="0" w:header="0"/>
        </w:sectPr>
      </w:pPr>
    </w:p>
    <w:bookmarkStart w:id="34" w:name="page35"/>
    <w:bookmarkEnd w:id="34"/>
    <w:p>
      <w:pPr>
        <w:jc w:val="both"/>
        <w:ind w:left="8" w:right="20"/>
        <w:spacing w:after="0" w:line="233" w:lineRule="auto"/>
        <w:rPr>
          <w:sz w:val="20"/>
          <w:szCs w:val="20"/>
          <w:color w:val="auto"/>
        </w:rPr>
      </w:pPr>
      <w:r>
        <w:rPr>
          <w:rFonts w:ascii="Arial" w:cs="Arial" w:eastAsia="Arial" w:hAnsi="Arial"/>
          <w:sz w:val="14"/>
          <w:szCs w:val="14"/>
          <w:color w:val="auto"/>
        </w:rPr>
        <w:t xml:space="preserve">failure to perform, or willful misconduct or gross negligence in the performance of, Randall’s duties to the Company or Randall’s failure to follow the lawful directives of the Board (other than as a result of death or Disability);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case of clauses (iv), (v) and (vi), Randall shall have an opportunity to cure, if susceptible to cure, for a period of thirty (30) days following notice by the Board.</w:t>
      </w:r>
    </w:p>
    <w:p>
      <w:pPr>
        <w:spacing w:after="0" w:line="107" w:lineRule="exact"/>
        <w:rPr>
          <w:sz w:val="20"/>
          <w:szCs w:val="20"/>
          <w:color w:val="auto"/>
        </w:rPr>
      </w:pPr>
    </w:p>
    <w:p>
      <w:pPr>
        <w:ind w:left="1288" w:hanging="424"/>
        <w:spacing w:after="0"/>
        <w:tabs>
          <w:tab w:leader="none" w:pos="1288" w:val="left"/>
        </w:tabs>
        <w:numPr>
          <w:ilvl w:val="2"/>
          <w:numId w:val="1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or “</w:t>
      </w:r>
      <w:r>
        <w:rPr>
          <w:rFonts w:ascii="Arial" w:cs="Arial" w:eastAsia="Arial" w:hAnsi="Arial"/>
          <w:sz w:val="13"/>
          <w:szCs w:val="13"/>
          <w:u w:val="single" w:color="auto"/>
          <w:color w:val="auto"/>
        </w:rPr>
        <w:t>Disabled</w:t>
      </w:r>
      <w:r>
        <w:rPr>
          <w:rFonts w:ascii="Arial" w:cs="Arial" w:eastAsia="Arial" w:hAnsi="Arial"/>
          <w:sz w:val="13"/>
          <w:szCs w:val="13"/>
          <w:color w:val="auto"/>
        </w:rPr>
        <w:t xml:space="preserve">” means Randall becomes “disabled” or suffers from a “disability” as defined in </w:t>
      </w:r>
      <w:r>
        <w:rPr>
          <w:rFonts w:ascii="Arial" w:cs="Arial" w:eastAsia="Arial" w:hAnsi="Arial"/>
          <w:sz w:val="13"/>
          <w:szCs w:val="13"/>
          <w:u w:val="single" w:color="auto"/>
          <w:color w:val="auto"/>
        </w:rPr>
        <w:t>Section 409A</w:t>
      </w:r>
      <w:r>
        <w:rPr>
          <w:rFonts w:ascii="Arial" w:cs="Arial" w:eastAsia="Arial" w:hAnsi="Arial"/>
          <w:sz w:val="13"/>
          <w:szCs w:val="13"/>
          <w:color w:val="auto"/>
        </w:rPr>
        <w:t>, or in any successor regulation, as determined by the</w:t>
      </w:r>
    </w:p>
    <w:p>
      <w:pPr>
        <w:spacing w:after="0" w:line="6"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4"/>
          <w:szCs w:val="14"/>
          <w:color w:val="auto"/>
        </w:rPr>
        <w:t>Board in good faith.</w:t>
      </w:r>
    </w:p>
    <w:p>
      <w:pPr>
        <w:spacing w:after="0" w:line="115" w:lineRule="exact"/>
        <w:rPr>
          <w:rFonts w:ascii="Arial" w:cs="Arial" w:eastAsia="Arial" w:hAnsi="Arial"/>
          <w:sz w:val="13"/>
          <w:szCs w:val="13"/>
          <w:color w:val="auto"/>
        </w:rPr>
      </w:pPr>
    </w:p>
    <w:p>
      <w:pPr>
        <w:jc w:val="both"/>
        <w:ind w:left="8" w:firstLine="856"/>
        <w:spacing w:after="0"/>
        <w:tabs>
          <w:tab w:leader="none" w:pos="1301" w:val="left"/>
        </w:tabs>
        <w:numPr>
          <w:ilvl w:val="2"/>
          <w:numId w:val="1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Good Reason</w:t>
      </w:r>
      <w:r>
        <w:rPr>
          <w:rFonts w:ascii="Arial" w:cs="Arial" w:eastAsia="Arial" w:hAnsi="Arial"/>
          <w:sz w:val="13"/>
          <w:szCs w:val="13"/>
          <w:color w:val="auto"/>
        </w:rPr>
        <w:t>” means, without Randall’s prior written consent: (i) a material reduction in Randall’s base salary (other than a reduction pertaining to all similarly situated employees of the Company); (ii) a material diminution of Randall’s duties inconsistent with Randall’s position, including a change of the title of his position to one of less responsibility or scope;</w:t>
      </w:r>
    </w:p>
    <w:p>
      <w:pPr>
        <w:spacing w:after="0" w:line="1" w:lineRule="exact"/>
        <w:rPr>
          <w:rFonts w:ascii="Arial" w:cs="Arial" w:eastAsia="Arial" w:hAnsi="Arial"/>
          <w:sz w:val="13"/>
          <w:szCs w:val="13"/>
          <w:color w:val="auto"/>
        </w:rPr>
      </w:pPr>
    </w:p>
    <w:p>
      <w:pPr>
        <w:jc w:val="both"/>
        <w:ind w:left="8" w:hanging="8"/>
        <w:spacing w:after="0" w:line="221" w:lineRule="auto"/>
        <w:tabs>
          <w:tab w:leader="none" w:pos="268"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an adverse change in Randall’s reporting line to other than the Company’s Board of Directors; (iv) a material breach by the Company or its affiliate of the Agreement or any other material written agreement with the Company; or (v) the relocation of Randall’s principal work location by more than thirty-five (35) miles when either virtual work or a flexible hybrid work arrangement involving both off-site services and in-person services at the Company’s headquarters is not available to Randall;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“Good Reason” shall exist only if Randall tenders written objection to the Company within thirty (30) days of the initial occurrence of such Good Reason setting forth in reasonable detail the circumstances alleged to give rise to Good Reason, the Company fails to remedy the condition within thirty (30) days after receiving such written objection notice, and Randall gives notice of resignation from employment within thirty (30) days after the end of such cure period.</w:t>
      </w:r>
    </w:p>
    <w:p>
      <w:pPr>
        <w:spacing w:after="0" w:line="106" w:lineRule="exact"/>
        <w:rPr>
          <w:rFonts w:ascii="Arial" w:cs="Arial" w:eastAsia="Arial" w:hAnsi="Arial"/>
          <w:sz w:val="14"/>
          <w:szCs w:val="14"/>
          <w:color w:val="auto"/>
        </w:rPr>
      </w:pPr>
    </w:p>
    <w:p>
      <w:pPr>
        <w:ind w:left="1288" w:hanging="424"/>
        <w:spacing w:after="0"/>
        <w:tabs>
          <w:tab w:leader="none" w:pos="1288" w:val="left"/>
        </w:tabs>
        <w:numPr>
          <w:ilvl w:val="2"/>
          <w:numId w:val="1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Section 409A</w:t>
      </w:r>
      <w:r>
        <w:rPr>
          <w:rFonts w:ascii="Arial" w:cs="Arial" w:eastAsia="Arial" w:hAnsi="Arial"/>
          <w:sz w:val="14"/>
          <w:szCs w:val="14"/>
          <w:color w:val="auto"/>
        </w:rPr>
        <w:t xml:space="preserve">” means </w:t>
      </w:r>
      <w:r>
        <w:rPr>
          <w:rFonts w:ascii="Arial" w:cs="Arial" w:eastAsia="Arial" w:hAnsi="Arial"/>
          <w:sz w:val="14"/>
          <w:szCs w:val="14"/>
          <w:u w:val="single" w:color="auto"/>
          <w:color w:val="auto"/>
        </w:rPr>
        <w:t>Section 409A</w:t>
      </w:r>
      <w:r>
        <w:rPr>
          <w:rFonts w:ascii="Arial" w:cs="Arial" w:eastAsia="Arial" w:hAnsi="Arial"/>
          <w:sz w:val="14"/>
          <w:szCs w:val="14"/>
          <w:color w:val="auto"/>
        </w:rPr>
        <w:t xml:space="preserve"> of the Internal Revenue Code and the regulations and guidance promulgated under the Internal Revenue Code.</w:t>
      </w:r>
    </w:p>
    <w:p>
      <w:pPr>
        <w:spacing w:after="0" w:line="123" w:lineRule="exact"/>
        <w:rPr>
          <w:rFonts w:ascii="Arial" w:cs="Arial" w:eastAsia="Arial" w:hAnsi="Arial"/>
          <w:sz w:val="14"/>
          <w:szCs w:val="14"/>
          <w:color w:val="auto"/>
        </w:rPr>
      </w:pPr>
    </w:p>
    <w:p>
      <w:pPr>
        <w:ind w:left="8" w:firstLine="424"/>
        <w:spacing w:after="0" w:line="252" w:lineRule="auto"/>
        <w:tabs>
          <w:tab w:leader="none" w:pos="872" w:val="left"/>
        </w:tabs>
        <w:numPr>
          <w:ilvl w:val="1"/>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 Assignments. </w:t>
      </w:r>
      <w:r>
        <w:rPr>
          <w:rFonts w:ascii="Arial" w:cs="Arial" w:eastAsia="Arial" w:hAnsi="Arial"/>
          <w:sz w:val="14"/>
          <w:szCs w:val="14"/>
          <w:color w:val="auto"/>
        </w:rPr>
        <w:t>This Agreement is personal to each of the parties. Except as provided below, no party may assign or delegate any rights or obligations under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first obtaining the written consent of the other party. The Company may assign this Agreement to any successor to all or substantially all of its business or assets.</w:t>
      </w:r>
    </w:p>
    <w:p>
      <w:pPr>
        <w:spacing w:after="0" w:line="93" w:lineRule="exact"/>
        <w:rPr>
          <w:rFonts w:ascii="Arial" w:cs="Arial" w:eastAsia="Arial" w:hAnsi="Arial"/>
          <w:sz w:val="14"/>
          <w:szCs w:val="14"/>
          <w:b w:val="1"/>
          <w:bCs w:val="1"/>
          <w:color w:val="auto"/>
        </w:rPr>
      </w:pPr>
    </w:p>
    <w:p>
      <w:pPr>
        <w:ind w:left="8" w:firstLine="424"/>
        <w:spacing w:after="0" w:line="252" w:lineRule="auto"/>
        <w:tabs>
          <w:tab w:leader="none" w:pos="872" w:val="left"/>
        </w:tabs>
        <w:numPr>
          <w:ilvl w:val="1"/>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Notice</w:t>
      </w:r>
      <w:r>
        <w:rPr>
          <w:rFonts w:ascii="Arial" w:cs="Arial" w:eastAsia="Arial" w:hAnsi="Arial"/>
          <w:sz w:val="14"/>
          <w:szCs w:val="14"/>
          <w:color w:val="auto"/>
        </w:rPr>
        <w:t>. All communications provided for in this Agreement shall be in writing and shall be deemed to have been duly given (a) on the date of delivery, if delivered by hand, (b) on</w:t>
      </w:r>
      <w:r>
        <w:rPr>
          <w:rFonts w:ascii="Arial" w:cs="Arial" w:eastAsia="Arial" w:hAnsi="Arial"/>
          <w:sz w:val="14"/>
          <w:szCs w:val="14"/>
          <w:b w:val="1"/>
          <w:bCs w:val="1"/>
          <w:color w:val="auto"/>
        </w:rPr>
        <w:t xml:space="preserve"> </w:t>
      </w:r>
      <w:r>
        <w:rPr>
          <w:rFonts w:ascii="Arial" w:cs="Arial" w:eastAsia="Arial" w:hAnsi="Arial"/>
          <w:sz w:val="14"/>
          <w:szCs w:val="14"/>
          <w:color w:val="auto"/>
        </w:rPr>
        <w:t>the date of transmission, if delivered by electronic mail, or (c) on the first business day following the date of deposit, if delivered by guaranteed overnight delivery service:</w:t>
      </w:r>
    </w:p>
    <w:p>
      <w:pPr>
        <w:spacing w:after="0" w:line="98" w:lineRule="exact"/>
        <w:rPr>
          <w:sz w:val="20"/>
          <w:szCs w:val="20"/>
          <w:color w:val="auto"/>
        </w:rPr>
      </w:pPr>
    </w:p>
    <w:p>
      <w:pPr>
        <w:ind w:left="868"/>
        <w:spacing w:after="0"/>
        <w:rPr>
          <w:sz w:val="20"/>
          <w:szCs w:val="20"/>
          <w:color w:val="auto"/>
        </w:rPr>
      </w:pPr>
      <w:r>
        <w:rPr>
          <w:rFonts w:ascii="Arial" w:cs="Arial" w:eastAsia="Arial" w:hAnsi="Arial"/>
          <w:sz w:val="14"/>
          <w:szCs w:val="14"/>
          <w:color w:val="auto"/>
        </w:rPr>
        <w:t>If to Randall:</w:t>
      </w:r>
    </w:p>
    <w:p>
      <w:pPr>
        <w:spacing w:after="0" w:line="55" w:lineRule="exact"/>
        <w:rPr>
          <w:sz w:val="20"/>
          <w:szCs w:val="20"/>
          <w:color w:val="auto"/>
        </w:rPr>
      </w:pPr>
    </w:p>
    <w:p>
      <w:pPr>
        <w:ind w:left="868"/>
        <w:spacing w:after="0"/>
        <w:rPr>
          <w:sz w:val="20"/>
          <w:szCs w:val="20"/>
          <w:color w:val="auto"/>
        </w:rPr>
      </w:pPr>
      <w:r>
        <w:rPr>
          <w:rFonts w:ascii="Arial" w:cs="Arial" w:eastAsia="Arial" w:hAnsi="Arial"/>
          <w:sz w:val="14"/>
          <w:szCs w:val="14"/>
          <w:color w:val="auto"/>
        </w:rPr>
        <w:t>At the address (or to the email address) shown in the books and records of the Company.</w:t>
      </w:r>
    </w:p>
    <w:p>
      <w:pPr>
        <w:spacing w:after="0" w:line="271" w:lineRule="exact"/>
        <w:rPr>
          <w:sz w:val="20"/>
          <w:szCs w:val="20"/>
          <w:color w:val="auto"/>
        </w:rPr>
      </w:pPr>
    </w:p>
    <w:p>
      <w:pPr>
        <w:ind w:left="868"/>
        <w:spacing w:after="0"/>
        <w:rPr>
          <w:sz w:val="20"/>
          <w:szCs w:val="20"/>
          <w:color w:val="auto"/>
        </w:rPr>
      </w:pPr>
      <w:r>
        <w:rPr>
          <w:rFonts w:ascii="Arial" w:cs="Arial" w:eastAsia="Arial" w:hAnsi="Arial"/>
          <w:sz w:val="14"/>
          <w:szCs w:val="14"/>
          <w:color w:val="auto"/>
        </w:rPr>
        <w:t>If to the Company:</w:t>
      </w:r>
    </w:p>
    <w:p>
      <w:pPr>
        <w:spacing w:after="0" w:line="50" w:lineRule="exact"/>
        <w:rPr>
          <w:sz w:val="20"/>
          <w:szCs w:val="20"/>
          <w:color w:val="auto"/>
        </w:rPr>
      </w:pPr>
    </w:p>
    <w:p>
      <w:pPr>
        <w:ind w:left="868"/>
        <w:spacing w:after="0"/>
        <w:rPr>
          <w:sz w:val="20"/>
          <w:szCs w:val="20"/>
          <w:color w:val="auto"/>
        </w:rPr>
      </w:pPr>
      <w:r>
        <w:rPr>
          <w:rFonts w:ascii="Arial" w:cs="Arial" w:eastAsia="Arial" w:hAnsi="Arial"/>
          <w:sz w:val="14"/>
          <w:szCs w:val="14"/>
          <w:color w:val="auto"/>
        </w:rPr>
        <w:t>70 Castillan Drive</w:t>
      </w:r>
    </w:p>
    <w:p>
      <w:pPr>
        <w:ind w:left="868"/>
        <w:spacing w:after="0" w:line="214" w:lineRule="auto"/>
        <w:rPr>
          <w:sz w:val="20"/>
          <w:szCs w:val="20"/>
          <w:color w:val="auto"/>
        </w:rPr>
      </w:pPr>
      <w:r>
        <w:rPr>
          <w:rFonts w:ascii="Arial" w:cs="Arial" w:eastAsia="Arial" w:hAnsi="Arial"/>
          <w:sz w:val="14"/>
          <w:szCs w:val="14"/>
          <w:color w:val="auto"/>
        </w:rPr>
        <w:t>Santa Barbara, CA 93117</w:t>
      </w:r>
    </w:p>
    <w:p>
      <w:pPr>
        <w:ind w:left="868"/>
        <w:spacing w:after="0"/>
        <w:rPr>
          <w:sz w:val="20"/>
          <w:szCs w:val="20"/>
          <w:color w:val="auto"/>
        </w:rPr>
      </w:pPr>
      <w:r>
        <w:rPr>
          <w:rFonts w:ascii="Arial" w:cs="Arial" w:eastAsia="Arial" w:hAnsi="Arial"/>
          <w:sz w:val="14"/>
          <w:szCs w:val="14"/>
          <w:color w:val="auto"/>
        </w:rPr>
        <w:t>Attention: Chief Legal Officer</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3"/>
          <w:szCs w:val="13"/>
          <w:color w:val="auto"/>
        </w:rPr>
        <w:t>or to such other address as either party may have furnished to the other in writing in accordance herewith, except that notices of change of address shall be effective only upon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8"/>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8"/>
          </w:cols>
          <w:pgMar w:left="292" w:top="944" w:right="299" w:bottom="1440" w:gutter="0" w:footer="0" w:header="0"/>
        </w:sectPr>
      </w:pPr>
    </w:p>
    <w:bookmarkStart w:id="35" w:name="page36"/>
    <w:bookmarkEnd w:id="35"/>
    <w:p>
      <w:pPr>
        <w:ind w:firstLine="424"/>
        <w:spacing w:after="0" w:line="290" w:lineRule="auto"/>
        <w:tabs>
          <w:tab w:leader="none" w:pos="864"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Interpretation. </w:t>
      </w:r>
      <w:r>
        <w:rPr>
          <w:rFonts w:ascii="Arial" w:cs="Arial" w:eastAsia="Arial" w:hAnsi="Arial"/>
          <w:sz w:val="13"/>
          <w:szCs w:val="13"/>
          <w:color w:val="auto"/>
        </w:rPr>
        <w:t>The section headings used in this Agreement are included solely for convenience and shall not affect, or be used in connection with, the interpretation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In the event of any inconsistency between the terms of this Agreement and any form, award, plan or policy of the Company, the terms of this Agreement shall govern and control.</w:t>
      </w:r>
    </w:p>
    <w:p>
      <w:pPr>
        <w:spacing w:after="0" w:line="70" w:lineRule="exact"/>
        <w:rPr>
          <w:rFonts w:ascii="Arial" w:cs="Arial" w:eastAsia="Arial" w:hAnsi="Arial"/>
          <w:sz w:val="13"/>
          <w:szCs w:val="13"/>
          <w:b w:val="1"/>
          <w:bCs w:val="1"/>
          <w:color w:val="auto"/>
        </w:rPr>
      </w:pPr>
    </w:p>
    <w:p>
      <w:pPr>
        <w:jc w:val="both"/>
        <w:ind w:firstLine="424"/>
        <w:spacing w:after="0" w:line="235" w:lineRule="auto"/>
        <w:tabs>
          <w:tab w:leader="none" w:pos="864"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Severability. </w:t>
      </w:r>
      <w:r>
        <w:rPr>
          <w:rFonts w:ascii="Arial" w:cs="Arial" w:eastAsia="Arial" w:hAnsi="Arial"/>
          <w:sz w:val="14"/>
          <w:szCs w:val="14"/>
          <w:color w:val="auto"/>
        </w:rPr>
        <w:t>The provisions of this Agreement shall be deemed severable. The invalidity or unenforceability of any provision of this Agreement in any jurisdiction shall not affect</w:t>
      </w:r>
      <w:r>
        <w:rPr>
          <w:rFonts w:ascii="Arial" w:cs="Arial" w:eastAsia="Arial" w:hAnsi="Arial"/>
          <w:sz w:val="14"/>
          <w:szCs w:val="14"/>
          <w:b w:val="1"/>
          <w:bCs w:val="1"/>
          <w:color w:val="auto"/>
        </w:rPr>
        <w:t xml:space="preserve"> </w:t>
      </w:r>
      <w:r>
        <w:rPr>
          <w:rFonts w:ascii="Arial" w:cs="Arial" w:eastAsia="Arial" w:hAnsi="Arial"/>
          <w:sz w:val="14"/>
          <w:szCs w:val="14"/>
          <w:color w:val="auto"/>
        </w:rPr>
        <w:t>the validity, legality or enforceability of the remainder of this Agreement in such jurisdiction or the validity, legality or enforceability of any provision of this Agreement in any other jurisdiction, it being intended that all rights and obligations of the parties shall be enforceable to the fullest extent permitted by applicable law.</w:t>
      </w:r>
    </w:p>
    <w:p>
      <w:pPr>
        <w:spacing w:after="0" w:line="103" w:lineRule="exact"/>
        <w:rPr>
          <w:rFonts w:ascii="Arial" w:cs="Arial" w:eastAsia="Arial" w:hAnsi="Arial"/>
          <w:sz w:val="14"/>
          <w:szCs w:val="14"/>
          <w:b w:val="1"/>
          <w:bCs w:val="1"/>
          <w:color w:val="auto"/>
        </w:rPr>
      </w:pPr>
    </w:p>
    <w:p>
      <w:pPr>
        <w:ind w:left="860" w:hanging="436"/>
        <w:spacing w:after="0"/>
        <w:tabs>
          <w:tab w:leader="none" w:pos="86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Counterparts. </w:t>
      </w:r>
      <w:r>
        <w:rPr>
          <w:rFonts w:ascii="Arial" w:cs="Arial" w:eastAsia="Arial" w:hAnsi="Arial"/>
          <w:sz w:val="13"/>
          <w:szCs w:val="13"/>
          <w:color w:val="auto"/>
        </w:rPr>
        <w:t>This Agreement may be executed in several counterparts, each of which shall be deemed to be an original but all of which together will constitute one and the same</w:t>
      </w:r>
    </w:p>
    <w:p>
      <w:pPr>
        <w:spacing w:after="0" w:line="10"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instrument.</w:t>
      </w:r>
    </w:p>
    <w:p>
      <w:pPr>
        <w:spacing w:after="0" w:line="111" w:lineRule="exact"/>
        <w:rPr>
          <w:rFonts w:ascii="Arial" w:cs="Arial" w:eastAsia="Arial" w:hAnsi="Arial"/>
          <w:sz w:val="13"/>
          <w:szCs w:val="13"/>
          <w:b w:val="1"/>
          <w:bCs w:val="1"/>
          <w:color w:val="auto"/>
        </w:rPr>
      </w:pPr>
    </w:p>
    <w:p>
      <w:pPr>
        <w:jc w:val="both"/>
        <w:ind w:firstLine="424"/>
        <w:spacing w:after="0" w:line="250" w:lineRule="auto"/>
        <w:tabs>
          <w:tab w:leader="none" w:pos="864"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Arbitration. </w:t>
      </w:r>
      <w:r>
        <w:rPr>
          <w:rFonts w:ascii="Arial" w:cs="Arial" w:eastAsia="Arial" w:hAnsi="Arial"/>
          <w:sz w:val="13"/>
          <w:szCs w:val="13"/>
          <w:color w:val="auto"/>
        </w:rPr>
        <w:t>Any dispute or controversy arising under or in connection with this Agreement or Randall’s employment with the Company shall be settled exclusively by arbitration,</w:t>
      </w:r>
      <w:r>
        <w:rPr>
          <w:rFonts w:ascii="Arial" w:cs="Arial" w:eastAsia="Arial" w:hAnsi="Arial"/>
          <w:sz w:val="13"/>
          <w:szCs w:val="13"/>
          <w:b w:val="1"/>
          <w:bCs w:val="1"/>
          <w:color w:val="auto"/>
        </w:rPr>
        <w:t xml:space="preserve"> </w:t>
      </w:r>
      <w:r>
        <w:rPr>
          <w:rFonts w:ascii="Arial" w:cs="Arial" w:eastAsia="Arial" w:hAnsi="Arial"/>
          <w:sz w:val="13"/>
          <w:szCs w:val="13"/>
          <w:color w:val="auto"/>
        </w:rPr>
        <w:t>conducted before a single arbitrator in Santa Barbara, California in accordance with the JAMS Employment Rules and Procedures then in effect (available at www.jamsdr.com). The decision of the arbitrator will be final and binding upon the parties. Judgment may be entered on the arbitrator’s award in any court having jurisdiction. In connection with any such arbitration and regardless of outcome, (a) each party shall pay all its own costs and expenses, including, without limitation, its own legal fees and expenses, and (b) the arbitration costs shall be borne by the Company.</w:t>
      </w:r>
    </w:p>
    <w:p>
      <w:pPr>
        <w:spacing w:after="0" w:line="97" w:lineRule="exact"/>
        <w:rPr>
          <w:rFonts w:ascii="Arial" w:cs="Arial" w:eastAsia="Arial" w:hAnsi="Arial"/>
          <w:sz w:val="13"/>
          <w:szCs w:val="13"/>
          <w:b w:val="1"/>
          <w:bCs w:val="1"/>
          <w:color w:val="auto"/>
        </w:rPr>
      </w:pPr>
    </w:p>
    <w:p>
      <w:pPr>
        <w:ind w:firstLine="424"/>
        <w:spacing w:after="0" w:line="252" w:lineRule="auto"/>
        <w:tabs>
          <w:tab w:leader="none" w:pos="864"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Governing Law. </w:t>
      </w:r>
      <w:r>
        <w:rPr>
          <w:rFonts w:ascii="Arial" w:cs="Arial" w:eastAsia="Arial" w:hAnsi="Arial"/>
          <w:sz w:val="14"/>
          <w:szCs w:val="14"/>
          <w:color w:val="auto"/>
        </w:rPr>
        <w:t>This Agreement, the rights and obligations of the parties, and all claims or disputes relating thereto, shall be governed by and construed in accordance with the</w:t>
      </w:r>
      <w:r>
        <w:rPr>
          <w:rFonts w:ascii="Arial" w:cs="Arial" w:eastAsia="Arial" w:hAnsi="Arial"/>
          <w:sz w:val="14"/>
          <w:szCs w:val="14"/>
          <w:b w:val="1"/>
          <w:bCs w:val="1"/>
          <w:color w:val="auto"/>
        </w:rPr>
        <w:t xml:space="preserve"> </w:t>
      </w:r>
      <w:r>
        <w:rPr>
          <w:rFonts w:ascii="Arial" w:cs="Arial" w:eastAsia="Arial" w:hAnsi="Arial"/>
          <w:sz w:val="14"/>
          <w:szCs w:val="14"/>
          <w:color w:val="auto"/>
        </w:rPr>
        <w:t>laws of the State of California (without regard to its choice of law provisions).</w:t>
      </w:r>
    </w:p>
    <w:p>
      <w:pPr>
        <w:spacing w:after="0" w:line="93" w:lineRule="exact"/>
        <w:rPr>
          <w:rFonts w:ascii="Arial" w:cs="Arial" w:eastAsia="Arial" w:hAnsi="Arial"/>
          <w:sz w:val="14"/>
          <w:szCs w:val="14"/>
          <w:b w:val="1"/>
          <w:bCs w:val="1"/>
          <w:color w:val="auto"/>
        </w:rPr>
      </w:pPr>
    </w:p>
    <w:p>
      <w:pPr>
        <w:jc w:val="both"/>
        <w:ind w:firstLine="424"/>
        <w:spacing w:after="0" w:line="223" w:lineRule="auto"/>
        <w:tabs>
          <w:tab w:leader="none" w:pos="864"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Miscellaneous. </w:t>
      </w:r>
      <w:r>
        <w:rPr>
          <w:rFonts w:ascii="Arial" w:cs="Arial" w:eastAsia="Arial" w:hAnsi="Arial"/>
          <w:sz w:val="14"/>
          <w:szCs w:val="14"/>
          <w:color w:val="auto"/>
        </w:rPr>
        <w:t>No provision of this Agreement may be modified, waived or discharged unless such waiver, modification or discharge is agreed to in writing and signed by Randall</w:t>
      </w:r>
      <w:r>
        <w:rPr>
          <w:rFonts w:ascii="Arial" w:cs="Arial" w:eastAsia="Arial" w:hAnsi="Arial"/>
          <w:sz w:val="14"/>
          <w:szCs w:val="14"/>
          <w:b w:val="1"/>
          <w:bCs w:val="1"/>
          <w:color w:val="auto"/>
        </w:rPr>
        <w:t xml:space="preserve"> </w:t>
      </w:r>
      <w:r>
        <w:rPr>
          <w:rFonts w:ascii="Arial" w:cs="Arial" w:eastAsia="Arial" w:hAnsi="Arial"/>
          <w:sz w:val="14"/>
          <w:szCs w:val="14"/>
          <w:color w:val="auto"/>
        </w:rPr>
        <w:t>and such officer or director as may be designated by the Board. No waiver by either party at any time of any breach by the other party of, or compliance with, any condition or provision of this Agreement to be performed by such other party shall be deemed a waiver of similar or dissimilar provisions or conditions at the same or at any prior or subsequent time. This Agreement, together with all exhibits attached to this Agreement, sets forth the entire agreement of the parties in respect of the subject matter contained in this Agreement and supersedes any and all prior agreements or understandings between Randall and the Company with respect to the subject matter of this Agreement. No agreements or representations, oral or otherwise, express or implied, with respect to the subject matter hereof have been made by either party which are not expressly set forth in this Agreement. In the event of any inconsistency between the terms of this Agreement and any equity award, the terms of this Agreement shall govern and control.</w:t>
      </w:r>
    </w:p>
    <w:p>
      <w:pPr>
        <w:spacing w:after="0" w:line="104" w:lineRule="exact"/>
        <w:rPr>
          <w:rFonts w:ascii="Arial" w:cs="Arial" w:eastAsia="Arial" w:hAnsi="Arial"/>
          <w:sz w:val="14"/>
          <w:szCs w:val="14"/>
          <w:b w:val="1"/>
          <w:bCs w:val="1"/>
          <w:color w:val="auto"/>
        </w:rPr>
      </w:pPr>
    </w:p>
    <w:p>
      <w:pPr>
        <w:jc w:val="both"/>
        <w:ind w:firstLine="424"/>
        <w:spacing w:after="0" w:line="235" w:lineRule="auto"/>
        <w:tabs>
          <w:tab w:leader="none" w:pos="864"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Representations. </w:t>
      </w:r>
      <w:r>
        <w:rPr>
          <w:rFonts w:ascii="Arial" w:cs="Arial" w:eastAsia="Arial" w:hAnsi="Arial"/>
          <w:sz w:val="14"/>
          <w:szCs w:val="14"/>
          <w:color w:val="auto"/>
        </w:rPr>
        <w:t>Randall represents and warrants to the Company that: (a) Randall has the legal right to enter into this Agreement and to perform all of the obligations on Randall’s</w:t>
      </w:r>
      <w:r>
        <w:rPr>
          <w:rFonts w:ascii="Arial" w:cs="Arial" w:eastAsia="Arial" w:hAnsi="Arial"/>
          <w:sz w:val="14"/>
          <w:szCs w:val="14"/>
          <w:b w:val="1"/>
          <w:bCs w:val="1"/>
          <w:color w:val="auto"/>
        </w:rPr>
        <w:t xml:space="preserve"> </w:t>
      </w:r>
      <w:r>
        <w:rPr>
          <w:rFonts w:ascii="Arial" w:cs="Arial" w:eastAsia="Arial" w:hAnsi="Arial"/>
          <w:sz w:val="14"/>
          <w:szCs w:val="14"/>
          <w:color w:val="auto"/>
        </w:rPr>
        <w:t>part to be performed under this Agreement; and (b) Randall is not a party to any agreement or understanding, written or oral, and is not subject to any restriction, which, in either case, could prevent or impair Randall from entering into this Agreement or performing Randall’s duties and obligations under this Agreement.</w:t>
      </w:r>
    </w:p>
    <w:p>
      <w:pPr>
        <w:spacing w:after="0" w:line="103" w:lineRule="exact"/>
        <w:rPr>
          <w:rFonts w:ascii="Arial" w:cs="Arial" w:eastAsia="Arial" w:hAnsi="Arial"/>
          <w:sz w:val="14"/>
          <w:szCs w:val="14"/>
          <w:b w:val="1"/>
          <w:bCs w:val="1"/>
          <w:color w:val="auto"/>
        </w:rPr>
      </w:pPr>
    </w:p>
    <w:p>
      <w:pPr>
        <w:ind w:left="860" w:hanging="436"/>
        <w:spacing w:after="0"/>
        <w:tabs>
          <w:tab w:leader="none" w:pos="86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Tax Matters.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0"/>
          </w:cols>
          <w:pgMar w:left="300" w:top="940" w:right="299" w:bottom="1440" w:gutter="0" w:footer="0" w:header="0"/>
        </w:sectPr>
      </w:pPr>
    </w:p>
    <w:bookmarkStart w:id="36" w:name="page37"/>
    <w:bookmarkEnd w:id="36"/>
    <w:p>
      <w:pPr>
        <w:ind w:firstLine="856"/>
        <w:spacing w:after="0" w:line="252" w:lineRule="auto"/>
        <w:tabs>
          <w:tab w:leader="none" w:pos="1293"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 xml:space="preserve">Withholding. </w:t>
      </w:r>
      <w:r>
        <w:rPr>
          <w:rFonts w:ascii="Arial" w:cs="Arial" w:eastAsia="Arial" w:hAnsi="Arial"/>
          <w:sz w:val="14"/>
          <w:szCs w:val="14"/>
          <w:color w:val="auto"/>
        </w:rPr>
        <w:t>The Company may withhold from any and all amounts payable under this Agreement or otherwise such federal, state and local taxes as may be required to be</w:t>
      </w:r>
      <w:r>
        <w:rPr>
          <w:rFonts w:ascii="Arial" w:cs="Arial" w:eastAsia="Arial" w:hAnsi="Arial"/>
          <w:sz w:val="14"/>
          <w:szCs w:val="14"/>
          <w:b w:val="1"/>
          <w:bCs w:val="1"/>
          <w:color w:val="auto"/>
        </w:rPr>
        <w:t xml:space="preserve"> </w:t>
      </w:r>
      <w:r>
        <w:rPr>
          <w:rFonts w:ascii="Arial" w:cs="Arial" w:eastAsia="Arial" w:hAnsi="Arial"/>
          <w:sz w:val="14"/>
          <w:szCs w:val="14"/>
          <w:color w:val="auto"/>
        </w:rPr>
        <w:t>withheld pursuant to any applicable law or regulation.</w:t>
      </w:r>
    </w:p>
    <w:p>
      <w:pPr>
        <w:spacing w:after="0" w:line="93" w:lineRule="exact"/>
        <w:rPr>
          <w:rFonts w:ascii="Arial" w:cs="Arial" w:eastAsia="Arial" w:hAnsi="Arial"/>
          <w:sz w:val="14"/>
          <w:szCs w:val="14"/>
          <w:color w:val="auto"/>
        </w:rPr>
      </w:pPr>
    </w:p>
    <w:p>
      <w:pPr>
        <w:ind w:left="1280" w:hanging="424"/>
        <w:spacing w:after="0"/>
        <w:tabs>
          <w:tab w:leader="none" w:pos="1280" w:val="left"/>
        </w:tabs>
        <w:numPr>
          <w:ilvl w:val="0"/>
          <w:numId w:val="17"/>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409A</w:t>
      </w:r>
      <w:r>
        <w:rPr>
          <w:rFonts w:ascii="Arial" w:cs="Arial" w:eastAsia="Arial" w:hAnsi="Arial"/>
          <w:sz w:val="14"/>
          <w:szCs w:val="14"/>
          <w:b w:val="1"/>
          <w:bCs w:val="1"/>
          <w:color w:val="auto"/>
        </w:rPr>
        <w:t xml:space="preserve"> Compliance.</w:t>
      </w:r>
    </w:p>
    <w:p>
      <w:pPr>
        <w:spacing w:after="0" w:line="59" w:lineRule="exact"/>
        <w:rPr>
          <w:rFonts w:ascii="Arial" w:cs="Arial" w:eastAsia="Arial" w:hAnsi="Arial"/>
          <w:sz w:val="14"/>
          <w:szCs w:val="14"/>
          <w:color w:val="auto"/>
        </w:rPr>
      </w:pPr>
    </w:p>
    <w:p>
      <w:pPr>
        <w:jc w:val="both"/>
        <w:ind w:firstLine="1288"/>
        <w:spacing w:after="0" w:line="233" w:lineRule="auto"/>
        <w:tabs>
          <w:tab w:leader="none" w:pos="1726" w:val="left"/>
        </w:tabs>
        <w:numPr>
          <w:ilvl w:val="1"/>
          <w:numId w:val="17"/>
        </w:numPr>
        <w:rPr>
          <w:rFonts w:ascii="Arial" w:cs="Arial" w:eastAsia="Arial" w:hAnsi="Arial"/>
          <w:sz w:val="14"/>
          <w:szCs w:val="14"/>
          <w:color w:val="auto"/>
        </w:rPr>
      </w:pPr>
      <w:r>
        <w:rPr>
          <w:rFonts w:ascii="Arial" w:cs="Arial" w:eastAsia="Arial" w:hAnsi="Arial"/>
          <w:sz w:val="14"/>
          <w:szCs w:val="14"/>
          <w:color w:val="auto"/>
        </w:rPr>
        <w:t xml:space="preserve">The intent of the parties is that payments and benefits under this Agreement comply with, or are exempt from, </w:t>
      </w:r>
      <w:r>
        <w:rPr>
          <w:rFonts w:ascii="Arial" w:cs="Arial" w:eastAsia="Arial" w:hAnsi="Arial"/>
          <w:sz w:val="14"/>
          <w:szCs w:val="14"/>
          <w:u w:val="single" w:color="auto"/>
          <w:color w:val="auto"/>
        </w:rPr>
        <w:t>Section 409A</w:t>
      </w:r>
      <w:r>
        <w:rPr>
          <w:rFonts w:ascii="Arial" w:cs="Arial" w:eastAsia="Arial" w:hAnsi="Arial"/>
          <w:sz w:val="14"/>
          <w:szCs w:val="14"/>
          <w:color w:val="auto"/>
        </w:rPr>
        <w:t xml:space="preserve">. Accordingly, to the maximum extent permitted, this Agreement shall be interpreted to be in compliance therewith or exempt therefrom. In no event whatsoever shall the Company be liable for any additional tax, interest or penalty that may be imposed on Randall by </w:t>
      </w:r>
      <w:r>
        <w:rPr>
          <w:rFonts w:ascii="Arial" w:cs="Arial" w:eastAsia="Arial" w:hAnsi="Arial"/>
          <w:sz w:val="14"/>
          <w:szCs w:val="14"/>
          <w:u w:val="single" w:color="auto"/>
          <w:color w:val="auto"/>
        </w:rPr>
        <w:t>Section 409A</w:t>
      </w:r>
      <w:r>
        <w:rPr>
          <w:rFonts w:ascii="Arial" w:cs="Arial" w:eastAsia="Arial" w:hAnsi="Arial"/>
          <w:sz w:val="14"/>
          <w:szCs w:val="14"/>
          <w:color w:val="auto"/>
        </w:rPr>
        <w:t xml:space="preserve"> or damages for failing to comply with </w:t>
      </w:r>
      <w:r>
        <w:rPr>
          <w:rFonts w:ascii="Arial" w:cs="Arial" w:eastAsia="Arial" w:hAnsi="Arial"/>
          <w:sz w:val="14"/>
          <w:szCs w:val="14"/>
          <w:u w:val="single" w:color="auto"/>
          <w:color w:val="auto"/>
        </w:rPr>
        <w:t>Section 409A</w:t>
      </w:r>
      <w:r>
        <w:rPr>
          <w:rFonts w:ascii="Arial" w:cs="Arial" w:eastAsia="Arial" w:hAnsi="Arial"/>
          <w:sz w:val="14"/>
          <w:szCs w:val="14"/>
          <w:color w:val="auto"/>
        </w:rPr>
        <w:t>.</w:t>
      </w:r>
    </w:p>
    <w:p>
      <w:pPr>
        <w:spacing w:after="0" w:line="107" w:lineRule="exact"/>
        <w:rPr>
          <w:rFonts w:ascii="Arial" w:cs="Arial" w:eastAsia="Arial" w:hAnsi="Arial"/>
          <w:sz w:val="14"/>
          <w:szCs w:val="14"/>
          <w:color w:val="auto"/>
        </w:rPr>
      </w:pPr>
    </w:p>
    <w:p>
      <w:pPr>
        <w:jc w:val="both"/>
        <w:ind w:firstLine="1288"/>
        <w:spacing w:after="0" w:line="221" w:lineRule="auto"/>
        <w:tabs>
          <w:tab w:leader="none" w:pos="1725" w:val="left"/>
        </w:tabs>
        <w:numPr>
          <w:ilvl w:val="1"/>
          <w:numId w:val="17"/>
        </w:numPr>
        <w:rPr>
          <w:rFonts w:ascii="Arial" w:cs="Arial" w:eastAsia="Arial" w:hAnsi="Arial"/>
          <w:sz w:val="14"/>
          <w:szCs w:val="14"/>
          <w:color w:val="auto"/>
        </w:rPr>
      </w:pPr>
      <w:r>
        <w:rPr>
          <w:rFonts w:ascii="Arial" w:cs="Arial" w:eastAsia="Arial" w:hAnsi="Arial"/>
          <w:sz w:val="14"/>
          <w:szCs w:val="14"/>
          <w:color w:val="auto"/>
        </w:rPr>
        <w:t xml:space="preserve">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w:t>
      </w:r>
      <w:r>
        <w:rPr>
          <w:rFonts w:ascii="Arial" w:cs="Arial" w:eastAsia="Arial" w:hAnsi="Arial"/>
          <w:sz w:val="14"/>
          <w:szCs w:val="14"/>
          <w:u w:val="single" w:color="auto"/>
          <w:color w:val="auto"/>
        </w:rPr>
        <w:t>Section 409A</w:t>
      </w:r>
      <w:r>
        <w:rPr>
          <w:rFonts w:ascii="Arial" w:cs="Arial" w:eastAsia="Arial" w:hAnsi="Arial"/>
          <w:sz w:val="14"/>
          <w:szCs w:val="14"/>
          <w:color w:val="auto"/>
        </w:rPr>
        <w:t xml:space="preserve">. For purposes of any such provision of this Agreement, references to a “termination,” “termination of employment” or like terms shall mean “separation from service.” Notwithstanding anything to the contrary in this Agreement, if Randall is deemed on the date of termination to be a “specified employee” within the meaning of that term under </w:t>
      </w:r>
      <w:r>
        <w:rPr>
          <w:rFonts w:ascii="Arial" w:cs="Arial" w:eastAsia="Arial" w:hAnsi="Arial"/>
          <w:sz w:val="14"/>
          <w:szCs w:val="14"/>
          <w:u w:val="single" w:color="auto"/>
          <w:color w:val="auto"/>
        </w:rPr>
        <w:t>Section 409A</w:t>
      </w:r>
      <w:r>
        <w:rPr>
          <w:rFonts w:ascii="Arial" w:cs="Arial" w:eastAsia="Arial" w:hAnsi="Arial"/>
          <w:sz w:val="14"/>
          <w:szCs w:val="14"/>
          <w:color w:val="auto"/>
        </w:rPr>
        <w:t xml:space="preserve">, then with regard to any payment or the provision of any benefit that is considered deferred compensation under </w:t>
      </w:r>
      <w:r>
        <w:rPr>
          <w:rFonts w:ascii="Arial" w:cs="Arial" w:eastAsia="Arial" w:hAnsi="Arial"/>
          <w:sz w:val="14"/>
          <w:szCs w:val="14"/>
          <w:u w:val="single" w:color="auto"/>
          <w:color w:val="auto"/>
        </w:rPr>
        <w:t>Section 409A</w:t>
      </w:r>
      <w:r>
        <w:rPr>
          <w:rFonts w:ascii="Arial" w:cs="Arial" w:eastAsia="Arial" w:hAnsi="Arial"/>
          <w:sz w:val="14"/>
          <w:szCs w:val="14"/>
          <w:color w:val="auto"/>
        </w:rPr>
        <w:t xml:space="preserve"> payable on account of a “separation from service,” such payment or benefit shall not be made or provided until the date which is the earlier of (A) the expiration of the six (6)-month period measured from the date of such “separation from service” of Randall, and (B) the date of Randall’s death, to the extent required under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409A</w:t>
      </w:r>
      <w:r>
        <w:rPr>
          <w:rFonts w:ascii="Arial" w:cs="Arial" w:eastAsia="Arial" w:hAnsi="Arial"/>
          <w:sz w:val="14"/>
          <w:szCs w:val="14"/>
          <w:color w:val="auto"/>
        </w:rPr>
        <w:t xml:space="preserve">. Upon the expiration of the foregoing delay period, all payments and benefits delayed pursuant to this </w:t>
      </w:r>
      <w:r>
        <w:rPr>
          <w:rFonts w:ascii="Arial" w:cs="Arial" w:eastAsia="Arial" w:hAnsi="Arial"/>
          <w:sz w:val="14"/>
          <w:szCs w:val="14"/>
          <w:u w:val="single" w:color="auto"/>
          <w:color w:val="auto"/>
        </w:rPr>
        <w:t>Section 22.(ii)</w:t>
      </w:r>
      <w:r>
        <w:rPr>
          <w:rFonts w:ascii="Arial" w:cs="Arial" w:eastAsia="Arial" w:hAnsi="Arial"/>
          <w:sz w:val="14"/>
          <w:szCs w:val="14"/>
          <w:color w:val="auto"/>
        </w:rPr>
        <w:t xml:space="preserve"> (whether they would have otherwise been payable in a single sum or in installments in the absence of such delay) shall be paid or reimbursed to Randall in a lump sum, and any remaining payments and benefits due under this Agreement shall be paid or provided in accordance with the normal payment dates specified for them herein.</w:t>
      </w:r>
    </w:p>
    <w:p>
      <w:pPr>
        <w:spacing w:after="0" w:line="105" w:lineRule="exact"/>
        <w:rPr>
          <w:rFonts w:ascii="Arial" w:cs="Arial" w:eastAsia="Arial" w:hAnsi="Arial"/>
          <w:sz w:val="14"/>
          <w:szCs w:val="14"/>
          <w:color w:val="auto"/>
        </w:rPr>
      </w:pPr>
    </w:p>
    <w:p>
      <w:pPr>
        <w:jc w:val="both"/>
        <w:ind w:firstLine="1288"/>
        <w:spacing w:after="0" w:line="248" w:lineRule="auto"/>
        <w:tabs>
          <w:tab w:leader="none" w:pos="1726" w:val="left"/>
        </w:tabs>
        <w:numPr>
          <w:ilvl w:val="1"/>
          <w:numId w:val="17"/>
        </w:numPr>
        <w:rPr>
          <w:rFonts w:ascii="Arial" w:cs="Arial" w:eastAsia="Arial" w:hAnsi="Arial"/>
          <w:sz w:val="13"/>
          <w:szCs w:val="13"/>
          <w:color w:val="auto"/>
        </w:rPr>
      </w:pPr>
      <w:r>
        <w:rPr>
          <w:rFonts w:ascii="Arial" w:cs="Arial" w:eastAsia="Arial" w:hAnsi="Arial"/>
          <w:sz w:val="13"/>
          <w:szCs w:val="13"/>
          <w:color w:val="auto"/>
        </w:rPr>
        <w:t xml:space="preserve">To the extent that reimbursements or other in-kind benefits under this Agreement constitute “nonqualified deferred compensation” for purposes of </w:t>
      </w:r>
      <w:r>
        <w:rPr>
          <w:rFonts w:ascii="Arial" w:cs="Arial" w:eastAsia="Arial" w:hAnsi="Arial"/>
          <w:sz w:val="13"/>
          <w:szCs w:val="13"/>
          <w:u w:val="single" w:color="auto"/>
          <w:color w:val="auto"/>
        </w:rPr>
        <w:t>Section 409A</w:t>
      </w:r>
      <w:r>
        <w:rPr>
          <w:rFonts w:ascii="Arial" w:cs="Arial" w:eastAsia="Arial" w:hAnsi="Arial"/>
          <w:sz w:val="13"/>
          <w:szCs w:val="13"/>
          <w:color w:val="auto"/>
        </w:rPr>
        <w:t>, (A) all expenses or other reimbursements under this Agreement shall be made on or prior to the last day of the taxable year following the taxable year in which such expenses were incurred by Randall,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02" w:lineRule="exact"/>
        <w:rPr>
          <w:rFonts w:ascii="Arial" w:cs="Arial" w:eastAsia="Arial" w:hAnsi="Arial"/>
          <w:sz w:val="13"/>
          <w:szCs w:val="13"/>
          <w:color w:val="auto"/>
        </w:rPr>
      </w:pPr>
    </w:p>
    <w:p>
      <w:pPr>
        <w:jc w:val="both"/>
        <w:ind w:firstLine="1288"/>
        <w:spacing w:after="0" w:line="233" w:lineRule="auto"/>
        <w:tabs>
          <w:tab w:leader="none" w:pos="1725" w:val="left"/>
        </w:tabs>
        <w:numPr>
          <w:ilvl w:val="1"/>
          <w:numId w:val="17"/>
        </w:numPr>
        <w:rPr>
          <w:rFonts w:ascii="Arial" w:cs="Arial" w:eastAsia="Arial" w:hAnsi="Arial"/>
          <w:sz w:val="14"/>
          <w:szCs w:val="14"/>
          <w:color w:val="auto"/>
        </w:rPr>
      </w:pPr>
      <w:r>
        <w:rPr>
          <w:rFonts w:ascii="Arial" w:cs="Arial" w:eastAsia="Arial" w:hAnsi="Arial"/>
          <w:sz w:val="14"/>
          <w:szCs w:val="14"/>
          <w:color w:val="auto"/>
        </w:rPr>
        <w:t xml:space="preserve">For purposes of </w:t>
      </w:r>
      <w:r>
        <w:rPr>
          <w:rFonts w:ascii="Arial" w:cs="Arial" w:eastAsia="Arial" w:hAnsi="Arial"/>
          <w:sz w:val="14"/>
          <w:szCs w:val="14"/>
          <w:u w:val="single" w:color="auto"/>
          <w:color w:val="auto"/>
        </w:rPr>
        <w:t>Section 409A</w:t>
      </w:r>
      <w:r>
        <w:rPr>
          <w:rFonts w:ascii="Arial" w:cs="Arial" w:eastAsia="Arial" w:hAnsi="Arial"/>
          <w:sz w:val="14"/>
          <w:szCs w:val="14"/>
          <w:color w:val="auto"/>
        </w:rPr>
        <w:t>, Randall’s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107" w:lineRule="exact"/>
        <w:rPr>
          <w:rFonts w:ascii="Arial" w:cs="Arial" w:eastAsia="Arial" w:hAnsi="Arial"/>
          <w:sz w:val="14"/>
          <w:szCs w:val="14"/>
          <w:color w:val="auto"/>
        </w:rPr>
      </w:pPr>
    </w:p>
    <w:p>
      <w:pPr>
        <w:ind w:firstLine="1288"/>
        <w:spacing w:after="0" w:line="246" w:lineRule="auto"/>
        <w:tabs>
          <w:tab w:leader="none" w:pos="1726" w:val="left"/>
        </w:tabs>
        <w:numPr>
          <w:ilvl w:val="1"/>
          <w:numId w:val="17"/>
        </w:numPr>
        <w:rPr>
          <w:rFonts w:ascii="Arial" w:cs="Arial" w:eastAsia="Arial" w:hAnsi="Arial"/>
          <w:sz w:val="14"/>
          <w:szCs w:val="14"/>
          <w:color w:val="auto"/>
        </w:rPr>
      </w:pPr>
      <w:r>
        <w:rPr>
          <w:rFonts w:ascii="Arial" w:cs="Arial" w:eastAsia="Arial" w:hAnsi="Arial"/>
          <w:sz w:val="14"/>
          <w:szCs w:val="14"/>
          <w:color w:val="auto"/>
        </w:rPr>
        <w:t xml:space="preserve">Notwithstanding any other provision of this Agreement to the contrary, in no event shall any payment under this Agreement that constitutes “nonqualified deferred compensation” for purposes of </w:t>
      </w:r>
      <w:r>
        <w:rPr>
          <w:rFonts w:ascii="Arial" w:cs="Arial" w:eastAsia="Arial" w:hAnsi="Arial"/>
          <w:sz w:val="14"/>
          <w:szCs w:val="14"/>
          <w:u w:val="single" w:color="auto"/>
          <w:color w:val="auto"/>
        </w:rPr>
        <w:t>Section 409A</w:t>
      </w:r>
      <w:r>
        <w:rPr>
          <w:rFonts w:ascii="Arial" w:cs="Arial" w:eastAsia="Arial" w:hAnsi="Arial"/>
          <w:sz w:val="14"/>
          <w:szCs w:val="14"/>
          <w:color w:val="auto"/>
        </w:rPr>
        <w:t xml:space="preserve"> be subject to offset by any other amount unless otherwise permitted by </w:t>
      </w:r>
      <w:r>
        <w:rPr>
          <w:rFonts w:ascii="Arial" w:cs="Arial" w:eastAsia="Arial" w:hAnsi="Arial"/>
          <w:sz w:val="14"/>
          <w:szCs w:val="14"/>
          <w:u w:val="single" w:color="auto"/>
          <w:color w:val="auto"/>
        </w:rPr>
        <w:t>Section 409A</w:t>
      </w:r>
      <w:r>
        <w:rPr>
          <w:rFonts w:ascii="Arial" w:cs="Arial" w:eastAsia="Arial" w:hAnsi="Arial"/>
          <w:sz w:val="14"/>
          <w:szCs w:val="14"/>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940" w:right="299" w:bottom="1440" w:gutter="0" w:footer="0" w:header="0"/>
        </w:sectPr>
      </w:pPr>
    </w:p>
    <w:bookmarkStart w:id="37" w:name="page38"/>
    <w:bookmarkEnd w:id="37"/>
    <w:p>
      <w:pPr>
        <w:ind w:left="280"/>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parties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APPFOLIO, INC.</w:t>
      </w:r>
    </w:p>
    <w:p>
      <w:pPr>
        <w:spacing w:after="0" w:line="32" w:lineRule="exact"/>
        <w:rPr>
          <w:sz w:val="20"/>
          <w:szCs w:val="20"/>
          <w:color w:val="auto"/>
        </w:rPr>
      </w:pPr>
    </w:p>
    <w:p>
      <w:pPr>
        <w:ind w:left="4680"/>
        <w:spacing w:after="0"/>
        <w:tabs>
          <w:tab w:leader="none" w:pos="5080" w:val="left"/>
        </w:tabs>
        <w:rPr>
          <w:sz w:val="20"/>
          <w:szCs w:val="20"/>
          <w:color w:val="auto"/>
        </w:rPr>
      </w:pPr>
      <w:r>
        <w:rPr>
          <w:rFonts w:ascii="Arial" w:cs="Arial" w:eastAsia="Arial" w:hAnsi="Arial"/>
          <w:sz w:val="14"/>
          <w:szCs w:val="14"/>
          <w:color w:val="auto"/>
        </w:rPr>
        <w:t>By:</w:t>
        <w:tab/>
        <w:t>/s/ Andreas von Blottnitz</w:t>
      </w:r>
    </w:p>
    <w:p>
      <w:pPr>
        <w:spacing w:after="0" w:line="21" w:lineRule="exact"/>
        <w:rPr>
          <w:sz w:val="20"/>
          <w:szCs w:val="20"/>
          <w:color w:val="auto"/>
        </w:rPr>
      </w:pPr>
    </w:p>
    <w:p>
      <w:pPr>
        <w:ind w:left="4500"/>
        <w:spacing w:after="0"/>
        <w:tabs>
          <w:tab w:leader="none" w:pos="5080" w:val="left"/>
        </w:tabs>
        <w:rPr>
          <w:sz w:val="20"/>
          <w:szCs w:val="20"/>
          <w:color w:val="auto"/>
        </w:rPr>
      </w:pPr>
      <w:r>
        <w:rPr>
          <w:rFonts w:ascii="Arial" w:cs="Arial" w:eastAsia="Arial" w:hAnsi="Arial"/>
          <w:sz w:val="14"/>
          <w:szCs w:val="14"/>
          <w:color w:val="auto"/>
        </w:rPr>
        <w:t>Name:</w:t>
        <w:tab/>
        <w:t>Andreas von Blottnitz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-99695</wp:posOffset>
            </wp:positionV>
            <wp:extent cx="368046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80460" cy="5715"/>
                    </a:xfrm>
                    <a:prstGeom prst="rect">
                      <a:avLst/>
                    </a:prstGeom>
                    <a:noFill/>
                  </pic:spPr>
                </pic:pic>
              </a:graphicData>
            </a:graphic>
          </wp:anchor>
        </w:drawing>
      </w:r>
    </w:p>
    <w:p>
      <w:pPr>
        <w:spacing w:after="0" w:line="8" w:lineRule="exact"/>
        <w:rPr>
          <w:sz w:val="20"/>
          <w:szCs w:val="20"/>
          <w:color w:val="auto"/>
        </w:rPr>
      </w:pPr>
    </w:p>
    <w:p>
      <w:pPr>
        <w:jc w:val="both"/>
        <w:ind w:left="4580"/>
        <w:spacing w:after="0"/>
        <w:tabs>
          <w:tab w:leader="none" w:pos="5080" w:val="left"/>
        </w:tabs>
        <w:rPr>
          <w:sz w:val="20"/>
          <w:szCs w:val="20"/>
          <w:color w:val="auto"/>
        </w:rPr>
      </w:pPr>
      <w:r>
        <w:rPr>
          <w:rFonts w:ascii="Arial" w:cs="Arial" w:eastAsia="Arial" w:hAnsi="Arial"/>
          <w:sz w:val="14"/>
          <w:szCs w:val="14"/>
          <w:color w:val="auto"/>
        </w:rPr>
        <w:t>Title:</w:t>
        <w:tab/>
        <w:t>Chairperson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19685</wp:posOffset>
            </wp:positionV>
            <wp:extent cx="36804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80460" cy="5715"/>
                    </a:xfrm>
                    <a:prstGeom prst="rect">
                      <a:avLst/>
                    </a:prstGeom>
                    <a:noFill/>
                  </pic:spPr>
                </pic:pic>
              </a:graphicData>
            </a:graphic>
          </wp:anchor>
        </w:drawing>
        <w:drawing>
          <wp:anchor simplePos="0" relativeHeight="251657728" behindDoc="1" locked="0" layoutInCell="0" allowOverlap="1">
            <wp:simplePos x="0" y="0"/>
            <wp:positionH relativeFrom="column">
              <wp:posOffset>3112135</wp:posOffset>
            </wp:positionH>
            <wp:positionV relativeFrom="paragraph">
              <wp:posOffset>-99695</wp:posOffset>
            </wp:positionV>
            <wp:extent cx="368046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8046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JASON RANDALL</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15240</wp:posOffset>
            </wp:positionV>
            <wp:extent cx="36804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80460" cy="5715"/>
                    </a:xfrm>
                    <a:prstGeom prst="rect">
                      <a:avLst/>
                    </a:prstGeom>
                    <a:noFill/>
                  </pic:spPr>
                </pic:pic>
              </a:graphicData>
            </a:graphic>
          </wp:anchor>
        </w:drawing>
      </w:r>
    </w:p>
    <w:p>
      <w:pPr>
        <w:spacing w:after="0" w:line="8"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Jason Randall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20"/>
        <w:spacing w:after="0"/>
        <w:rPr>
          <w:sz w:val="20"/>
          <w:szCs w:val="20"/>
          <w:color w:val="auto"/>
        </w:rPr>
      </w:pPr>
      <w:r>
        <w:rPr>
          <w:rFonts w:ascii="Arial" w:cs="Arial" w:eastAsia="Arial" w:hAnsi="Arial"/>
          <w:sz w:val="14"/>
          <w:szCs w:val="14"/>
          <w:i w:val="1"/>
          <w:iCs w:val="1"/>
          <w:color w:val="auto"/>
        </w:rPr>
        <w:t>[Signature Page to Employment Agreement]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019"/>
          </w:cols>
          <w:pgMar w:left="440" w:top="1237" w:right="1440" w:bottom="1440" w:gutter="0" w:footer="0" w:header="0"/>
        </w:sectPr>
      </w:pPr>
    </w:p>
    <w:bookmarkStart w:id="38" w:name="page39"/>
    <w:bookmarkEnd w:id="38"/>
    <w:p>
      <w:pPr>
        <w:ind w:left="2640"/>
        <w:spacing w:after="0"/>
        <w:rPr>
          <w:sz w:val="20"/>
          <w:szCs w:val="20"/>
          <w:color w:val="auto"/>
        </w:rPr>
      </w:pPr>
      <w:r>
        <w:rPr>
          <w:rFonts w:ascii="Arial" w:cs="Arial" w:eastAsia="Arial" w:hAnsi="Arial"/>
          <w:sz w:val="14"/>
          <w:szCs w:val="14"/>
          <w:b w:val="1"/>
          <w:bCs w:val="1"/>
          <w:u w:val="single" w:color="auto"/>
          <w:color w:val="auto"/>
        </w:rPr>
        <w:t>Exhibit A GENERAL RELEASE</w:t>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3"/>
          <w:szCs w:val="13"/>
          <w:color w:val="auto"/>
        </w:rPr>
        <w:t>I, ________________, in consideration of and subject to the performance by AppFolio, Inc. (together with its subsidiaries, the “</w:t>
      </w:r>
      <w:r>
        <w:rPr>
          <w:rFonts w:ascii="Arial" w:cs="Arial" w:eastAsia="Arial" w:hAnsi="Arial"/>
          <w:sz w:val="13"/>
          <w:szCs w:val="13"/>
          <w:u w:val="single" w:color="auto"/>
          <w:color w:val="auto"/>
        </w:rPr>
        <w:t>Company</w:t>
      </w:r>
      <w:r>
        <w:rPr>
          <w:rFonts w:ascii="Arial" w:cs="Arial" w:eastAsia="Arial" w:hAnsi="Arial"/>
          <w:sz w:val="13"/>
          <w:szCs w:val="13"/>
          <w:color w:val="auto"/>
        </w:rPr>
        <w:t>”) of its obligations under that Employment</w:t>
      </w:r>
    </w:p>
    <w:p>
      <w:pPr>
        <w:ind w:left="120"/>
        <w:spacing w:after="0"/>
        <w:tabs>
          <w:tab w:leader="none" w:pos="2060" w:val="left"/>
          <w:tab w:leader="none" w:pos="2280" w:val="left"/>
        </w:tabs>
        <w:rPr>
          <w:sz w:val="20"/>
          <w:szCs w:val="20"/>
          <w:color w:val="auto"/>
        </w:rPr>
      </w:pPr>
      <w:r>
        <w:rPr>
          <w:rFonts w:ascii="Arial" w:cs="Arial" w:eastAsia="Arial" w:hAnsi="Arial"/>
          <w:sz w:val="14"/>
          <w:szCs w:val="14"/>
          <w:color w:val="auto"/>
        </w:rPr>
        <w:t>Agreement, dated as of</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 2022 (the “</w:t>
      </w:r>
      <w:r>
        <w:rPr>
          <w:rFonts w:ascii="Arial" w:cs="Arial" w:eastAsia="Arial" w:hAnsi="Arial"/>
          <w:sz w:val="13"/>
          <w:szCs w:val="13"/>
          <w:u w:val="single" w:color="auto"/>
          <w:color w:val="auto"/>
        </w:rPr>
        <w:t>Agreement</w:t>
      </w:r>
      <w:r>
        <w:rPr>
          <w:rFonts w:ascii="Arial" w:cs="Arial" w:eastAsia="Arial" w:hAnsi="Arial"/>
          <w:sz w:val="13"/>
          <w:szCs w:val="13"/>
          <w:color w:val="auto"/>
        </w:rPr>
        <w:t>”), do hereby release and forever discharge as of the date hereof the Company and its respective affiliates and all present, former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-3810</wp:posOffset>
            </wp:positionV>
            <wp:extent cx="50863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8635" cy="5715"/>
                    </a:xfrm>
                    <a:prstGeom prst="rect">
                      <a:avLst/>
                    </a:prstGeom>
                    <a:noFill/>
                  </pic:spPr>
                </pic:pic>
              </a:graphicData>
            </a:graphic>
          </wp:anchor>
        </w:drawing>
      </w:r>
    </w:p>
    <w:p>
      <w:pPr>
        <w:jc w:val="both"/>
        <w:ind w:left="120"/>
        <w:spacing w:after="0" w:line="224" w:lineRule="auto"/>
        <w:rPr>
          <w:sz w:val="20"/>
          <w:szCs w:val="20"/>
          <w:color w:val="auto"/>
        </w:rPr>
      </w:pPr>
      <w:r>
        <w:rPr>
          <w:rFonts w:ascii="Arial" w:cs="Arial" w:eastAsia="Arial" w:hAnsi="Arial"/>
          <w:sz w:val="14"/>
          <w:szCs w:val="14"/>
          <w:color w:val="auto"/>
        </w:rPr>
        <w:t>and future managers, directors, officers, employees, successors and assigns of the Company and its affiliates and direct or indirect owners (collectively, the “</w:t>
      </w:r>
      <w:r>
        <w:rPr>
          <w:rFonts w:ascii="Arial" w:cs="Arial" w:eastAsia="Arial" w:hAnsi="Arial"/>
          <w:sz w:val="14"/>
          <w:szCs w:val="14"/>
          <w:u w:val="single" w:color="auto"/>
          <w:color w:val="auto"/>
        </w:rPr>
        <w:t>Released Parties</w:t>
      </w:r>
      <w:r>
        <w:rPr>
          <w:rFonts w:ascii="Arial" w:cs="Arial" w:eastAsia="Arial" w:hAnsi="Arial"/>
          <w:sz w:val="14"/>
          <w:szCs w:val="14"/>
          <w:color w:val="auto"/>
        </w:rPr>
        <w:t>”) to the extent provided below (this “</w:t>
      </w:r>
      <w:r>
        <w:rPr>
          <w:rFonts w:ascii="Arial" w:cs="Arial" w:eastAsia="Arial" w:hAnsi="Arial"/>
          <w:sz w:val="14"/>
          <w:szCs w:val="14"/>
          <w:u w:val="single" w:color="auto"/>
          <w:color w:val="auto"/>
        </w:rPr>
        <w:t>General Release</w:t>
      </w:r>
      <w:r>
        <w:rPr>
          <w:rFonts w:ascii="Arial" w:cs="Arial" w:eastAsia="Arial" w:hAnsi="Arial"/>
          <w:sz w:val="14"/>
          <w:szCs w:val="14"/>
          <w:color w:val="auto"/>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Agreement.</w:t>
      </w:r>
    </w:p>
    <w:p>
      <w:pPr>
        <w:spacing w:after="0" w:line="134" w:lineRule="exact"/>
        <w:rPr>
          <w:sz w:val="20"/>
          <w:szCs w:val="20"/>
          <w:color w:val="auto"/>
        </w:rPr>
      </w:pPr>
    </w:p>
    <w:p>
      <w:pPr>
        <w:jc w:val="both"/>
        <w:ind w:left="120" w:firstLine="432"/>
        <w:spacing w:after="0" w:line="222" w:lineRule="auto"/>
        <w:rPr>
          <w:sz w:val="20"/>
          <w:szCs w:val="20"/>
          <w:color w:val="auto"/>
        </w:rPr>
      </w:pPr>
      <w:r>
        <w:rPr>
          <w:rFonts w:ascii="Arial" w:cs="Arial" w:eastAsia="Arial" w:hAnsi="Arial"/>
          <w:sz w:val="14"/>
          <w:szCs w:val="14"/>
          <w:color w:val="auto"/>
        </w:rPr>
        <w:t xml:space="preserve">1. My employment or service with the Company and its affiliates terminated as of , and I hereby resign from any position as an officer, member of the board of managers or directors (as applicable) or fiduciary of the Company or its affiliates (or reaffirm any such resignation that may have already occurred). I understand that the Additional Payments and Benefits represent, in part, consideration for signing this General Release and are not salary, wages or benefits to which I was already entitled. I understand and agree that I will not receive the Additional Payments and Benefits unless I execute this General Release and do not revoke this General Release within the time period permitted hereafter. I understand and agree that such payments and benefits are subject to the restrictive covenants set forth in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 to the Agreement, which (as noted below) expressly survive my termination of employment and the execution of this General Release. Such payments and benefits will not be considered compensation for purposes of any employee benefit plan, program, policy or arrangement maintained or hereafter established by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-566420</wp:posOffset>
            </wp:positionV>
            <wp:extent cx="12573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5730" cy="5715"/>
                    </a:xfrm>
                    <a:prstGeom prst="rect">
                      <a:avLst/>
                    </a:prstGeom>
                    <a:noFill/>
                  </pic:spPr>
                </pic:pic>
              </a:graphicData>
            </a:graphic>
          </wp:anchor>
        </w:drawing>
      </w:r>
    </w:p>
    <w:p>
      <w:pPr>
        <w:spacing w:after="0" w:line="117" w:lineRule="exact"/>
        <w:rPr>
          <w:sz w:val="20"/>
          <w:szCs w:val="20"/>
          <w:color w:val="auto"/>
        </w:rPr>
      </w:pPr>
    </w:p>
    <w:p>
      <w:pPr>
        <w:jc w:val="both"/>
        <w:ind w:left="120" w:firstLine="441"/>
        <w:spacing w:after="0" w:line="236" w:lineRule="auto"/>
        <w:tabs>
          <w:tab w:leader="none" w:pos="705" w:val="left"/>
        </w:tabs>
        <w:numPr>
          <w:ilvl w:val="0"/>
          <w:numId w:val="18"/>
        </w:numPr>
        <w:rPr>
          <w:rFonts w:ascii="Arial" w:cs="Arial" w:eastAsia="Arial" w:hAnsi="Arial"/>
          <w:sz w:val="13"/>
          <w:szCs w:val="13"/>
          <w:color w:val="auto"/>
        </w:rPr>
      </w:pPr>
      <w:r>
        <w:rPr>
          <w:rFonts w:ascii="Arial" w:cs="Arial" w:eastAsia="Arial" w:hAnsi="Arial"/>
          <w:sz w:val="13"/>
          <w:szCs w:val="13"/>
          <w:color w:val="auto"/>
        </w:rPr>
        <w:t>Except as provided in paragraphs 5. and 6. below and except for the provisions of the Agreement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the California Fair Labor Standards Act; any applicable regulations or Executive Order Programs; or the state or local counterparts of all of the foregoing, including without limitation, the Fair Employment and Housing Act, as amended, the California Labor Code; the California Equal Pay Act, and the California False Claims Act; or under any public policy, contract or tort, or under common law; or arising under any policies, practices or procedures of the Company; or any claim for wrongful discharge, breach of contract, infliction of emotional</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Exhibit A - 9</w:t>
      </w:r>
    </w:p>
    <w:p>
      <w:pPr>
        <w:sectPr>
          <w:pgSz w:w="11900" w:h="16838" w:orient="portrait"/>
          <w:cols w:equalWidth="0" w:num="1">
            <w:col w:w="11080"/>
          </w:cols>
          <w:pgMar w:left="440" w:top="1057" w:right="379" w:bottom="1440" w:gutter="0" w:footer="0" w:header="0"/>
        </w:sectPr>
      </w:pPr>
    </w:p>
    <w:bookmarkStart w:id="39" w:name="page40"/>
    <w:bookmarkEnd w:id="39"/>
    <w:p>
      <w:pPr>
        <w:jc w:val="center"/>
        <w:spacing w:after="0"/>
        <w:rPr>
          <w:sz w:val="20"/>
          <w:szCs w:val="20"/>
          <w:color w:val="auto"/>
        </w:rPr>
      </w:pPr>
      <w:r>
        <w:rPr>
          <w:rFonts w:ascii="Arial" w:cs="Arial" w:eastAsia="Arial" w:hAnsi="Arial"/>
          <w:sz w:val="13"/>
          <w:szCs w:val="13"/>
          <w:color w:val="auto"/>
        </w:rPr>
        <w:t>distress, defamation; or any claim for costs, fees, or other expenses, including attorneys’ fees incurred in these matters) (all of the foregoing collectively referred to herein as the “</w:t>
      </w:r>
      <w:r>
        <w:rPr>
          <w:rFonts w:ascii="Arial" w:cs="Arial" w:eastAsia="Arial" w:hAnsi="Arial"/>
          <w:sz w:val="13"/>
          <w:szCs w:val="13"/>
          <w:u w:val="single" w:color="auto"/>
          <w:color w:val="auto"/>
        </w:rPr>
        <w:t>Claims</w:t>
      </w:r>
      <w:r>
        <w:rPr>
          <w:rFonts w:ascii="Arial" w:cs="Arial" w:eastAsia="Arial" w:hAnsi="Arial"/>
          <w:sz w:val="13"/>
          <w:szCs w:val="13"/>
          <w:color w:val="auto"/>
        </w:rPr>
        <w:t>”).</w:t>
      </w:r>
    </w:p>
    <w:p>
      <w:pPr>
        <w:spacing w:after="0" w:line="166" w:lineRule="exact"/>
        <w:rPr>
          <w:sz w:val="20"/>
          <w:szCs w:val="20"/>
          <w:color w:val="auto"/>
        </w:rPr>
      </w:pPr>
    </w:p>
    <w:p>
      <w:pPr>
        <w:ind w:left="120" w:firstLine="441"/>
        <w:spacing w:after="0" w:line="246"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released claims described in paragraph 2. hereof include all such claims, whether known or unknown by me. Therefore, I waive the effect of California Civil Code § 1542 and any other analogous provision of applicable law of any jurisdiction. Section 1542 states:</w:t>
      </w:r>
    </w:p>
    <w:p>
      <w:pPr>
        <w:spacing w:after="0" w:line="116" w:lineRule="exact"/>
        <w:rPr>
          <w:sz w:val="20"/>
          <w:szCs w:val="20"/>
          <w:color w:val="auto"/>
        </w:rPr>
      </w:pPr>
    </w:p>
    <w:p>
      <w:pPr>
        <w:jc w:val="both"/>
        <w:ind w:left="560" w:right="480"/>
        <w:spacing w:after="0" w:line="235" w:lineRule="auto"/>
        <w:rPr>
          <w:sz w:val="20"/>
          <w:szCs w:val="20"/>
          <w:color w:val="auto"/>
        </w:rPr>
      </w:pPr>
      <w:r>
        <w:rPr>
          <w:rFonts w:ascii="Arial" w:cs="Arial" w:eastAsia="Arial" w:hAnsi="Arial"/>
          <w:sz w:val="14"/>
          <w:szCs w:val="14"/>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25" w:lineRule="exact"/>
        <w:rPr>
          <w:sz w:val="20"/>
          <w:szCs w:val="20"/>
          <w:color w:val="auto"/>
        </w:rPr>
      </w:pPr>
    </w:p>
    <w:p>
      <w:pPr>
        <w:jc w:val="both"/>
        <w:ind w:left="120"/>
        <w:spacing w:after="0" w:line="233" w:lineRule="auto"/>
        <w:rPr>
          <w:sz w:val="20"/>
          <w:szCs w:val="20"/>
          <w:color w:val="auto"/>
        </w:rPr>
      </w:pPr>
      <w:r>
        <w:rPr>
          <w:rFonts w:ascii="Arial" w:cs="Arial" w:eastAsia="Arial" w:hAnsi="Arial"/>
          <w:sz w:val="14"/>
          <w:szCs w:val="14"/>
          <w:color w:val="auto"/>
        </w:rPr>
        <w:t>Notwithstanding the provisions of Section 1542, and for the purpose of implementing a full and complete release and discharge, I expressly acknowledge that the Separation Agreement is intended to include, and does include in its effect, without limitation, all claims which I do not know or suspect to exist in my favor against Releasees at the time of execution hereof, and that the settlement agreed upon expressly contemplates the extinguishment of all such claims, except as otherwise provided herein.</w:t>
      </w:r>
    </w:p>
    <w:p>
      <w:pPr>
        <w:spacing w:after="0" w:line="125" w:lineRule="exact"/>
        <w:rPr>
          <w:sz w:val="20"/>
          <w:szCs w:val="20"/>
          <w:color w:val="auto"/>
        </w:rPr>
      </w:pPr>
    </w:p>
    <w:p>
      <w:pPr>
        <w:ind w:left="720" w:hanging="159"/>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represent that I have made no assignment or transfer of any right, claim, demand, cause of action, or other matter covered by paragraph 2. above.</w:t>
      </w:r>
    </w:p>
    <w:p>
      <w:pPr>
        <w:spacing w:after="0" w:line="154" w:lineRule="exact"/>
        <w:rPr>
          <w:rFonts w:ascii="Arial" w:cs="Arial" w:eastAsia="Arial" w:hAnsi="Arial"/>
          <w:sz w:val="14"/>
          <w:szCs w:val="14"/>
          <w:color w:val="auto"/>
        </w:rPr>
      </w:pPr>
    </w:p>
    <w:p>
      <w:pPr>
        <w:jc w:val="both"/>
        <w:ind w:left="120" w:firstLine="441"/>
        <w:spacing w:after="0" w:line="23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agree that this General Release does not waive or release any rights or claims that may arise under the Age Discrimination in Employment Act of 1967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134" w:lineRule="exact"/>
        <w:rPr>
          <w:rFonts w:ascii="Arial" w:cs="Arial" w:eastAsia="Arial" w:hAnsi="Arial"/>
          <w:sz w:val="14"/>
          <w:szCs w:val="14"/>
          <w:color w:val="auto"/>
        </w:rPr>
      </w:pPr>
    </w:p>
    <w:p>
      <w:pPr>
        <w:jc w:val="both"/>
        <w:ind w:left="120" w:firstLine="441"/>
        <w:spacing w:after="0" w:line="222"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 agree that I hereby waive all rights to sue or obtain equitable, remedial or punitive relief from any or all Released Parties of any kind whatsoever in respect of any Claim, including, without limitation, reinstatement, back pay, front pay, and any form of injunctive relief. Notwithstanding the above, I further acknowledge that I am not waiving and am not being required to waive any right that cannot be waived under law, including the right to file an administrative charge or participate in an administrative investigation or proceeding;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 disclaim and waive any right to share or participate in any monetary award resulting from the prosecution of such charge or investigation or proceeding. Additionally, I am not waiving (i) any right to the Accrued Benefits or any Additional Payments and Benefits to which I am entitled under the Agreement, (ii) any claim relating to directors’ and officers’ liability insurance coverage or any right of indemnification under the Company’s organizational documents or otherwise, or (iii) my rights as an equity or security holder in the Company or its affiliates.</w:t>
      </w:r>
    </w:p>
    <w:p>
      <w:pPr>
        <w:spacing w:after="0" w:line="136" w:lineRule="exact"/>
        <w:rPr>
          <w:rFonts w:ascii="Arial" w:cs="Arial" w:eastAsia="Arial" w:hAnsi="Arial"/>
          <w:sz w:val="14"/>
          <w:szCs w:val="14"/>
          <w:color w:val="auto"/>
        </w:rPr>
      </w:pPr>
    </w:p>
    <w:p>
      <w:pPr>
        <w:jc w:val="both"/>
        <w:ind w:left="120" w:firstLine="441"/>
        <w:spacing w:after="0" w:line="226"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Exhibit A - 10</w:t>
      </w:r>
    </w:p>
    <w:p>
      <w:pPr>
        <w:sectPr>
          <w:pgSz w:w="11900" w:h="16838" w:orient="portrait"/>
          <w:cols w:equalWidth="0" w:num="1">
            <w:col w:w="11080"/>
          </w:cols>
          <w:pgMar w:left="440" w:top="944" w:right="379" w:bottom="1440" w:gutter="0" w:footer="0" w:header="0"/>
        </w:sectPr>
      </w:pPr>
    </w:p>
    <w:bookmarkStart w:id="40" w:name="page41"/>
    <w:bookmarkEnd w:id="40"/>
    <w:p>
      <w:pPr>
        <w:jc w:val="both"/>
        <w:ind w:left="120"/>
        <w:spacing w:after="0" w:line="233" w:lineRule="auto"/>
        <w:rPr>
          <w:sz w:val="20"/>
          <w:szCs w:val="20"/>
          <w:color w:val="auto"/>
        </w:rPr>
      </w:pPr>
      <w:r>
        <w:rPr>
          <w:rFonts w:ascii="Arial" w:cs="Arial" w:eastAsia="Arial" w:hAnsi="Arial"/>
          <w:sz w:val="14"/>
          <w:szCs w:val="14"/>
          <w:color w:val="auto"/>
        </w:rPr>
        <w:t>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 agree that I am not aware of any pending claim of the type described in paragraph 2. above as of the execution of this General Release.</w:t>
      </w:r>
    </w:p>
    <w:p>
      <w:pPr>
        <w:spacing w:after="0" w:line="134" w:lineRule="exact"/>
        <w:rPr>
          <w:sz w:val="20"/>
          <w:szCs w:val="20"/>
          <w:color w:val="auto"/>
        </w:rPr>
      </w:pPr>
    </w:p>
    <w:p>
      <w:pPr>
        <w:jc w:val="both"/>
        <w:ind w:left="120" w:firstLine="432"/>
        <w:spacing w:after="0" w:line="246" w:lineRule="auto"/>
        <w:rPr>
          <w:sz w:val="20"/>
          <w:szCs w:val="20"/>
          <w:color w:val="auto"/>
        </w:rPr>
      </w:pPr>
      <w:r>
        <w:rPr>
          <w:rFonts w:ascii="Arial" w:cs="Arial" w:eastAsia="Arial" w:hAnsi="Arial"/>
          <w:sz w:val="14"/>
          <w:szCs w:val="14"/>
          <w:color w:val="auto"/>
        </w:rPr>
        <w:t>a. 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29" w:lineRule="exact"/>
        <w:rPr>
          <w:sz w:val="20"/>
          <w:szCs w:val="20"/>
          <w:color w:val="auto"/>
        </w:rPr>
      </w:pPr>
    </w:p>
    <w:p>
      <w:pPr>
        <w:jc w:val="both"/>
        <w:ind w:left="120" w:firstLine="432"/>
        <w:spacing w:after="0" w:line="246" w:lineRule="auto"/>
        <w:rPr>
          <w:sz w:val="20"/>
          <w:szCs w:val="20"/>
          <w:color w:val="auto"/>
        </w:rPr>
      </w:pPr>
      <w:r>
        <w:rPr>
          <w:rFonts w:ascii="Arial" w:cs="Arial" w:eastAsia="Arial" w:hAnsi="Arial"/>
          <w:sz w:val="14"/>
          <w:szCs w:val="14"/>
          <w:color w:val="auto"/>
        </w:rPr>
        <w:t>b. I agree that if I violate this General Release by suing the Company or the other Released Parties, I will pay all costs and expenses of defending against the suit incurred by the Released Parties, including reasonable attorneys’ fees.</w:t>
      </w:r>
    </w:p>
    <w:p>
      <w:pPr>
        <w:spacing w:after="0" w:line="120" w:lineRule="exact"/>
        <w:rPr>
          <w:sz w:val="20"/>
          <w:szCs w:val="20"/>
          <w:color w:val="auto"/>
        </w:rPr>
      </w:pPr>
    </w:p>
    <w:p>
      <w:pPr>
        <w:jc w:val="both"/>
        <w:ind w:left="120" w:firstLine="441"/>
        <w:spacing w:after="0" w:line="233" w:lineRule="auto"/>
        <w:tabs>
          <w:tab w:leader="none" w:pos="70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any other self-regulatory organization or any governmental entity.</w:t>
      </w:r>
    </w:p>
    <w:p>
      <w:pPr>
        <w:spacing w:after="0" w:line="134" w:lineRule="exact"/>
        <w:rPr>
          <w:rFonts w:ascii="Arial" w:cs="Arial" w:eastAsia="Arial" w:hAnsi="Arial"/>
          <w:sz w:val="14"/>
          <w:szCs w:val="14"/>
          <w:color w:val="auto"/>
        </w:rPr>
      </w:pPr>
    </w:p>
    <w:p>
      <w:pPr>
        <w:ind w:left="720" w:hanging="159"/>
        <w:spacing w:after="0"/>
        <w:tabs>
          <w:tab w:leader="none" w:pos="7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I hereby acknowledge that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of the Agreement shall survive as applicable therein my execution of this General Release.</w:t>
      </w:r>
    </w:p>
    <w:p>
      <w:pPr>
        <w:spacing w:after="0" w:line="154" w:lineRule="exact"/>
        <w:rPr>
          <w:rFonts w:ascii="Arial" w:cs="Arial" w:eastAsia="Arial" w:hAnsi="Arial"/>
          <w:sz w:val="14"/>
          <w:szCs w:val="14"/>
          <w:color w:val="auto"/>
        </w:rPr>
      </w:pPr>
    </w:p>
    <w:p>
      <w:pPr>
        <w:ind w:left="120" w:firstLine="441"/>
        <w:spacing w:after="0" w:line="246" w:lineRule="auto"/>
        <w:tabs>
          <w:tab w:leader="none" w:pos="706"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119" w:lineRule="exact"/>
        <w:rPr>
          <w:rFonts w:ascii="Arial" w:cs="Arial" w:eastAsia="Arial" w:hAnsi="Arial"/>
          <w:sz w:val="14"/>
          <w:szCs w:val="14"/>
          <w:color w:val="auto"/>
        </w:rPr>
      </w:pPr>
    </w:p>
    <w:p>
      <w:pPr>
        <w:jc w:val="both"/>
        <w:ind w:left="120" w:firstLine="441"/>
        <w:spacing w:after="0" w:line="228" w:lineRule="auto"/>
        <w:tabs>
          <w:tab w:leader="none" w:pos="699" w:val="left"/>
        </w:tabs>
        <w:numPr>
          <w:ilvl w:val="0"/>
          <w:numId w:val="21"/>
        </w:numPr>
        <w:rPr>
          <w:rFonts w:ascii="Arial" w:cs="Arial" w:eastAsia="Arial" w:hAnsi="Arial"/>
          <w:sz w:val="14"/>
          <w:szCs w:val="14"/>
          <w:color w:val="auto"/>
        </w:rPr>
      </w:pPr>
      <w:r>
        <w:rPr>
          <w:rFonts w:ascii="Arial" w:cs="Arial" w:eastAsia="Arial" w:hAnsi="Arial"/>
          <w:sz w:val="14"/>
          <w:szCs w:val="14"/>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BY SIGNING THIS GENERAL RELEASE, I REPRESENT AND AGREE THAT:</w:t>
      </w:r>
    </w:p>
    <w:p>
      <w:pPr>
        <w:spacing w:after="0" w:line="181" w:lineRule="exact"/>
        <w:rPr>
          <w:sz w:val="20"/>
          <w:szCs w:val="20"/>
          <w:color w:val="auto"/>
        </w:rPr>
      </w:pPr>
    </w:p>
    <w:p>
      <w:pPr>
        <w:ind w:left="1000" w:hanging="439"/>
        <w:spacing w:after="0"/>
        <w:tabs>
          <w:tab w:leader="none" w:pos="1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 HAVE READ IT CAREFULLY;</w:t>
      </w:r>
    </w:p>
    <w:p>
      <w:pPr>
        <w:spacing w:after="0" w:line="154" w:lineRule="exact"/>
        <w:rPr>
          <w:rFonts w:ascii="Arial" w:cs="Arial" w:eastAsia="Arial" w:hAnsi="Arial"/>
          <w:sz w:val="14"/>
          <w:szCs w:val="14"/>
          <w:color w:val="auto"/>
        </w:rPr>
      </w:pPr>
    </w:p>
    <w:p>
      <w:pPr>
        <w:ind w:left="1000" w:hanging="440"/>
        <w:spacing w:after="0"/>
        <w:tabs>
          <w:tab w:leader="none" w:pos="1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 UNDERSTAND ALL OF ITS TERMS AND KNOW THAT I AM GIVING UP IMPORTANT RIGHTS;</w:t>
      </w:r>
    </w:p>
    <w:p>
      <w:pPr>
        <w:spacing w:after="0" w:line="154" w:lineRule="exact"/>
        <w:rPr>
          <w:rFonts w:ascii="Arial" w:cs="Arial" w:eastAsia="Arial" w:hAnsi="Arial"/>
          <w:sz w:val="14"/>
          <w:szCs w:val="14"/>
          <w:color w:val="auto"/>
        </w:rPr>
      </w:pPr>
    </w:p>
    <w:p>
      <w:pPr>
        <w:ind w:left="1000" w:hanging="439"/>
        <w:spacing w:after="0"/>
        <w:tabs>
          <w:tab w:leader="none" w:pos="1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 VOLUNTARILY CONSENT TO EVERYTHING IN IT;</w:t>
      </w:r>
    </w:p>
    <w:p>
      <w:pPr>
        <w:spacing w:after="0" w:line="145" w:lineRule="exact"/>
        <w:rPr>
          <w:rFonts w:ascii="Arial" w:cs="Arial" w:eastAsia="Arial" w:hAnsi="Arial"/>
          <w:sz w:val="14"/>
          <w:szCs w:val="14"/>
          <w:color w:val="auto"/>
        </w:rPr>
      </w:pPr>
    </w:p>
    <w:p>
      <w:pPr>
        <w:ind w:left="1000" w:hanging="440"/>
        <w:spacing w:after="0" w:line="246" w:lineRule="auto"/>
        <w:tabs>
          <w:tab w:leader="none" w:pos="1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 HAVE BEEN ADVISED TO CONSULT WITH AN ATTORNEY BEFORE EXECUTING IT AND I HAVE DONE SO OR, AFTER CAREFUL READING AND CONSIDERATION, I HAVE CHOSEN NOT TO DO SO OF MY OWN VOLITION;</w:t>
      </w:r>
    </w:p>
    <w:p>
      <w:pPr>
        <w:spacing w:after="0" w:line="124" w:lineRule="exact"/>
        <w:rPr>
          <w:rFonts w:ascii="Arial" w:cs="Arial" w:eastAsia="Arial" w:hAnsi="Arial"/>
          <w:sz w:val="14"/>
          <w:szCs w:val="14"/>
          <w:color w:val="auto"/>
        </w:rPr>
      </w:pPr>
    </w:p>
    <w:p>
      <w:pPr>
        <w:ind w:left="1000" w:hanging="440"/>
        <w:spacing w:after="0" w:line="252" w:lineRule="auto"/>
        <w:tabs>
          <w:tab w:leader="none" w:pos="1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I HAVE HAD AT LEAST </w:t>
      </w:r>
      <w:r>
        <w:rPr>
          <w:rFonts w:ascii="Arial" w:cs="Arial" w:eastAsia="Arial" w:hAnsi="Arial"/>
          <w:sz w:val="14"/>
          <w:szCs w:val="14"/>
          <w:b w:val="1"/>
          <w:bCs w:val="1"/>
          <w:color w:val="auto"/>
        </w:rPr>
        <w:t>21</w:t>
      </w:r>
      <w:r>
        <w:rPr>
          <w:rFonts w:ascii="Arial" w:cs="Arial" w:eastAsia="Arial" w:hAnsi="Arial"/>
          <w:sz w:val="14"/>
          <w:szCs w:val="14"/>
          <w:color w:val="auto"/>
        </w:rPr>
        <w:t xml:space="preserve"> DAYS FROM THE DATE OF MY RECEIPT OF THIS RELEASE TO CONSIDER IT, AND THE CHANGES MADE SINCE MY RECEIPT OF THIS RELEASE ARE NOT MATERIAL OR WERE MADE AT MY REQUEST AND WILL NOT RESTART THE REQUIRED </w:t>
      </w:r>
      <w:r>
        <w:rPr>
          <w:rFonts w:ascii="Arial" w:cs="Arial" w:eastAsia="Arial" w:hAnsi="Arial"/>
          <w:sz w:val="14"/>
          <w:szCs w:val="14"/>
          <w:b w:val="1"/>
          <w:bCs w:val="1"/>
          <w:color w:val="auto"/>
        </w:rPr>
        <w:t>21</w:t>
      </w:r>
      <w:r>
        <w:rPr>
          <w:rFonts w:ascii="Arial" w:cs="Arial" w:eastAsia="Arial" w:hAnsi="Arial"/>
          <w:sz w:val="14"/>
          <w:szCs w:val="14"/>
          <w:color w:val="auto"/>
        </w:rPr>
        <w:t>-DAY PERIOD;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Exhibit A - 11</w:t>
      </w:r>
    </w:p>
    <w:p>
      <w:pPr>
        <w:sectPr>
          <w:pgSz w:w="11900" w:h="16838" w:orient="portrait"/>
          <w:cols w:equalWidth="0" w:num="1">
            <w:col w:w="11080"/>
          </w:cols>
          <w:pgMar w:left="440" w:top="944" w:right="379" w:bottom="1440" w:gutter="0" w:footer="0" w:header="0"/>
        </w:sectPr>
      </w:pPr>
    </w:p>
    <w:bookmarkStart w:id="41" w:name="page42"/>
    <w:bookmarkEnd w:id="41"/>
    <w:p>
      <w:pPr>
        <w:ind w:left="1000" w:hanging="440"/>
        <w:spacing w:after="0" w:line="246" w:lineRule="auto"/>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 UNDERSTAND THAT I HAVE SEVEN (7) DAYS AFTER THE EXECUTION OF THIS RELEASE TO REVOKE IT AND THAT THIS RELEASE SHALL NOT BECOME EFFECTIVE OR ENFORCEABLE UNTIL THE REVOCATION PERIOD HAS EXPIRED;</w:t>
      </w:r>
    </w:p>
    <w:p>
      <w:pPr>
        <w:spacing w:after="0" w:line="119" w:lineRule="exact"/>
        <w:rPr>
          <w:rFonts w:ascii="Arial" w:cs="Arial" w:eastAsia="Arial" w:hAnsi="Arial"/>
          <w:sz w:val="14"/>
          <w:szCs w:val="14"/>
          <w:color w:val="auto"/>
        </w:rPr>
      </w:pPr>
    </w:p>
    <w:p>
      <w:pPr>
        <w:ind w:left="1000" w:hanging="440"/>
        <w:spacing w:after="0" w:line="246" w:lineRule="auto"/>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 HAVE SIGNED THIS GENERAL RELEASE KNOWINGLY AND VOLUNTARILY AND WITH THE ADVICE OF ANY COUNSEL RETAINED TO ADVISE ME WITH RESPECT TO IT; AND</w:t>
      </w:r>
    </w:p>
    <w:p>
      <w:pPr>
        <w:spacing w:after="0" w:line="128" w:lineRule="exact"/>
        <w:rPr>
          <w:rFonts w:ascii="Arial" w:cs="Arial" w:eastAsia="Arial" w:hAnsi="Arial"/>
          <w:sz w:val="14"/>
          <w:szCs w:val="14"/>
          <w:color w:val="auto"/>
        </w:rPr>
      </w:pPr>
    </w:p>
    <w:p>
      <w:pPr>
        <w:ind w:left="1000" w:hanging="440"/>
        <w:spacing w:after="0" w:line="246" w:lineRule="auto"/>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 AGREE THAT THE PROVISIONS OF THIS GENERAL RELEASE MAY NOT BE AMENDED, WAIVED, CHANGED OR MODIFIED EXCEPT BY AN INSTRUMENT IN WRITING SIGNED BY AN AUTHORIZED REPRESENTATIVE OF THE COMPANY AND BY ME.</w:t>
      </w:r>
    </w:p>
    <w:p>
      <w:pPr>
        <w:spacing w:after="0" w:line="300" w:lineRule="exact"/>
        <w:rPr>
          <w:sz w:val="20"/>
          <w:szCs w:val="20"/>
          <w:color w:val="auto"/>
        </w:rPr>
      </w:pPr>
    </w:p>
    <w:p>
      <w:pPr>
        <w:ind w:left="3120"/>
        <w:spacing w:after="0"/>
        <w:tabs>
          <w:tab w:leader="none" w:pos="5700" w:val="left"/>
        </w:tabs>
        <w:rPr>
          <w:sz w:val="20"/>
          <w:szCs w:val="20"/>
          <w:color w:val="auto"/>
        </w:rPr>
      </w:pPr>
      <w:r>
        <w:rPr>
          <w:rFonts w:ascii="Arial" w:cs="Arial" w:eastAsia="Arial" w:hAnsi="Arial"/>
          <w:sz w:val="14"/>
          <w:szCs w:val="14"/>
          <w:color w:val="auto"/>
        </w:rPr>
        <w:t>SIGNED:__________________________</w:t>
      </w:r>
      <w:r>
        <w:rPr>
          <w:sz w:val="20"/>
          <w:szCs w:val="20"/>
          <w:color w:val="auto"/>
        </w:rPr>
        <w:tab/>
      </w:r>
      <w:r>
        <w:rPr>
          <w:rFonts w:ascii="Arial" w:cs="Arial" w:eastAsia="Arial" w:hAnsi="Arial"/>
          <w:sz w:val="13"/>
          <w:szCs w:val="13"/>
          <w:color w:val="auto"/>
        </w:rPr>
        <w:t>DATED:_________________</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Exhibit A - 12</w:t>
      </w:r>
    </w:p>
    <w:p>
      <w:pPr>
        <w:sectPr>
          <w:pgSz w:w="11900" w:h="16838" w:orient="portrait"/>
          <w:cols w:equalWidth="0" w:num="1">
            <w:col w:w="11080"/>
          </w:cols>
          <w:pgMar w:left="440" w:top="1115" w:right="379" w:bottom="1440" w:gutter="0" w:footer="0" w:header="0"/>
        </w:sectPr>
      </w:pPr>
    </w:p>
    <w:bookmarkStart w:id="42" w:name="page43"/>
    <w:bookmarkEnd w:id="42"/>
    <w:p>
      <w:pPr>
        <w:jc w:val="center"/>
        <w:spacing w:after="0"/>
        <w:rPr>
          <w:sz w:val="20"/>
          <w:szCs w:val="20"/>
          <w:color w:val="auto"/>
        </w:rPr>
      </w:pPr>
      <w:r>
        <w:rPr>
          <w:rFonts w:ascii="Arial" w:cs="Arial" w:eastAsia="Arial" w:hAnsi="Arial"/>
          <w:sz w:val="14"/>
          <w:szCs w:val="14"/>
          <w:b w:val="1"/>
          <w:bCs w:val="1"/>
          <w:u w:val="single" w:color="auto"/>
          <w:color w:val="auto"/>
        </w:rPr>
        <w:t>Exhibit B</w:t>
      </w:r>
    </w:p>
    <w:p>
      <w:pPr>
        <w:spacing w:after="0" w:line="253" w:lineRule="exact"/>
        <w:rPr>
          <w:sz w:val="20"/>
          <w:szCs w:val="20"/>
          <w:color w:val="auto"/>
        </w:rPr>
      </w:pPr>
    </w:p>
    <w:p>
      <w:pPr>
        <w:jc w:val="center"/>
        <w:ind w:right="399"/>
        <w:spacing w:after="0"/>
        <w:rPr>
          <w:sz w:val="20"/>
          <w:szCs w:val="20"/>
          <w:color w:val="auto"/>
        </w:rPr>
      </w:pPr>
      <w:r>
        <w:rPr>
          <w:rFonts w:ascii="Arial" w:cs="Arial" w:eastAsia="Arial" w:hAnsi="Arial"/>
          <w:sz w:val="13"/>
          <w:szCs w:val="13"/>
          <w:b w:val="1"/>
          <w:bCs w:val="1"/>
          <w:color w:val="auto"/>
        </w:rPr>
        <w:t>[Employee Proprietary Information and Invention Assignment Agreement]</w:t>
      </w:r>
    </w:p>
    <w:p>
      <w:pPr>
        <w:spacing w:after="0" w:line="184"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color w:val="auto"/>
        </w:rPr>
        <w:t>(Attached)</w:t>
      </w: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Exhibit B - 1</w:t>
      </w:r>
    </w:p>
    <w:p>
      <w:pPr>
        <w:sectPr>
          <w:pgSz w:w="11900" w:h="16838" w:orient="portrait"/>
          <w:cols w:equalWidth="0" w:num="1">
            <w:col w:w="9019"/>
          </w:cols>
          <w:pgMar w:left="1440" w:top="796"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 Jason Randall, certify that:</w:t>
      </w:r>
    </w:p>
    <w:p>
      <w:pPr>
        <w:spacing w:after="0" w:line="96" w:lineRule="exact"/>
        <w:rPr>
          <w:sz w:val="20"/>
          <w:szCs w:val="20"/>
          <w:color w:val="auto"/>
        </w:rPr>
      </w:pPr>
    </w:p>
    <w:p>
      <w:pPr>
        <w:ind w:left="1100" w:hanging="1096"/>
        <w:spacing w:after="0"/>
        <w:tabs>
          <w:tab w:leader="none" w:pos="11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AppFolio, Inc.;</w:t>
      </w:r>
    </w:p>
    <w:p>
      <w:pPr>
        <w:spacing w:after="0" w:line="87" w:lineRule="exact"/>
        <w:rPr>
          <w:rFonts w:ascii="Arial" w:cs="Arial" w:eastAsia="Arial" w:hAnsi="Arial"/>
          <w:sz w:val="12"/>
          <w:szCs w:val="12"/>
          <w:color w:val="auto"/>
        </w:rPr>
      </w:pPr>
    </w:p>
    <w:p>
      <w:pPr>
        <w:ind w:left="1100" w:right="20" w:hanging="1096"/>
        <w:spacing w:after="0" w:line="234" w:lineRule="auto"/>
        <w:tabs>
          <w:tab w:leader="none" w:pos="11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2"/>
          <w:szCs w:val="12"/>
          <w:color w:val="auto"/>
        </w:rPr>
      </w:pPr>
    </w:p>
    <w:p>
      <w:pPr>
        <w:ind w:left="1100" w:right="20" w:hanging="1096"/>
        <w:spacing w:after="0" w:line="234" w:lineRule="auto"/>
        <w:tabs>
          <w:tab w:leader="none" w:pos="11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Arial" w:cs="Arial" w:eastAsia="Arial" w:hAnsi="Arial"/>
          <w:sz w:val="12"/>
          <w:szCs w:val="12"/>
          <w:color w:val="auto"/>
        </w:rPr>
      </w:pPr>
    </w:p>
    <w:p>
      <w:pPr>
        <w:ind w:left="1100" w:right="20" w:hanging="1096"/>
        <w:spacing w:after="0" w:line="234" w:lineRule="auto"/>
        <w:tabs>
          <w:tab w:leader="none" w:pos="11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72" w:lineRule="exact"/>
        <w:rPr>
          <w:rFonts w:ascii="Arial" w:cs="Arial" w:eastAsia="Arial" w:hAnsi="Arial"/>
          <w:sz w:val="12"/>
          <w:szCs w:val="12"/>
          <w:color w:val="auto"/>
        </w:rPr>
      </w:pPr>
    </w:p>
    <w:p>
      <w:pPr>
        <w:ind w:left="2300" w:right="40" w:hanging="528"/>
        <w:spacing w:after="0" w:line="272" w:lineRule="auto"/>
        <w:tabs>
          <w:tab w:leader="none" w:pos="2300" w:val="left"/>
        </w:tabs>
        <w:numPr>
          <w:ilvl w:val="2"/>
          <w:numId w:val="24"/>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1"/>
          <w:szCs w:val="11"/>
          <w:color w:val="auto"/>
        </w:rPr>
      </w:pPr>
    </w:p>
    <w:p>
      <w:pPr>
        <w:ind w:left="2300" w:right="300" w:hanging="528"/>
        <w:spacing w:after="0" w:line="323" w:lineRule="auto"/>
        <w:tabs>
          <w:tab w:leader="none" w:pos="2300" w:val="left"/>
        </w:tabs>
        <w:numPr>
          <w:ilvl w:val="2"/>
          <w:numId w:val="24"/>
        </w:numPr>
        <w:rPr>
          <w:rFonts w:ascii="Arial" w:cs="Arial" w:eastAsia="Arial" w:hAnsi="Arial"/>
          <w:sz w:val="10"/>
          <w:szCs w:val="10"/>
          <w:color w:val="auto"/>
        </w:rPr>
      </w:pPr>
      <w:r>
        <w:rPr>
          <w:rFonts w:ascii="Arial" w:cs="Arial" w:eastAsia="Arial" w:hAnsi="Arial"/>
          <w:sz w:val="10"/>
          <w:szCs w:val="1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0"/>
          <w:szCs w:val="10"/>
          <w:color w:val="auto"/>
        </w:rPr>
      </w:pPr>
    </w:p>
    <w:p>
      <w:pPr>
        <w:ind w:left="2300" w:right="40" w:hanging="528"/>
        <w:spacing w:after="0" w:line="234" w:lineRule="auto"/>
        <w:tabs>
          <w:tab w:leader="none" w:pos="2300" w:val="left"/>
        </w:tabs>
        <w:numPr>
          <w:ilvl w:val="2"/>
          <w:numId w:val="2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2"/>
          <w:szCs w:val="12"/>
          <w:color w:val="auto"/>
        </w:rPr>
      </w:pPr>
    </w:p>
    <w:p>
      <w:pPr>
        <w:ind w:left="2300" w:right="40" w:hanging="528"/>
        <w:spacing w:after="0" w:line="272" w:lineRule="auto"/>
        <w:tabs>
          <w:tab w:leader="none" w:pos="2300" w:val="left"/>
        </w:tabs>
        <w:numPr>
          <w:ilvl w:val="2"/>
          <w:numId w:val="24"/>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1"/>
          <w:szCs w:val="11"/>
          <w:color w:val="auto"/>
        </w:rPr>
      </w:pPr>
    </w:p>
    <w:p>
      <w:pPr>
        <w:ind w:left="1100" w:right="20" w:hanging="1096"/>
        <w:spacing w:after="0" w:line="234" w:lineRule="auto"/>
        <w:tabs>
          <w:tab w:leader="none" w:pos="11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2"/>
          <w:szCs w:val="12"/>
          <w:color w:val="auto"/>
        </w:rPr>
      </w:pPr>
    </w:p>
    <w:p>
      <w:pPr>
        <w:ind w:left="2280" w:right="20" w:hanging="530"/>
        <w:spacing w:after="0" w:line="234" w:lineRule="auto"/>
        <w:tabs>
          <w:tab w:leader="none" w:pos="22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2"/>
          <w:szCs w:val="12"/>
          <w:color w:val="auto"/>
        </w:rPr>
      </w:pPr>
    </w:p>
    <w:p>
      <w:pPr>
        <w:ind w:left="2280" w:hanging="530"/>
        <w:spacing w:after="0"/>
        <w:tabs>
          <w:tab w:leader="none" w:pos="22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03" w:lineRule="exact"/>
        <w:rPr>
          <w:sz w:val="20"/>
          <w:szCs w:val="20"/>
          <w:color w:val="auto"/>
        </w:rPr>
      </w:pPr>
    </w:p>
    <w:p>
      <w:pPr>
        <w:spacing w:after="0"/>
        <w:tabs>
          <w:tab w:leader="none" w:pos="680" w:val="left"/>
          <w:tab w:leader="none" w:pos="588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July 28, 2022</w:t>
      </w:r>
      <w:r>
        <w:rPr>
          <w:sz w:val="20"/>
          <w:szCs w:val="20"/>
          <w:color w:val="auto"/>
        </w:rPr>
        <w:tab/>
      </w:r>
      <w:r>
        <w:rPr>
          <w:rFonts w:ascii="Arial" w:cs="Arial" w:eastAsia="Arial" w:hAnsi="Arial"/>
          <w:sz w:val="10"/>
          <w:szCs w:val="10"/>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9525</wp:posOffset>
            </wp:positionV>
            <wp:extent cx="340042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0425" cy="5715"/>
                    </a:xfrm>
                    <a:prstGeom prst="rect">
                      <a:avLst/>
                    </a:prstGeom>
                    <a:noFill/>
                  </pic:spPr>
                </pic:pic>
              </a:graphicData>
            </a:graphic>
          </wp:anchor>
        </w:drawing>
      </w:r>
    </w:p>
    <w:p>
      <w:pPr>
        <w:spacing w:after="0" w:line="4"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Jason Randall</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300"/>
          </w:cols>
          <w:pgMar w:left="300" w:top="991" w:right="299" w:bottom="1440" w:gutter="0" w:footer="0" w:header="0"/>
        </w:sectPr>
      </w:pPr>
    </w:p>
    <w:bookmarkStart w:id="44" w:name="page45"/>
    <w:bookmarkEnd w:id="44"/>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I, Fay Sien Goon, certify that:</w:t>
      </w:r>
    </w:p>
    <w:p>
      <w:pPr>
        <w:spacing w:after="0" w:line="96" w:lineRule="exact"/>
        <w:rPr>
          <w:sz w:val="20"/>
          <w:szCs w:val="20"/>
          <w:color w:val="auto"/>
        </w:rPr>
      </w:pPr>
    </w:p>
    <w:p>
      <w:pPr>
        <w:ind w:left="1120" w:hanging="1116"/>
        <w:spacing w:after="0"/>
        <w:tabs>
          <w:tab w:leader="none" w:pos="11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AppFolio, Inc.;</w:t>
      </w:r>
    </w:p>
    <w:p>
      <w:pPr>
        <w:spacing w:after="0" w:line="87" w:lineRule="exact"/>
        <w:rPr>
          <w:rFonts w:ascii="Arial" w:cs="Arial" w:eastAsia="Arial" w:hAnsi="Arial"/>
          <w:sz w:val="12"/>
          <w:szCs w:val="12"/>
          <w:color w:val="auto"/>
        </w:rPr>
      </w:pPr>
    </w:p>
    <w:p>
      <w:pPr>
        <w:ind w:left="1100" w:right="20" w:hanging="1096"/>
        <w:spacing w:after="0" w:line="234" w:lineRule="auto"/>
        <w:tabs>
          <w:tab w:leader="none" w:pos="11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2"/>
          <w:szCs w:val="12"/>
          <w:color w:val="auto"/>
        </w:rPr>
      </w:pPr>
    </w:p>
    <w:p>
      <w:pPr>
        <w:ind w:left="1100" w:right="20" w:hanging="1096"/>
        <w:spacing w:after="0" w:line="234" w:lineRule="auto"/>
        <w:tabs>
          <w:tab w:leader="none" w:pos="11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Arial" w:cs="Arial" w:eastAsia="Arial" w:hAnsi="Arial"/>
          <w:sz w:val="12"/>
          <w:szCs w:val="12"/>
          <w:color w:val="auto"/>
        </w:rPr>
      </w:pPr>
    </w:p>
    <w:p>
      <w:pPr>
        <w:ind w:left="1100" w:right="20" w:hanging="1096"/>
        <w:spacing w:after="0" w:line="234" w:lineRule="auto"/>
        <w:tabs>
          <w:tab w:leader="none" w:pos="11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89" w:lineRule="exact"/>
        <w:rPr>
          <w:rFonts w:ascii="Arial" w:cs="Arial" w:eastAsia="Arial" w:hAnsi="Arial"/>
          <w:sz w:val="12"/>
          <w:szCs w:val="12"/>
          <w:color w:val="auto"/>
        </w:rPr>
      </w:pPr>
    </w:p>
    <w:p>
      <w:pPr>
        <w:ind w:left="2300" w:right="20" w:hanging="568"/>
        <w:spacing w:after="0" w:line="272" w:lineRule="auto"/>
        <w:tabs>
          <w:tab w:leader="none" w:pos="2300" w:val="left"/>
        </w:tabs>
        <w:numPr>
          <w:ilvl w:val="1"/>
          <w:numId w:val="25"/>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1"/>
          <w:szCs w:val="11"/>
          <w:color w:val="auto"/>
        </w:rPr>
      </w:pPr>
    </w:p>
    <w:p>
      <w:pPr>
        <w:ind w:left="2300" w:right="300" w:hanging="568"/>
        <w:spacing w:after="0" w:line="323" w:lineRule="auto"/>
        <w:tabs>
          <w:tab w:leader="none" w:pos="2300" w:val="left"/>
        </w:tabs>
        <w:numPr>
          <w:ilvl w:val="1"/>
          <w:numId w:val="25"/>
        </w:numPr>
        <w:rPr>
          <w:rFonts w:ascii="Arial" w:cs="Arial" w:eastAsia="Arial" w:hAnsi="Arial"/>
          <w:sz w:val="10"/>
          <w:szCs w:val="10"/>
          <w:color w:val="auto"/>
        </w:rPr>
      </w:pPr>
      <w:r>
        <w:rPr>
          <w:rFonts w:ascii="Arial" w:cs="Arial" w:eastAsia="Arial" w:hAnsi="Arial"/>
          <w:sz w:val="10"/>
          <w:szCs w:val="1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0"/>
          <w:szCs w:val="10"/>
          <w:color w:val="auto"/>
        </w:rPr>
      </w:pPr>
    </w:p>
    <w:p>
      <w:pPr>
        <w:ind w:left="2300" w:right="20" w:hanging="568"/>
        <w:spacing w:after="0" w:line="234" w:lineRule="auto"/>
        <w:tabs>
          <w:tab w:leader="none" w:pos="2300" w:val="left"/>
        </w:tabs>
        <w:numPr>
          <w:ilvl w:val="1"/>
          <w:numId w:val="2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2"/>
          <w:szCs w:val="12"/>
          <w:color w:val="auto"/>
        </w:rPr>
      </w:pPr>
    </w:p>
    <w:p>
      <w:pPr>
        <w:ind w:left="2300" w:right="20" w:hanging="568"/>
        <w:spacing w:after="0" w:line="272" w:lineRule="auto"/>
        <w:tabs>
          <w:tab w:leader="none" w:pos="2300" w:val="left"/>
        </w:tabs>
        <w:numPr>
          <w:ilvl w:val="1"/>
          <w:numId w:val="25"/>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1"/>
          <w:szCs w:val="11"/>
          <w:color w:val="auto"/>
        </w:rPr>
      </w:pPr>
    </w:p>
    <w:p>
      <w:pPr>
        <w:ind w:left="1100" w:right="20" w:hanging="1096"/>
        <w:spacing w:after="0" w:line="234" w:lineRule="auto"/>
        <w:tabs>
          <w:tab w:leader="none" w:pos="11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2"/>
          <w:szCs w:val="12"/>
          <w:color w:val="auto"/>
        </w:rPr>
      </w:pPr>
    </w:p>
    <w:p>
      <w:pPr>
        <w:ind w:left="2400" w:right="20" w:hanging="650"/>
        <w:spacing w:after="0" w:line="234" w:lineRule="auto"/>
        <w:tabs>
          <w:tab w:leader="none" w:pos="2400" w:val="left"/>
        </w:tabs>
        <w:numPr>
          <w:ilvl w:val="2"/>
          <w:numId w:val="2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2"/>
          <w:szCs w:val="12"/>
          <w:color w:val="auto"/>
        </w:rPr>
      </w:pPr>
    </w:p>
    <w:p>
      <w:pPr>
        <w:ind w:left="2400" w:hanging="650"/>
        <w:spacing w:after="0"/>
        <w:tabs>
          <w:tab w:leader="none" w:pos="2400" w:val="left"/>
        </w:tabs>
        <w:numPr>
          <w:ilvl w:val="2"/>
          <w:numId w:val="2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tabs>
          <w:tab w:leader="none" w:pos="700" w:val="left"/>
          <w:tab w:leader="none" w:pos="590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July 28, 2022</w:t>
      </w:r>
      <w:r>
        <w:rPr>
          <w:sz w:val="20"/>
          <w:szCs w:val="20"/>
          <w:color w:val="auto"/>
        </w:rPr>
        <w:tab/>
      </w:r>
      <w:r>
        <w:rPr>
          <w:rFonts w:ascii="Arial" w:cs="Arial" w:eastAsia="Arial" w:hAnsi="Arial"/>
          <w:sz w:val="10"/>
          <w:szCs w:val="10"/>
          <w:color w:val="auto"/>
        </w:rPr>
        <w:t>/s/ Fay Sien Goon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9525</wp:posOffset>
            </wp:positionV>
            <wp:extent cx="341757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17570" cy="5715"/>
                    </a:xfrm>
                    <a:prstGeom prst="rect">
                      <a:avLst/>
                    </a:prstGeom>
                    <a:noFill/>
                  </pic:spPr>
                </pic:pic>
              </a:graphicData>
            </a:graphic>
          </wp:anchor>
        </w:drawing>
      </w:r>
    </w:p>
    <w:p>
      <w:pPr>
        <w:spacing w:after="0" w:line="4" w:lineRule="exact"/>
        <w:rPr>
          <w:sz w:val="20"/>
          <w:szCs w:val="20"/>
          <w:color w:val="auto"/>
        </w:rPr>
      </w:pPr>
    </w:p>
    <w:p>
      <w:pPr>
        <w:ind w:left="5920"/>
        <w:spacing w:after="0"/>
        <w:rPr>
          <w:sz w:val="20"/>
          <w:szCs w:val="20"/>
          <w:color w:val="auto"/>
        </w:rPr>
      </w:pPr>
      <w:r>
        <w:rPr>
          <w:rFonts w:ascii="Arial" w:cs="Arial" w:eastAsia="Arial" w:hAnsi="Arial"/>
          <w:sz w:val="12"/>
          <w:szCs w:val="12"/>
          <w:color w:val="auto"/>
        </w:rPr>
        <w:t>Fay Sien Goon</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300"/>
          </w:cols>
          <w:pgMar w:left="300" w:top="991" w:right="299" w:bottom="1440" w:gutter="0" w:footer="0" w:header="0"/>
        </w:sectPr>
      </w:pPr>
    </w:p>
    <w:bookmarkStart w:id="45" w:name="page46"/>
    <w:bookmarkEnd w:id="45"/>
    <w:p>
      <w:pPr>
        <w:ind w:left="10540"/>
        <w:spacing w:after="0"/>
        <w:rPr>
          <w:sz w:val="20"/>
          <w:szCs w:val="20"/>
          <w:color w:val="auto"/>
        </w:rPr>
      </w:pPr>
      <w:r>
        <w:rPr>
          <w:rFonts w:ascii="Arial" w:cs="Arial" w:eastAsia="Arial" w:hAnsi="Arial"/>
          <w:sz w:val="12"/>
          <w:szCs w:val="12"/>
          <w:b w:val="1"/>
          <w:bCs w:val="1"/>
          <w:color w:val="auto"/>
        </w:rPr>
        <w:t>EXHIBIT 32.1</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 OF CHIEF EXECUTIVE OFFICER AND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 OF THE SARBANES-OXLEY ACT OF 2002</w:t>
      </w:r>
    </w:p>
    <w:p>
      <w:pPr>
        <w:spacing w:after="0" w:line="15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following certifications are hereby made in connection with the Quarterly Report on Form 10-Q of AppFolio, Inc. (the “Company”) for the period ended June 30, 2022, as filed with the Securities and Exchange Commission on the date hereof (the “Report”):</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Date:</w:t>
            </w:r>
          </w:p>
        </w:tc>
        <w:tc>
          <w:tcPr>
            <w:tcW w:w="2780" w:type="dxa"/>
            <w:vAlign w:val="bottom"/>
          </w:tcPr>
          <w:p>
            <w:pPr>
              <w:ind w:left="300"/>
              <w:spacing w:after="0"/>
              <w:rPr>
                <w:sz w:val="20"/>
                <w:szCs w:val="20"/>
                <w:color w:val="auto"/>
              </w:rPr>
            </w:pPr>
            <w:r>
              <w:rPr>
                <w:rFonts w:ascii="Arial" w:cs="Arial" w:eastAsia="Arial" w:hAnsi="Arial"/>
                <w:sz w:val="12"/>
                <w:szCs w:val="12"/>
                <w:color w:val="auto"/>
              </w:rPr>
              <w:t>July 28, 2022</w:t>
            </w:r>
          </w:p>
        </w:tc>
        <w:tc>
          <w:tcPr>
            <w:tcW w:w="2440" w:type="dxa"/>
            <w:vAlign w:val="bottom"/>
          </w:tcPr>
          <w:p>
            <w:pPr>
              <w:ind w:left="1860"/>
              <w:spacing w:after="0"/>
              <w:rPr>
                <w:sz w:val="20"/>
                <w:szCs w:val="20"/>
                <w:color w:val="auto"/>
              </w:rPr>
            </w:pPr>
            <w:r>
              <w:rPr>
                <w:rFonts w:ascii="Arial" w:cs="Arial" w:eastAsia="Arial" w:hAnsi="Arial"/>
                <w:sz w:val="12"/>
                <w:szCs w:val="12"/>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Jason Randall</w:t>
            </w:r>
          </w:p>
        </w:tc>
      </w:tr>
      <w:tr>
        <w:trPr>
          <w:trHeight w:val="142"/>
        </w:trPr>
        <w:tc>
          <w:tcPr>
            <w:tcW w:w="5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520" w:type="dxa"/>
            <w:vAlign w:val="bottom"/>
          </w:tcPr>
          <w:p>
            <w:pPr>
              <w:ind w:left="20"/>
              <w:spacing w:after="0"/>
              <w:rPr>
                <w:sz w:val="20"/>
                <w:szCs w:val="20"/>
                <w:color w:val="auto"/>
              </w:rPr>
            </w:pPr>
            <w:r>
              <w:rPr>
                <w:rFonts w:ascii="Arial" w:cs="Arial" w:eastAsia="Arial" w:hAnsi="Arial"/>
                <w:sz w:val="12"/>
                <w:szCs w:val="12"/>
                <w:color w:val="auto"/>
              </w:rPr>
              <w:t>Jason Randall</w:t>
            </w:r>
          </w:p>
        </w:tc>
      </w:tr>
      <w:tr>
        <w:trPr>
          <w:trHeight w:val="153"/>
        </w:trPr>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520" w:type="dxa"/>
            <w:vAlign w:val="bottom"/>
          </w:tcPr>
          <w:p>
            <w:pPr>
              <w:ind w:left="20"/>
              <w:spacing w:after="0"/>
              <w:rPr>
                <w:sz w:val="20"/>
                <w:szCs w:val="20"/>
                <w:color w:val="auto"/>
              </w:rPr>
            </w:pPr>
            <w:r>
              <w:rPr>
                <w:rFonts w:ascii="Arial" w:cs="Arial" w:eastAsia="Arial" w:hAnsi="Arial"/>
                <w:sz w:val="12"/>
                <w:szCs w:val="12"/>
                <w:color w:val="auto"/>
              </w:rPr>
              <w:t>President and Chief Executive Officer</w:t>
            </w:r>
          </w:p>
        </w:tc>
      </w:tr>
    </w:tbl>
    <w:p>
      <w:pPr>
        <w:spacing w:after="0" w:line="3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Date:</w:t>
            </w:r>
          </w:p>
        </w:tc>
        <w:tc>
          <w:tcPr>
            <w:tcW w:w="2780" w:type="dxa"/>
            <w:vAlign w:val="bottom"/>
          </w:tcPr>
          <w:p>
            <w:pPr>
              <w:ind w:left="300"/>
              <w:spacing w:after="0"/>
              <w:rPr>
                <w:sz w:val="20"/>
                <w:szCs w:val="20"/>
                <w:color w:val="auto"/>
              </w:rPr>
            </w:pPr>
            <w:r>
              <w:rPr>
                <w:rFonts w:ascii="Arial" w:cs="Arial" w:eastAsia="Arial" w:hAnsi="Arial"/>
                <w:sz w:val="12"/>
                <w:szCs w:val="12"/>
                <w:color w:val="auto"/>
              </w:rPr>
              <w:t>July 28, 2022</w:t>
            </w:r>
          </w:p>
        </w:tc>
        <w:tc>
          <w:tcPr>
            <w:tcW w:w="2440" w:type="dxa"/>
            <w:vAlign w:val="bottom"/>
          </w:tcPr>
          <w:p>
            <w:pPr>
              <w:ind w:left="1860"/>
              <w:spacing w:after="0"/>
              <w:rPr>
                <w:sz w:val="20"/>
                <w:szCs w:val="20"/>
                <w:color w:val="auto"/>
              </w:rPr>
            </w:pPr>
            <w:r>
              <w:rPr>
                <w:rFonts w:ascii="Arial" w:cs="Arial" w:eastAsia="Arial" w:hAnsi="Arial"/>
                <w:sz w:val="12"/>
                <w:szCs w:val="12"/>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Fay Sien Goon</w:t>
            </w:r>
          </w:p>
        </w:tc>
      </w:tr>
      <w:tr>
        <w:trPr>
          <w:trHeight w:val="142"/>
        </w:trPr>
        <w:tc>
          <w:tcPr>
            <w:tcW w:w="5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520" w:type="dxa"/>
            <w:vAlign w:val="bottom"/>
          </w:tcPr>
          <w:p>
            <w:pPr>
              <w:ind w:left="20"/>
              <w:spacing w:after="0"/>
              <w:rPr>
                <w:sz w:val="20"/>
                <w:szCs w:val="20"/>
                <w:color w:val="auto"/>
              </w:rPr>
            </w:pPr>
            <w:r>
              <w:rPr>
                <w:rFonts w:ascii="Arial" w:cs="Arial" w:eastAsia="Arial" w:hAnsi="Arial"/>
                <w:sz w:val="12"/>
                <w:szCs w:val="12"/>
                <w:color w:val="auto"/>
              </w:rPr>
              <w:t>Fay Sien Goon</w:t>
            </w:r>
          </w:p>
        </w:tc>
      </w:tr>
      <w:tr>
        <w:trPr>
          <w:trHeight w:val="153"/>
        </w:trPr>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520" w:type="dxa"/>
            <w:vAlign w:val="bottom"/>
          </w:tcPr>
          <w:p>
            <w:pPr>
              <w:ind w:left="20"/>
              <w:spacing w:after="0"/>
              <w:rPr>
                <w:sz w:val="20"/>
                <w:szCs w:val="20"/>
                <w:color w:val="auto"/>
              </w:rPr>
            </w:pPr>
            <w:r>
              <w:rPr>
                <w:rFonts w:ascii="Arial" w:cs="Arial" w:eastAsia="Arial" w:hAnsi="Arial"/>
                <w:sz w:val="12"/>
                <w:szCs w:val="12"/>
                <w:color w:val="auto"/>
              </w:rPr>
              <w:t>Chief Financial Officer</w:t>
            </w:r>
          </w:p>
        </w:tc>
      </w:tr>
    </w:tbl>
    <w:p>
      <w:pPr>
        <w:spacing w:after="0" w:line="1" w:lineRule="exact"/>
        <w:rPr>
          <w:sz w:val="20"/>
          <w:szCs w:val="20"/>
          <w:color w:val="auto"/>
        </w:rPr>
      </w:pPr>
    </w:p>
    <w:sectPr>
      <w:pgSz w:w="11900" w:h="16838" w:orient="portrait"/>
      <w:cols w:equalWidth="0" w:num="1">
        <w:col w:w="11300"/>
      </w:cols>
      <w:pgMar w:left="300" w:top="115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3"/>
    </w:lvl>
  </w:abstractNum>
  <w:abstractNum w:abstractNumId="1">
    <w:nsid w:val="109CF92E"/>
    <w:multiLevelType w:val="hybridMultilevel"/>
    <w:lvl w:ilvl="0">
      <w:lvlJc w:val="left"/>
      <w:lvlText w:val="%1."/>
      <w:numFmt w:val="decimal"/>
      <w:start w:val="8"/>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lvl w:ilvl="1">
      <w:lvlJc w:val="left"/>
      <w:lvlText w:val="(%2)"/>
      <w:numFmt w:val="decimal"/>
      <w:start w:val="1"/>
    </w:lvl>
  </w:abstractNum>
  <w:abstractNum w:abstractNumId="4">
    <w:nsid w:val="1BEFD79F"/>
    <w:multiLevelType w:val="hybridMultilevel"/>
    <w:lvl w:ilvl="0">
      <w:lvlJc w:val="left"/>
      <w:lvlText w:val="%1"/>
      <w:numFmt w:val="decimal"/>
      <w:start w:val="1"/>
    </w:lvl>
    <w:lvl w:ilvl="1">
      <w:lvlJc w:val="left"/>
      <w:lvlText w:val="(%2)"/>
      <w:numFmt w:val="decimal"/>
      <w:start w:val="3"/>
    </w:lvl>
  </w:abstractNum>
  <w:abstractNum w:abstractNumId="5">
    <w:nsid w:val="41A7C4C9"/>
    <w:multiLevelType w:val="hybridMultilevel"/>
    <w:lvl w:ilvl="0">
      <w:lvlJc w:val="left"/>
      <w:lvlText w:val="%1"/>
      <w:numFmt w:val="decimal"/>
      <w:start w:val="1"/>
    </w:lvl>
    <w:lvl w:ilvl="1">
      <w:lvlJc w:val="left"/>
      <w:lvlText w:val="(%2)"/>
      <w:numFmt w:val="decimal"/>
      <w:start w:val="8"/>
    </w:lvl>
  </w:abstractNum>
  <w:abstractNum w:abstractNumId="6">
    <w:nsid w:val="6B68079A"/>
    <w:multiLevelType w:val="hybridMultilevel"/>
    <w:lvl w:ilvl="0">
      <w:lvlJc w:val="left"/>
      <w:lvlText w:val="%1."/>
      <w:numFmt w:val="decimal"/>
      <w:start w:val="4"/>
    </w:lvl>
    <w:lvl w:ilvl="1">
      <w:lvlJc w:val="left"/>
      <w:lvlText w:val="(%2)"/>
      <w:numFmt w:val="decimal"/>
      <w:start w:val="1"/>
    </w:lvl>
  </w:abstractNum>
  <w:abstractNum w:abstractNumId="7">
    <w:nsid w:val="4E6AFB66"/>
    <w:multiLevelType w:val="hybridMultilevel"/>
    <w:lvl w:ilvl="0">
      <w:lvlJc w:val="left"/>
      <w:lvlText w:val="%1."/>
      <w:numFmt w:val="decimal"/>
      <w:start w:val="7"/>
    </w:lvl>
    <w:lvl w:ilvl="1">
      <w:lvlJc w:val="left"/>
      <w:lvlText w:val="(%2)"/>
      <w:numFmt w:val="decimal"/>
      <w:start w:val="1"/>
    </w:lvl>
  </w:abstractNum>
  <w:abstractNum w:abstractNumId="8">
    <w:nsid w:val="25E45D32"/>
    <w:multiLevelType w:val="hybridMultilevel"/>
    <w:lvl w:ilvl="0">
      <w:lvlJc w:val="left"/>
      <w:lvlText w:val="(%1)"/>
      <w:numFmt w:val="lowerLetter"/>
      <w:start w:val="1"/>
    </w:lvl>
    <w:lvl w:ilvl="1">
      <w:lvlJc w:val="left"/>
      <w:lvlText w:val="(%2)"/>
      <w:numFmt w:val="decimal"/>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decimal"/>
      <w:start w:val="1"/>
    </w:lvl>
    <w:lvl w:ilvl="1">
      <w:lvlJc w:val="left"/>
      <w:lvlText w:val="(%2)"/>
      <w:numFmt w:val="lowerLetter"/>
      <w:start w:val="2"/>
    </w:lvl>
  </w:abstractNum>
  <w:abstractNum w:abstractNumId="11">
    <w:nsid w:val="3F2DBA31"/>
    <w:multiLevelType w:val="hybridMultilevel"/>
    <w:lvl w:ilvl="0">
      <w:lvlJc w:val="left"/>
      <w:lvlText w:val="%1."/>
      <w:numFmt w:val="decimal"/>
      <w:start w:val="9"/>
    </w:lvl>
    <w:lvl w:ilvl="1">
      <w:lvlJc w:val="left"/>
      <w:lvlText w:val="%2"/>
      <w:numFmt w:val="lowerLetter"/>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lowerRoman"/>
      <w:start w:val="1"/>
    </w:lvl>
    <w:lvl w:ilvl="1">
      <w:lvlJc w:val="left"/>
      <w:lvlText w:val="%2"/>
      <w:numFmt w:val="decimal"/>
      <w:start w:val="1"/>
    </w:lvl>
    <w:lvl w:ilvl="2">
      <w:lvlJc w:val="left"/>
      <w:lvlText w:val="(%3)"/>
      <w:numFmt w:val="decimal"/>
      <w:start w:val="3"/>
    </w:lvl>
  </w:abstractNum>
  <w:abstractNum w:abstractNumId="14">
    <w:nsid w:val="62BBD95A"/>
    <w:multiLevelType w:val="hybridMultilevel"/>
    <w:lvl w:ilvl="0">
      <w:lvlJc w:val="left"/>
      <w:lvlText w:val="(%1)"/>
      <w:numFmt w:val="lowerRoman"/>
      <w:start w:val="3"/>
    </w:lvl>
    <w:lvl w:ilvl="1">
      <w:lvlJc w:val="left"/>
      <w:lvlText w:val="%2."/>
      <w:numFmt w:val="decimal"/>
      <w:start w:val="11"/>
    </w:lvl>
    <w:lvl w:ilvl="2">
      <w:lvlJc w:val="left"/>
      <w:lvlText w:val="(%3)"/>
      <w:numFmt w:val="decimal"/>
      <w:start w:val="5"/>
    </w:lvl>
  </w:abstractNum>
  <w:abstractNum w:abstractNumId="15">
    <w:nsid w:val="436C6125"/>
    <w:multiLevelType w:val="hybridMultilevel"/>
    <w:lvl w:ilvl="0">
      <w:lvlJc w:val="left"/>
      <w:lvlText w:val="%1."/>
      <w:numFmt w:val="decimal"/>
      <w:start w:val="14"/>
    </w:lvl>
  </w:abstractNum>
  <w:abstractNum w:abstractNumId="16">
    <w:nsid w:val="628C895D"/>
    <w:multiLevelType w:val="hybridMultilevel"/>
    <w:lvl w:ilvl="0">
      <w:lvlJc w:val="left"/>
      <w:lvlText w:val="(%1)"/>
      <w:numFmt w:val="decimal"/>
      <w:start w:val="1"/>
    </w:lvl>
    <w:lvl w:ilvl="1">
      <w:lvlJc w:val="left"/>
      <w:lvlText w:val="(%2)"/>
      <w:numFmt w:val="lowerLetter"/>
      <w:start w:val="1"/>
    </w:lvl>
  </w:abstractNum>
  <w:abstractNum w:abstractNumId="17">
    <w:nsid w:val="333AB105"/>
    <w:multiLevelType w:val="hybridMultilevel"/>
    <w:lvl w:ilvl="0">
      <w:lvlJc w:val="left"/>
      <w:lvlText w:val="%1."/>
      <w:numFmt w:val="decimal"/>
      <w:start w:val="2"/>
    </w:lvl>
  </w:abstractNum>
  <w:abstractNum w:abstractNumId="18">
    <w:nsid w:val="721DA317"/>
    <w:multiLevelType w:val="hybridMultilevel"/>
    <w:lvl w:ilvl="0">
      <w:lvlJc w:val="left"/>
      <w:lvlText w:val="%1."/>
      <w:numFmt w:val="decimal"/>
      <w:start w:val="3"/>
    </w:lvl>
  </w:abstractNum>
  <w:abstractNum w:abstractNumId="19">
    <w:nsid w:val="2443A858"/>
    <w:multiLevelType w:val="hybridMultilevel"/>
    <w:lvl w:ilvl="0">
      <w:lvlJc w:val="left"/>
      <w:lvlText w:val="%1."/>
      <w:numFmt w:val="decimal"/>
      <w:start w:val="4"/>
    </w:lvl>
  </w:abstractNum>
  <w:abstractNum w:abstractNumId="20">
    <w:nsid w:val="2D1D5AE9"/>
    <w:multiLevelType w:val="hybridMultilevel"/>
    <w:lvl w:ilvl="0">
      <w:lvlJc w:val="left"/>
      <w:lvlText w:val="%1."/>
      <w:numFmt w:val="lowerLetter"/>
      <w:start w:val="3"/>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6"/>
    </w:lvl>
  </w:abstractNum>
  <w:abstractNum w:abstractNumId="23">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2022-07-29T05:23:56Z</dcterms:created>
  <dcterms:modified xsi:type="dcterms:W3CDTF">2022-07-29T05:23:56Z</dcterms:modified>
</cp:coreProperties>
</file>