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6" w:lineRule="exact"/>
        <w:rPr>
          <w:sz w:val="24"/>
          <w:szCs w:val="24"/>
          <w:color w:val="auto"/>
        </w:rPr>
      </w:pPr>
    </w:p>
    <w:p>
      <w:pPr>
        <w:ind w:left="5188"/>
        <w:spacing w:after="0"/>
        <w:rPr>
          <w:sz w:val="20"/>
          <w:szCs w:val="20"/>
          <w:color w:val="auto"/>
        </w:rPr>
      </w:pPr>
      <w:r>
        <w:rPr>
          <w:rFonts w:ascii="Times New Roman" w:cs="Times New Roman" w:eastAsia="Times New Roman" w:hAnsi="Times New Roman"/>
          <w:sz w:val="11"/>
          <w:szCs w:val="11"/>
          <w:b w:val="1"/>
          <w:bCs w:val="1"/>
          <w:color w:val="auto"/>
        </w:rPr>
        <w:t>_________________</w:t>
      </w:r>
    </w:p>
    <w:p>
      <w:pPr>
        <w:spacing w:after="0" w:line="144"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33" w:lineRule="exact"/>
        <w:rPr>
          <w:sz w:val="24"/>
          <w:szCs w:val="24"/>
          <w:color w:val="auto"/>
        </w:rPr>
      </w:pPr>
    </w:p>
    <w:p>
      <w:pPr>
        <w:ind w:left="5188"/>
        <w:spacing w:after="0"/>
        <w:rPr>
          <w:sz w:val="20"/>
          <w:szCs w:val="20"/>
          <w:color w:val="auto"/>
        </w:rPr>
      </w:pPr>
      <w:r>
        <w:rPr>
          <w:rFonts w:ascii="Times New Roman" w:cs="Times New Roman" w:eastAsia="Times New Roman" w:hAnsi="Times New Roman"/>
          <w:sz w:val="11"/>
          <w:szCs w:val="11"/>
          <w:b w:val="1"/>
          <w:bCs w:val="1"/>
          <w:color w:val="auto"/>
        </w:rPr>
        <w:t>_________________</w:t>
      </w:r>
    </w:p>
    <w:p>
      <w:pPr>
        <w:spacing w:after="0" w:line="200" w:lineRule="exact"/>
        <w:rPr>
          <w:sz w:val="24"/>
          <w:szCs w:val="24"/>
          <w:color w:val="auto"/>
        </w:rPr>
      </w:pPr>
    </w:p>
    <w:p>
      <w:pPr>
        <w:spacing w:after="0" w:line="245"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7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234"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62"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80" w:type="dxa"/>
            <w:vAlign w:val="bottom"/>
            <w:gridSpan w:val="3"/>
          </w:tcPr>
          <w:p>
            <w:pPr>
              <w:ind w:left="1560"/>
              <w:spacing w:after="0"/>
              <w:rPr>
                <w:sz w:val="20"/>
                <w:szCs w:val="20"/>
                <w:color w:val="auto"/>
              </w:rPr>
            </w:pPr>
            <w:r>
              <w:rPr>
                <w:rFonts w:ascii="Times New Roman" w:cs="Times New Roman" w:eastAsia="Times New Roman" w:hAnsi="Times New Roman"/>
                <w:sz w:val="11"/>
                <w:szCs w:val="11"/>
                <w:b w:val="1"/>
                <w:bCs w:val="1"/>
                <w:color w:val="auto"/>
                <w:w w:val="98"/>
              </w:rPr>
              <w:t>For the transition period from</w:t>
            </w: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6"/>
              </w:rPr>
              <w:t>to</w:t>
            </w:r>
          </w:p>
        </w:tc>
        <w:tc>
          <w:tcPr>
            <w:tcW w:w="540" w:type="dxa"/>
            <w:vAlign w:val="bottom"/>
            <w:tcBorders>
              <w:bottom w:val="single" w:sz="8" w:color="auto"/>
            </w:tcBorders>
          </w:tcPr>
          <w:p>
            <w:pPr>
              <w:spacing w:after="0"/>
              <w:rPr>
                <w:sz w:val="11"/>
                <w:szCs w:val="11"/>
                <w:color w:val="auto"/>
              </w:rPr>
            </w:pPr>
          </w:p>
        </w:tc>
        <w:tc>
          <w:tcPr>
            <w:tcW w:w="3080" w:type="dxa"/>
            <w:vAlign w:val="bottom"/>
            <w:gridSpan w:val="2"/>
          </w:tcPr>
          <w:p>
            <w:pPr>
              <w:spacing w:after="0"/>
              <w:rPr>
                <w:sz w:val="11"/>
                <w:szCs w:val="11"/>
                <w:color w:val="auto"/>
              </w:rPr>
            </w:pPr>
          </w:p>
        </w:tc>
      </w:tr>
      <w:tr>
        <w:trPr>
          <w:trHeight w:val="291"/>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Commission File Number 001-37468</w:t>
            </w:r>
          </w:p>
        </w:tc>
      </w:tr>
      <w:tr>
        <w:trPr>
          <w:trHeight w:val="189"/>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90"/>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40" w:type="dxa"/>
            <w:vAlign w:val="bottom"/>
            <w:gridSpan w:val="5"/>
          </w:tcPr>
          <w:p>
            <w:pPr>
              <w:jc w:val="center"/>
              <w:ind w:left="2179"/>
              <w:spacing w:after="0"/>
              <w:rPr>
                <w:sz w:val="20"/>
                <w:szCs w:val="20"/>
                <w:color w:val="auto"/>
              </w:rPr>
            </w:pPr>
            <w:r>
              <w:rPr>
                <w:rFonts w:ascii="Times New Roman" w:cs="Times New Roman" w:eastAsia="Times New Roman" w:hAnsi="Times New Roman"/>
                <w:sz w:val="19"/>
                <w:szCs w:val="19"/>
                <w:b w:val="1"/>
                <w:bCs w:val="1"/>
                <w:color w:val="auto"/>
              </w:rPr>
              <w:t>AppFolio, Inc.</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42"/>
        </w:trPr>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80" w:type="dxa"/>
            <w:vAlign w:val="bottom"/>
            <w:gridSpan w:val="9"/>
          </w:tcPr>
          <w:p>
            <w:pPr>
              <w:jc w:val="center"/>
              <w:ind w:right="1444"/>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r>
      <w:tr>
        <w:trPr>
          <w:trHeight w:val="189"/>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3"/>
        </w:trPr>
        <w:tc>
          <w:tcPr>
            <w:tcW w:w="1940" w:type="dxa"/>
            <w:vAlign w:val="bottom"/>
          </w:tcPr>
          <w:p>
            <w:pPr>
              <w:spacing w:after="0"/>
              <w:rPr>
                <w:sz w:val="19"/>
                <w:szCs w:val="19"/>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gridSpan w:val="4"/>
          </w:tcPr>
          <w:p>
            <w:pPr>
              <w:jc w:val="right"/>
              <w:ind w:right="1104"/>
              <w:spacing w:after="0"/>
              <w:rPr>
                <w:sz w:val="20"/>
                <w:szCs w:val="20"/>
                <w:color w:val="auto"/>
              </w:rPr>
            </w:pPr>
            <w:r>
              <w:rPr>
                <w:rFonts w:ascii="Times New Roman" w:cs="Times New Roman" w:eastAsia="Times New Roman" w:hAnsi="Times New Roman"/>
                <w:sz w:val="12"/>
                <w:szCs w:val="12"/>
                <w:b w:val="1"/>
                <w:bCs w:val="1"/>
                <w:color w:val="auto"/>
              </w:rPr>
              <w:t>26-0359894</w:t>
            </w:r>
          </w:p>
        </w:tc>
      </w:tr>
      <w:tr>
        <w:trPr>
          <w:trHeight w:val="159"/>
        </w:trPr>
        <w:tc>
          <w:tcPr>
            <w:tcW w:w="5380" w:type="dxa"/>
            <w:vAlign w:val="bottom"/>
            <w:gridSpan w:val="3"/>
          </w:tcPr>
          <w:p>
            <w:pPr>
              <w:jc w:val="center"/>
              <w:ind w:left="405"/>
              <w:spacing w:after="0"/>
              <w:rPr>
                <w:sz w:val="20"/>
                <w:szCs w:val="20"/>
                <w:color w:val="auto"/>
              </w:rPr>
            </w:pPr>
            <w:r>
              <w:rPr>
                <w:rFonts w:ascii="Times New Roman" w:cs="Times New Roman" w:eastAsia="Times New Roman" w:hAnsi="Times New Roman"/>
                <w:sz w:val="12"/>
                <w:szCs w:val="12"/>
                <w:b w:val="1"/>
                <w:bCs w:val="1"/>
                <w:i w:val="1"/>
                <w:iCs w:val="1"/>
                <w:color w:val="auto"/>
                <w:w w:val="99"/>
              </w:rPr>
              <w:t>(State of incorporation or organization)</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8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b w:val="1"/>
                <w:bCs w:val="1"/>
                <w:i w:val="1"/>
                <w:iCs w:val="1"/>
                <w:color w:val="auto"/>
                <w:w w:val="99"/>
              </w:rPr>
              <w:t>(I.R.S. Employer Identification No.)</w:t>
            </w:r>
          </w:p>
        </w:tc>
      </w:tr>
      <w:tr>
        <w:trPr>
          <w:trHeight w:val="291"/>
        </w:trPr>
        <w:tc>
          <w:tcPr>
            <w:tcW w:w="1940" w:type="dxa"/>
            <w:vAlign w:val="bottom"/>
          </w:tcPr>
          <w:p>
            <w:pPr>
              <w:spacing w:after="0"/>
              <w:rPr>
                <w:sz w:val="24"/>
                <w:szCs w:val="24"/>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color w:val="auto"/>
                <w:w w:val="99"/>
              </w:rPr>
              <w:t>70 Castilian Drive</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53"/>
        </w:trPr>
        <w:tc>
          <w:tcPr>
            <w:tcW w:w="1940" w:type="dxa"/>
            <w:vAlign w:val="bottom"/>
          </w:tcPr>
          <w:p>
            <w:pPr>
              <w:spacing w:after="0"/>
              <w:rPr>
                <w:sz w:val="13"/>
                <w:szCs w:val="13"/>
                <w:color w:val="auto"/>
              </w:rPr>
            </w:pPr>
          </w:p>
        </w:tc>
        <w:tc>
          <w:tcPr>
            <w:tcW w:w="344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Santa Barbara, California</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gridSpan w:val="4"/>
          </w:tcPr>
          <w:p>
            <w:pPr>
              <w:jc w:val="right"/>
              <w:ind w:right="1244"/>
              <w:spacing w:after="0"/>
              <w:rPr>
                <w:sz w:val="20"/>
                <w:szCs w:val="20"/>
                <w:color w:val="auto"/>
              </w:rPr>
            </w:pPr>
            <w:r>
              <w:rPr>
                <w:rFonts w:ascii="Times New Roman" w:cs="Times New Roman" w:eastAsia="Times New Roman" w:hAnsi="Times New Roman"/>
                <w:sz w:val="12"/>
                <w:szCs w:val="12"/>
                <w:b w:val="1"/>
                <w:bCs w:val="1"/>
                <w:i w:val="1"/>
                <w:iCs w:val="1"/>
                <w:color w:val="auto"/>
              </w:rPr>
              <w:t>93117</w:t>
            </w:r>
          </w:p>
        </w:tc>
      </w:tr>
      <w:tr>
        <w:trPr>
          <w:trHeight w:val="159"/>
        </w:trPr>
        <w:tc>
          <w:tcPr>
            <w:tcW w:w="1940" w:type="dxa"/>
            <w:vAlign w:val="bottom"/>
          </w:tcPr>
          <w:p>
            <w:pPr>
              <w:spacing w:after="0"/>
              <w:rPr>
                <w:sz w:val="13"/>
                <w:szCs w:val="13"/>
                <w:color w:val="auto"/>
              </w:rPr>
            </w:pPr>
          </w:p>
        </w:tc>
        <w:tc>
          <w:tcPr>
            <w:tcW w:w="3440" w:type="dxa"/>
            <w:vAlign w:val="bottom"/>
            <w:gridSpan w:val="2"/>
          </w:tcPr>
          <w:p>
            <w:pPr>
              <w:jc w:val="center"/>
              <w:ind w:right="1419"/>
              <w:spacing w:after="0"/>
              <w:rPr>
                <w:sz w:val="20"/>
                <w:szCs w:val="20"/>
                <w:color w:val="auto"/>
              </w:rPr>
            </w:pPr>
            <w:r>
              <w:rPr>
                <w:rFonts w:ascii="Times New Roman" w:cs="Times New Roman" w:eastAsia="Times New Roman" w:hAnsi="Times New Roman"/>
                <w:sz w:val="12"/>
                <w:szCs w:val="12"/>
                <w:b w:val="1"/>
                <w:bCs w:val="1"/>
                <w:i w:val="1"/>
                <w:iCs w:val="1"/>
                <w:color w:val="auto"/>
                <w:w w:val="99"/>
              </w:rPr>
              <w:t>(Address of principal executive offices)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60" w:type="dxa"/>
            <w:vAlign w:val="bottom"/>
          </w:tcPr>
          <w:p>
            <w:pPr>
              <w:jc w:val="center"/>
              <w:ind w:right="1084"/>
              <w:spacing w:after="0"/>
              <w:rPr>
                <w:sz w:val="20"/>
                <w:szCs w:val="20"/>
                <w:color w:val="auto"/>
              </w:rPr>
            </w:pPr>
            <w:r>
              <w:rPr>
                <w:rFonts w:ascii="Times New Roman" w:cs="Times New Roman" w:eastAsia="Times New Roman" w:hAnsi="Times New Roman"/>
                <w:sz w:val="12"/>
                <w:szCs w:val="12"/>
                <w:b w:val="1"/>
                <w:bCs w:val="1"/>
                <w:i w:val="1"/>
                <w:iCs w:val="1"/>
                <w:color w:val="auto"/>
              </w:rPr>
              <w:t>(Zip Code)</w:t>
            </w:r>
          </w:p>
        </w:tc>
      </w:tr>
      <w:tr>
        <w:trPr>
          <w:trHeight w:val="378"/>
        </w:trPr>
        <w:tc>
          <w:tcPr>
            <w:tcW w:w="6280" w:type="dxa"/>
            <w:vAlign w:val="bottom"/>
            <w:gridSpan w:val="6"/>
          </w:tcPr>
          <w:p>
            <w:pPr>
              <w:jc w:val="center"/>
              <w:ind w:left="4965"/>
              <w:spacing w:after="0"/>
              <w:rPr>
                <w:sz w:val="20"/>
                <w:szCs w:val="20"/>
                <w:color w:val="auto"/>
              </w:rPr>
            </w:pPr>
            <w:r>
              <w:rPr>
                <w:rFonts w:ascii="Times New Roman" w:cs="Times New Roman" w:eastAsia="Times New Roman" w:hAnsi="Times New Roman"/>
                <w:sz w:val="12"/>
                <w:szCs w:val="12"/>
                <w:b w:val="1"/>
                <w:bCs w:val="1"/>
                <w:color w:val="auto"/>
                <w:w w:val="98"/>
              </w:rPr>
              <w:t>(805) 364-6093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0"/>
        </w:trPr>
        <w:tc>
          <w:tcPr>
            <w:tcW w:w="1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80" w:type="dxa"/>
            <w:vAlign w:val="bottom"/>
            <w:gridSpan w:val="9"/>
          </w:tcPr>
          <w:p>
            <w:pPr>
              <w:jc w:val="center"/>
              <w:ind w:right="1444"/>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w:t>
            </w:r>
          </w:p>
        </w:tc>
      </w:tr>
      <w:tr>
        <w:trPr>
          <w:trHeight w:val="320"/>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12(b) of the Exchange Act:</w:t>
            </w:r>
          </w:p>
        </w:tc>
      </w:tr>
      <w:tr>
        <w:trPr>
          <w:trHeight w:val="328"/>
        </w:trPr>
        <w:tc>
          <w:tcPr>
            <w:tcW w:w="194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exchange on which registered</w:t>
            </w:r>
          </w:p>
        </w:tc>
      </w:tr>
      <w:tr>
        <w:trPr>
          <w:trHeight w:val="147"/>
        </w:trPr>
        <w:tc>
          <w:tcPr>
            <w:tcW w:w="5380" w:type="dxa"/>
            <w:vAlign w:val="bottom"/>
            <w:gridSpan w:val="3"/>
          </w:tcPr>
          <w:p>
            <w:pPr>
              <w:jc w:val="center"/>
              <w:ind w:right="599"/>
              <w:spacing w:after="0"/>
              <w:rPr>
                <w:sz w:val="20"/>
                <w:szCs w:val="20"/>
                <w:color w:val="auto"/>
              </w:rPr>
            </w:pPr>
            <w:r>
              <w:rPr>
                <w:rFonts w:ascii="Times New Roman" w:cs="Times New Roman" w:eastAsia="Times New Roman" w:hAnsi="Times New Roman"/>
                <w:sz w:val="11"/>
                <w:szCs w:val="11"/>
                <w:b w:val="1"/>
                <w:bCs w:val="1"/>
                <w:color w:val="auto"/>
                <w:w w:val="97"/>
              </w:rPr>
              <w:t>Class A common stock, par value $0.0001 per share</w:t>
            </w:r>
          </w:p>
        </w:tc>
        <w:tc>
          <w:tcPr>
            <w:tcW w:w="60" w:type="dxa"/>
            <w:vAlign w:val="bottom"/>
          </w:tcPr>
          <w:p>
            <w:pPr>
              <w:spacing w:after="0"/>
              <w:rPr>
                <w:sz w:val="12"/>
                <w:szCs w:val="12"/>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APPF</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r>
        <w:trPr>
          <w:trHeight w:val="351"/>
        </w:trPr>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gridSpan w:val="9"/>
          </w:tcPr>
          <w:p>
            <w:pPr>
              <w:jc w:val="center"/>
              <w:ind w:right="1464"/>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12(g) of the Exchange Act:</w:t>
            </w:r>
          </w:p>
        </w:tc>
      </w:tr>
      <w:tr>
        <w:trPr>
          <w:trHeight w:val="207"/>
        </w:trPr>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8"/>
        </w:trPr>
        <w:tc>
          <w:tcPr>
            <w:tcW w:w="6280" w:type="dxa"/>
            <w:vAlign w:val="bottom"/>
            <w:gridSpan w:val="6"/>
          </w:tcPr>
          <w:p>
            <w:pPr>
              <w:jc w:val="center"/>
              <w:ind w:left="4945"/>
              <w:spacing w:after="0"/>
              <w:rPr>
                <w:sz w:val="20"/>
                <w:szCs w:val="20"/>
                <w:color w:val="auto"/>
              </w:rPr>
            </w:pPr>
            <w:r>
              <w:rPr>
                <w:rFonts w:ascii="Times New Roman" w:cs="Times New Roman" w:eastAsia="Times New Roman" w:hAnsi="Times New Roman"/>
                <w:sz w:val="11"/>
                <w:szCs w:val="11"/>
                <w:b w:val="1"/>
                <w:bCs w:val="1"/>
                <w:color w:val="auto"/>
                <w:w w:val="98"/>
              </w:rPr>
              <w:t>_________________</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448"/>
        </w:trPr>
        <w:tc>
          <w:tcPr>
            <w:tcW w:w="6300" w:type="dxa"/>
            <w:vAlign w:val="bottom"/>
            <w:gridSpan w:val="7"/>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7"/>
        </w:trPr>
        <w:tc>
          <w:tcPr>
            <w:tcW w:w="538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15(d) of the Act. Yes</w:t>
            </w:r>
          </w:p>
        </w:tc>
        <w:tc>
          <w:tcPr>
            <w:tcW w:w="920" w:type="dxa"/>
            <w:vAlign w:val="bottom"/>
            <w:gridSpan w:val="4"/>
          </w:tcPr>
          <w:p>
            <w:pPr>
              <w:ind w:left="2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13" w:lineRule="exact"/>
        <w:rPr>
          <w:sz w:val="24"/>
          <w:szCs w:val="24"/>
          <w:color w:val="auto"/>
        </w:rPr>
      </w:pPr>
    </w:p>
    <w:p>
      <w:pPr>
        <w:jc w:val="both"/>
        <w:ind w:left="8"/>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8"/>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8"/>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9" w:lineRule="exact"/>
        <w:rPr>
          <w:sz w:val="24"/>
          <w:szCs w:val="24"/>
          <w:color w:val="auto"/>
        </w:rPr>
      </w:pPr>
    </w:p>
    <w:tbl>
      <w:tblPr>
        <w:tblLayout w:type="fixed"/>
        <w:tblInd w:w="8"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7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7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52"/>
        </w:trPr>
        <w:tc>
          <w:tcPr>
            <w:tcW w:w="1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74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8"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86" w:lineRule="exact"/>
        <w:rPr>
          <w:sz w:val="24"/>
          <w:szCs w:val="24"/>
          <w:color w:val="auto"/>
        </w:rPr>
      </w:pPr>
    </w:p>
    <w:p>
      <w:pPr>
        <w:jc w:val="both"/>
        <w:ind w:left="8" w:right="24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4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w:t>
      </w:r>
    </w:p>
    <w:p>
      <w:pPr>
        <w:spacing w:after="0" w:line="12"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59" w:lineRule="exact"/>
        <w:rPr>
          <w:sz w:val="24"/>
          <w:szCs w:val="24"/>
          <w:color w:val="auto"/>
        </w:rPr>
      </w:pPr>
    </w:p>
    <w:p>
      <w:pPr>
        <w:ind w:left="8" w:right="18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09" w:lineRule="exact"/>
        <w:rPr>
          <w:sz w:val="24"/>
          <w:szCs w:val="24"/>
          <w:color w:val="auto"/>
        </w:rPr>
      </w:pPr>
    </w:p>
    <w:p>
      <w:pPr>
        <w:ind w:left="8"/>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86" w:lineRule="exact"/>
        <w:rPr>
          <w:sz w:val="24"/>
          <w:szCs w:val="24"/>
          <w:color w:val="auto"/>
        </w:rPr>
      </w:pPr>
    </w:p>
    <w:p>
      <w:pPr>
        <w:ind w:left="8" w:right="200"/>
        <w:spacing w:after="0" w:line="248"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the registrant’s common stock on June 30, 2025 (the last business day of the registrant’s mostly recently completed second fiscal quarter), as reported on the NASDAQ Global Market on such date, was approximately $8.256 billion.</w:t>
      </w:r>
    </w:p>
    <w:p>
      <w:pPr>
        <w:spacing w:after="0" w:line="15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1"/>
          <w:szCs w:val="11"/>
          <w:color w:val="auto"/>
        </w:rPr>
        <w:t>At January 29, 2026, the number of shares of the registrant’s Class A common stock outstanding was 24,334,816 and the number of shares of the registrant’s Class B common stock outstanding was 11,655,112.</w:t>
      </w:r>
    </w:p>
    <w:p>
      <w:pPr>
        <w:spacing w:after="0" w:line="61" w:lineRule="exact"/>
        <w:rPr>
          <w:sz w:val="24"/>
          <w:szCs w:val="24"/>
          <w:color w:val="auto"/>
        </w:rPr>
      </w:pPr>
    </w:p>
    <w:p>
      <w:pPr>
        <w:ind w:left="4408"/>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5" w:lineRule="exact"/>
        <w:rPr>
          <w:sz w:val="24"/>
          <w:szCs w:val="24"/>
          <w:color w:val="auto"/>
        </w:rPr>
      </w:pPr>
    </w:p>
    <w:p>
      <w:pPr>
        <w:jc w:val="both"/>
        <w:ind w:left="8"/>
        <w:spacing w:after="0" w:line="252"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the 2026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spacing w:after="0" w:line="41" w:lineRule="exact"/>
        <w:rPr>
          <w:sz w:val="24"/>
          <w:szCs w:val="24"/>
          <w:color w:val="auto"/>
        </w:rPr>
      </w:pPr>
    </w:p>
    <w:p>
      <w:pPr>
        <w:ind w:left="2568"/>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51" w:lineRule="exact"/>
        <w:rPr>
          <w:sz w:val="24"/>
          <w:szCs w:val="24"/>
          <w:color w:val="auto"/>
        </w:rPr>
      </w:pPr>
    </w:p>
    <w:p>
      <w:pPr>
        <w:ind w:left="2568"/>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843280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6"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ANNUAL REPORT ON FORM 10-K</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0" w:type="dxa"/>
            <w:vAlign w:val="bottom"/>
            <w:gridSpan w:val="8"/>
          </w:tcPr>
          <w:p>
            <w:pPr>
              <w:ind w:left="3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05"/>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Section</w:t>
            </w:r>
          </w:p>
        </w:tc>
        <w:tc>
          <w:tcPr>
            <w:tcW w:w="1040" w:type="dxa"/>
            <w:vAlign w:val="bottom"/>
            <w:gridSpan w:val="4"/>
          </w:tcPr>
          <w:p>
            <w:pPr>
              <w:ind w:left="260"/>
              <w:spacing w:after="0"/>
              <w:rPr>
                <w:sz w:val="20"/>
                <w:szCs w:val="20"/>
                <w:color w:val="auto"/>
              </w:rPr>
            </w:pPr>
            <w:r>
              <w:rPr>
                <w:rFonts w:ascii="Times New Roman" w:cs="Times New Roman" w:eastAsia="Times New Roman" w:hAnsi="Times New Roman"/>
                <w:sz w:val="12"/>
                <w:szCs w:val="12"/>
                <w:b w:val="1"/>
                <w:bCs w:val="1"/>
                <w:color w:val="auto"/>
              </w:rPr>
              <w:t>Page No.</w:t>
            </w:r>
          </w:p>
        </w:tc>
      </w:tr>
      <w:tr>
        <w:trPr>
          <w:trHeight w:val="115"/>
        </w:trPr>
        <w:tc>
          <w:tcPr>
            <w:tcW w:w="1760" w:type="dxa"/>
            <w:vAlign w:val="bottom"/>
            <w:tcBorders>
              <w:top w:val="single" w:sz="8" w:color="auto"/>
            </w:tcBorders>
            <w:gridSpan w:val="6"/>
          </w:tcPr>
          <w:p>
            <w:pPr>
              <w:spacing w:after="0" w:line="115" w:lineRule="exact"/>
              <w:rPr>
                <w:sz w:val="20"/>
                <w:szCs w:val="20"/>
                <w:color w:val="auto"/>
              </w:rPr>
            </w:pPr>
            <w:r>
              <w:rPr>
                <w:rFonts w:ascii="Times New Roman" w:cs="Times New Roman" w:eastAsia="Times New Roman" w:hAnsi="Times New Roman"/>
                <w:sz w:val="12"/>
                <w:szCs w:val="12"/>
                <w:color w:val="0000FF"/>
              </w:rPr>
              <w:t>Part I</w:t>
            </w:r>
          </w:p>
        </w:tc>
        <w:tc>
          <w:tcPr>
            <w:tcW w:w="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Business</w:t>
            </w:r>
          </w:p>
        </w:tc>
        <w:tc>
          <w:tcPr>
            <w:tcW w:w="560" w:type="dxa"/>
            <w:vAlign w:val="bottom"/>
            <w:gridSpan w:val="2"/>
          </w:tcPr>
          <w:p>
            <w:pPr>
              <w:jc w:val="center"/>
              <w:ind w:left="360"/>
              <w:spacing w:after="0" w:line="133" w:lineRule="exact"/>
              <w:rPr>
                <w:sz w:val="20"/>
                <w:szCs w:val="20"/>
                <w:color w:val="auto"/>
              </w:rPr>
            </w:pPr>
            <w:r>
              <w:rPr>
                <w:rFonts w:ascii="Times New Roman" w:cs="Times New Roman" w:eastAsia="Times New Roman" w:hAnsi="Times New Roman"/>
                <w:sz w:val="12"/>
                <w:szCs w:val="12"/>
                <w:u w:val="single" w:color="auto"/>
                <w:color w:val="0000FF"/>
                <w:w w:val="99"/>
              </w:rPr>
              <w:t>1</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1A.</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Risk Factors</w:t>
            </w:r>
          </w:p>
        </w:tc>
        <w:tc>
          <w:tcPr>
            <w:tcW w:w="560" w:type="dxa"/>
            <w:vAlign w:val="bottom"/>
            <w:gridSpan w:val="2"/>
          </w:tcPr>
          <w:p>
            <w:pPr>
              <w:jc w:val="center"/>
              <w:ind w:left="360"/>
              <w:spacing w:after="0" w:line="133" w:lineRule="exact"/>
              <w:rPr>
                <w:sz w:val="20"/>
                <w:szCs w:val="20"/>
                <w:color w:val="auto"/>
              </w:rPr>
            </w:pPr>
            <w:r>
              <w:rPr>
                <w:rFonts w:ascii="Times New Roman" w:cs="Times New Roman" w:eastAsia="Times New Roman" w:hAnsi="Times New Roman"/>
                <w:sz w:val="12"/>
                <w:szCs w:val="12"/>
                <w:u w:val="single" w:color="auto"/>
                <w:color w:val="0000FF"/>
                <w:w w:val="99"/>
              </w:rPr>
              <w:t>8</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1B.</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Unresolved Staff Comments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1C.</w:t>
            </w:r>
          </w:p>
        </w:tc>
        <w:tc>
          <w:tcPr>
            <w:tcW w:w="6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w w:val="97"/>
              </w:rPr>
              <w:t>Cybersecurity</w:t>
            </w:r>
          </w:p>
        </w:tc>
        <w:tc>
          <w:tcPr>
            <w:tcW w:w="680" w:type="dxa"/>
            <w:vAlign w:val="bottom"/>
            <w:gridSpan w:val="4"/>
          </w:tcPr>
          <w:p>
            <w:pPr>
              <w:spacing w:after="0"/>
              <w:rPr>
                <w:sz w:val="11"/>
                <w:szCs w:val="11"/>
                <w:color w:val="auto"/>
              </w:rPr>
            </w:pPr>
          </w:p>
        </w:tc>
        <w:tc>
          <w:tcPr>
            <w:tcW w:w="7140" w:type="dxa"/>
            <w:vAlign w:val="bottom"/>
            <w:gridSpan w:val="1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22</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2.</w:t>
            </w:r>
          </w:p>
        </w:tc>
        <w:tc>
          <w:tcPr>
            <w:tcW w:w="68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Properties</w:t>
            </w:r>
          </w:p>
        </w:tc>
        <w:tc>
          <w:tcPr>
            <w:tcW w:w="7820" w:type="dxa"/>
            <w:vAlign w:val="bottom"/>
            <w:gridSpan w:val="17"/>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23</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3.</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Legal Proceedings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23</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4.</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Mine Safety Disclosures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24</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II</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5.</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Market for Registrant's Common Equity, Related Stockholder Matters and Issuer Purchases of Equity Securities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24</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6.</w:t>
            </w:r>
          </w:p>
        </w:tc>
        <w:tc>
          <w:tcPr>
            <w:tcW w:w="8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[RESERVED]</w:t>
            </w:r>
          </w:p>
        </w:tc>
        <w:tc>
          <w:tcPr>
            <w:tcW w:w="4480" w:type="dxa"/>
            <w:vAlign w:val="bottom"/>
            <w:gridSpan w:val="14"/>
          </w:tcPr>
          <w:p>
            <w:pPr>
              <w:spacing w:after="0"/>
              <w:rPr>
                <w:sz w:val="11"/>
                <w:szCs w:val="11"/>
                <w:color w:val="auto"/>
              </w:rPr>
            </w:pPr>
          </w:p>
        </w:tc>
        <w:tc>
          <w:tcPr>
            <w:tcW w:w="3140" w:type="dxa"/>
            <w:vAlign w:val="bottom"/>
            <w:gridSpan w:val="2"/>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25</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w:t>
            </w:r>
          </w:p>
        </w:tc>
        <w:tc>
          <w:tcPr>
            <w:tcW w:w="434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Management's Discussion and Analysis of Financial Condition and Results of Operation</w:t>
            </w:r>
          </w:p>
        </w:tc>
        <w:tc>
          <w:tcPr>
            <w:tcW w:w="416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25</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7A.</w:t>
            </w:r>
          </w:p>
        </w:tc>
        <w:tc>
          <w:tcPr>
            <w:tcW w:w="434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416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35</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8.</w:t>
            </w:r>
          </w:p>
        </w:tc>
        <w:tc>
          <w:tcPr>
            <w:tcW w:w="2220" w:type="dxa"/>
            <w:vAlign w:val="bottom"/>
            <w:gridSpan w:val="11"/>
          </w:tcPr>
          <w:p>
            <w:pPr>
              <w:spacing w:after="0" w:line="133" w:lineRule="exact"/>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0" w:type="dxa"/>
            <w:vAlign w:val="bottom"/>
            <w:gridSpan w:val="2"/>
          </w:tcPr>
          <w:p>
            <w:pPr>
              <w:spacing w:after="0"/>
              <w:rPr>
                <w:sz w:val="11"/>
                <w:szCs w:val="11"/>
                <w:color w:val="auto"/>
              </w:rPr>
            </w:pPr>
          </w:p>
        </w:tc>
        <w:tc>
          <w:tcPr>
            <w:tcW w:w="5600" w:type="dxa"/>
            <w:vAlign w:val="bottom"/>
            <w:gridSpan w:val="8"/>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36</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w:t>
            </w:r>
          </w:p>
        </w:tc>
        <w:tc>
          <w:tcPr>
            <w:tcW w:w="434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color w:val="0000FF"/>
                <w:w w:val="99"/>
              </w:rPr>
              <w:t>Changes in and Disagreements With Accountants on Accounting and Financial Disclosure</w:t>
            </w:r>
          </w:p>
        </w:tc>
        <w:tc>
          <w:tcPr>
            <w:tcW w:w="416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64</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9A.</w:t>
            </w:r>
          </w:p>
        </w:tc>
        <w:tc>
          <w:tcPr>
            <w:tcW w:w="11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8"/>
              </w:rPr>
              <w:t>Controls and Procedures</w:t>
            </w:r>
          </w:p>
        </w:tc>
        <w:tc>
          <w:tcPr>
            <w:tcW w:w="3160" w:type="dxa"/>
            <w:vAlign w:val="bottom"/>
            <w:gridSpan w:val="11"/>
          </w:tcPr>
          <w:p>
            <w:pPr>
              <w:spacing w:after="0"/>
              <w:rPr>
                <w:sz w:val="11"/>
                <w:szCs w:val="11"/>
                <w:color w:val="auto"/>
              </w:rPr>
            </w:pPr>
          </w:p>
        </w:tc>
        <w:tc>
          <w:tcPr>
            <w:tcW w:w="4160" w:type="dxa"/>
            <w:vAlign w:val="bottom"/>
            <w:gridSpan w:val="4"/>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65</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9B.</w:t>
            </w:r>
          </w:p>
        </w:tc>
        <w:tc>
          <w:tcPr>
            <w:tcW w:w="8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w w:val="98"/>
              </w:rPr>
              <w:t>Other Information</w:t>
            </w:r>
          </w:p>
        </w:tc>
        <w:tc>
          <w:tcPr>
            <w:tcW w:w="300" w:type="dxa"/>
            <w:vAlign w:val="bottom"/>
          </w:tcPr>
          <w:p>
            <w:pPr>
              <w:spacing w:after="0"/>
              <w:rPr>
                <w:sz w:val="11"/>
                <w:szCs w:val="11"/>
                <w:color w:val="auto"/>
              </w:rPr>
            </w:pPr>
          </w:p>
        </w:tc>
        <w:tc>
          <w:tcPr>
            <w:tcW w:w="7320" w:type="dxa"/>
            <w:vAlign w:val="bottom"/>
            <w:gridSpan w:val="15"/>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65</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9C.</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65</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III</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10.</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11.</w:t>
            </w:r>
          </w:p>
        </w:tc>
        <w:tc>
          <w:tcPr>
            <w:tcW w:w="1900" w:type="dxa"/>
            <w:vAlign w:val="bottom"/>
            <w:gridSpan w:val="9"/>
          </w:tcPr>
          <w:p>
            <w:pPr>
              <w:spacing w:after="0" w:line="133" w:lineRule="exact"/>
              <w:rPr>
                <w:sz w:val="20"/>
                <w:szCs w:val="20"/>
                <w:color w:val="auto"/>
              </w:rPr>
            </w:pPr>
            <w:r>
              <w:rPr>
                <w:rFonts w:ascii="Times New Roman" w:cs="Times New Roman" w:eastAsia="Times New Roman" w:hAnsi="Times New Roman"/>
                <w:sz w:val="12"/>
                <w:szCs w:val="12"/>
                <w:color w:val="0000FF"/>
              </w:rPr>
              <w:t>Executive Compensation</w:t>
            </w:r>
          </w:p>
        </w:tc>
        <w:tc>
          <w:tcPr>
            <w:tcW w:w="1740" w:type="dxa"/>
            <w:vAlign w:val="bottom"/>
            <w:gridSpan w:val="6"/>
          </w:tcPr>
          <w:p>
            <w:pPr>
              <w:spacing w:after="0"/>
              <w:rPr>
                <w:sz w:val="11"/>
                <w:szCs w:val="11"/>
                <w:color w:val="auto"/>
              </w:rPr>
            </w:pP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12.</w:t>
            </w:r>
          </w:p>
        </w:tc>
        <w:tc>
          <w:tcPr>
            <w:tcW w:w="4860" w:type="dxa"/>
            <w:vAlign w:val="bottom"/>
            <w:gridSpan w:val="18"/>
          </w:tcPr>
          <w:p>
            <w:pPr>
              <w:spacing w:after="0" w:line="133" w:lineRule="exact"/>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3640" w:type="dxa"/>
            <w:vAlign w:val="bottom"/>
            <w:gridSpan w:val="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13.</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w w:val="99"/>
              </w:rPr>
              <w:t>Certain Relationships and Related Transactions, and Director Independence</w:t>
            </w:r>
          </w:p>
        </w:tc>
        <w:tc>
          <w:tcPr>
            <w:tcW w:w="1220" w:type="dxa"/>
            <w:vAlign w:val="bottom"/>
            <w:gridSpan w:val="3"/>
          </w:tcPr>
          <w:p>
            <w:pPr>
              <w:spacing w:after="0"/>
              <w:rPr>
                <w:sz w:val="11"/>
                <w:szCs w:val="11"/>
                <w:color w:val="auto"/>
              </w:rPr>
            </w:pPr>
          </w:p>
        </w:tc>
        <w:tc>
          <w:tcPr>
            <w:tcW w:w="3640" w:type="dxa"/>
            <w:vAlign w:val="bottom"/>
            <w:gridSpan w:val="3"/>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14.</w:t>
            </w:r>
          </w:p>
        </w:tc>
        <w:tc>
          <w:tcPr>
            <w:tcW w:w="3640" w:type="dxa"/>
            <w:vAlign w:val="bottom"/>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Principal Accountant Fees and Services</w:t>
            </w:r>
          </w:p>
        </w:tc>
        <w:tc>
          <w:tcPr>
            <w:tcW w:w="4860" w:type="dxa"/>
            <w:vAlign w:val="bottom"/>
            <w:gridSpan w:val="6"/>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Part IV</w:t>
            </w:r>
          </w:p>
        </w:tc>
        <w:tc>
          <w:tcPr>
            <w:tcW w:w="4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15.</w:t>
            </w:r>
          </w:p>
        </w:tc>
        <w:tc>
          <w:tcPr>
            <w:tcW w:w="8500" w:type="dxa"/>
            <w:vAlign w:val="bottom"/>
            <w:gridSpan w:val="21"/>
          </w:tcPr>
          <w:p>
            <w:pPr>
              <w:spacing w:after="0" w:line="133" w:lineRule="exact"/>
              <w:rPr>
                <w:sz w:val="20"/>
                <w:szCs w:val="20"/>
                <w:color w:val="auto"/>
              </w:rPr>
            </w:pPr>
            <w:r>
              <w:rPr>
                <w:rFonts w:ascii="Times New Roman" w:cs="Times New Roman" w:eastAsia="Times New Roman" w:hAnsi="Times New Roman"/>
                <w:sz w:val="12"/>
                <w:szCs w:val="12"/>
                <w:color w:val="0000FF"/>
              </w:rPr>
              <w:t>Exhibits and Financial Statement Schedules</w:t>
            </w: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66</w:t>
            </w:r>
          </w:p>
        </w:tc>
        <w:tc>
          <w:tcPr>
            <w:tcW w:w="40" w:type="dxa"/>
            <w:vAlign w:val="bottom"/>
          </w:tcPr>
          <w:p>
            <w:pPr>
              <w:spacing w:after="0"/>
              <w:rPr>
                <w:sz w:val="11"/>
                <w:szCs w:val="11"/>
                <w:color w:val="auto"/>
              </w:rPr>
            </w:pPr>
          </w:p>
        </w:tc>
      </w:tr>
      <w:tr>
        <w:trPr>
          <w:trHeight w:val="20"/>
        </w:trPr>
        <w:tc>
          <w:tcPr>
            <w:tcW w:w="5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76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FF"/>
              </w:rPr>
              <w:t>Signatures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70</w:t>
            </w:r>
          </w:p>
        </w:tc>
        <w:tc>
          <w:tcPr>
            <w:tcW w:w="40" w:type="dxa"/>
            <w:vAlign w:val="bottom"/>
          </w:tcPr>
          <w:p>
            <w:pPr>
              <w:spacing w:after="0"/>
              <w:rPr>
                <w:sz w:val="11"/>
                <w:szCs w:val="11"/>
                <w:color w:val="auto"/>
              </w:rPr>
            </w:pPr>
          </w:p>
        </w:tc>
      </w:tr>
      <w:tr>
        <w:trPr>
          <w:trHeight w:val="988"/>
        </w:trPr>
        <w:tc>
          <w:tcPr>
            <w:tcW w:w="2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24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4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This Annual Report on Form 10-K for the fiscal year ended December 31, 2025 (this “Annual Report”) contains forward-looking statements within the meaning of the federal securities laws, including the Private Securities Litigation Reform Act of 1995 (the “PSLRA”), which statements involve substantial risks and uncertainties. The forward-looking statements made in this Annual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sections entitled “Risk Factors” and “Management's Discussion and Analysis of Financial Condition and Results of Operations” in this Annual Report, as well as in the other reports we file with the Securities and Exchange Commission (the “SEC”). You should read this Annual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Annual Report is based only on information currently available to us and speaks only as of the date on which it is made.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19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i w:val="1"/>
          <w:iCs w:val="1"/>
          <w:color w:val="auto"/>
        </w:rPr>
        <w:t>Unless otherwise stated in this Annual Report, references to "AppFolio," "we," "us," and "our" refer to AppFolio, Inc. and its consolidated subsidiaries.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Founded in 2006, AppFolio is a technology leader powering the future of real estate. We provide a cloud-based platform, the AppFolio Platform, on which our customers operate their businesses. Our primary customers are property management companies who manage a variety of property types, including single family, multifamily, affordable, commercial, student, and community associations.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 We believe our customer-centric culture leads to long-term customer retention and, ultimately, our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597535</wp:posOffset>
            </wp:positionV>
            <wp:extent cx="4097655" cy="2045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097655" cy="204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Our Platform</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mission is to build the platform where real estate comes to do business. The AppFolio Platform is designed to deliver value to industry stakeholders throughout the property management ecosystem. These stakeholders include property managers, property owners and investors, residents, and vendors. Our performance-driven platform is (i) a system of record to centralize and store all critical operating information, (ii) a system of action to automate complex workflows while delivering improved outcomes, and (iii) a system of growth to drive value and revenue for the entire ecosystem.</w:t>
      </w:r>
    </w:p>
    <w:p>
      <w:pPr>
        <w:spacing w:after="0" w:line="4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AppFolio Platform is built upon a unified architecture designed to serve as a single secure system of record for our customers' operational and financial data. This platform foundation provides real-time business intelligence and accounting functionality while maintaining data integrity. Building upon this foundation, AppFolio Realm integrates artificial intelligence, or AI, directly into the platform’s workflows. Through features such as Realm, the platform is capable of automating repetitive, high-volume tasks and promoting operational efficiency. To further enhance the platform's versatility, the AppFolio Stack™ marketplace utilizes application programming interfaces, or APIs, to facilitate our customers' ability to integrate specialized, third-party technology and services. This extensible ecosystem allows customers and partners to customize their workflows and incorporate specialized external solutions into the unified AppFolio environment.</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categorize our products and services into two categories, Subscription Services and Value Added Services. Utilization and adoption of our Subscription Services and Value Added Services is typically higher for residential properties than community association or commercial properties because of the unique and complex needs of the residential rental lifecycle.</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Subscription Plans and Services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AppFolio Platform is primarily offered via three Subscription Plans: Core, Plus, and Max.</w:t>
      </w:r>
    </w:p>
    <w:p>
      <w:pPr>
        <w:spacing w:after="0" w:line="74" w:lineRule="exact"/>
        <w:rPr>
          <w:sz w:val="20"/>
          <w:szCs w:val="20"/>
          <w:color w:val="auto"/>
        </w:rPr>
      </w:pPr>
    </w:p>
    <w:p>
      <w:pPr>
        <w:ind w:left="640" w:hanging="216"/>
        <w:spacing w:after="0" w:line="286" w:lineRule="auto"/>
        <w:tabs>
          <w:tab w:leader="none" w:pos="637" w:val="left"/>
        </w:tabs>
        <w:numPr>
          <w:ilvl w:val="0"/>
          <w:numId w:val="3"/>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AppFolio Property Manager Core. </w:t>
      </w:r>
      <w:r>
        <w:rPr>
          <w:rFonts w:ascii="Times New Roman" w:cs="Times New Roman" w:eastAsia="Times New Roman" w:hAnsi="Times New Roman"/>
          <w:sz w:val="12"/>
          <w:szCs w:val="12"/>
          <w:color w:val="auto"/>
        </w:rPr>
        <w:t>AppFolio Property Manager Core is generally suited for small property management companies, serving as the basic, comprehensive, all-in-one system of record centered on accounting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functionality, and includes access to a limited set of Stack™ integrations.</w:t>
      </w:r>
    </w:p>
    <w:p>
      <w:pPr>
        <w:spacing w:after="0" w:line="31" w:lineRule="exact"/>
        <w:rPr>
          <w:rFonts w:ascii="Times New Roman" w:cs="Times New Roman" w:eastAsia="Times New Roman" w:hAnsi="Times New Roman"/>
          <w:sz w:val="12"/>
          <w:szCs w:val="12"/>
          <w:b w:val="1"/>
          <w:bCs w:val="1"/>
          <w:i w:val="1"/>
          <w:iCs w:val="1"/>
          <w:color w:val="auto"/>
        </w:rPr>
      </w:pPr>
    </w:p>
    <w:p>
      <w:pPr>
        <w:ind w:left="640" w:hanging="216"/>
        <w:spacing w:after="0" w:line="286"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AppFolio Property Manager Plus. </w:t>
      </w:r>
      <w:r>
        <w:rPr>
          <w:rFonts w:ascii="Times New Roman" w:cs="Times New Roman" w:eastAsia="Times New Roman" w:hAnsi="Times New Roman"/>
          <w:sz w:val="12"/>
          <w:szCs w:val="12"/>
          <w:color w:val="auto"/>
        </w:rPr>
        <w:t>AppFolio Property Manager Plus is designed for more complex, growing property management businesses, expanding on the Core plan functionality by adding capabilities for affordable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housing and student housing, advanced accounting, advanced data analysis, and read-only API access, along with access to all Stack™ integrations.</w:t>
      </w:r>
    </w:p>
    <w:p>
      <w:pPr>
        <w:spacing w:after="0" w:line="31" w:lineRule="exact"/>
        <w:rPr>
          <w:rFonts w:ascii="Times New Roman" w:cs="Times New Roman" w:eastAsia="Times New Roman" w:hAnsi="Times New Roman"/>
          <w:sz w:val="12"/>
          <w:szCs w:val="12"/>
          <w:color w:val="auto"/>
        </w:rPr>
      </w:pPr>
    </w:p>
    <w:p>
      <w:pPr>
        <w:ind w:left="640" w:hanging="216"/>
        <w:spacing w:after="0" w:line="286"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AppFolio Property Manager Max. </w:t>
      </w:r>
      <w:r>
        <w:rPr>
          <w:rFonts w:ascii="Times New Roman" w:cs="Times New Roman" w:eastAsia="Times New Roman" w:hAnsi="Times New Roman"/>
          <w:sz w:val="12"/>
          <w:szCs w:val="12"/>
          <w:color w:val="auto"/>
        </w:rPr>
        <w:t>AppFolio Property Manager Max includes the functionality of Plus and adds functionality designed for our largest operators, offering tools such as end-to-end leasing support with built-in leasing customer relationship management, or CRM, and leasing signals, and provides full database access through a read/write API.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2"/>
          <w:szCs w:val="12"/>
          <w:color w:val="auto"/>
        </w:rPr>
        <w:t>The Subscription Services AppFolio offers are provided through the Core, Plus, and Max Subscription Plans or can be added as ancillary functionality. Key services offered include:</w:t>
      </w:r>
    </w:p>
    <w:p>
      <w:pPr>
        <w:spacing w:after="0" w:line="74" w:lineRule="exact"/>
        <w:rPr>
          <w:sz w:val="20"/>
          <w:szCs w:val="20"/>
          <w:color w:val="auto"/>
        </w:rPr>
      </w:pPr>
    </w:p>
    <w:p>
      <w:pPr>
        <w:jc w:val="both"/>
        <w:ind w:left="640" w:hanging="216"/>
        <w:spacing w:after="0" w:line="268"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Accounting and Reporting. </w:t>
      </w:r>
      <w:r>
        <w:rPr>
          <w:rFonts w:ascii="Times New Roman" w:cs="Times New Roman" w:eastAsia="Times New Roman" w:hAnsi="Times New Roman"/>
          <w:sz w:val="12"/>
          <w:szCs w:val="12"/>
          <w:color w:val="auto"/>
        </w:rPr>
        <w:t>AppFolio provides property management accounting software that acts as a single system of record, capturing every transaction in one centralized database. The software utilizes AI-powered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features, such as Smart Budgeting, Bank Feed, Bill Approval Flows, and Smart Bill Entry to reduce manual data entry and increase reporting accuracy. Performance Insights dashboards enables data-driven strategic decision-making and efficient financial management.</w:t>
      </w:r>
    </w:p>
    <w:p>
      <w:pPr>
        <w:spacing w:after="0" w:line="41" w:lineRule="exact"/>
        <w:rPr>
          <w:rFonts w:ascii="Times New Roman" w:cs="Times New Roman" w:eastAsia="Times New Roman" w:hAnsi="Times New Roman"/>
          <w:sz w:val="12"/>
          <w:szCs w:val="12"/>
          <w:color w:val="auto"/>
        </w:rPr>
      </w:pPr>
    </w:p>
    <w:p>
      <w:pPr>
        <w:jc w:val="both"/>
        <w:ind w:left="640" w:right="20" w:hanging="216"/>
        <w:spacing w:after="0" w:line="262"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Marketing and Leasing. </w:t>
      </w:r>
      <w:r>
        <w:rPr>
          <w:rFonts w:ascii="Times New Roman" w:cs="Times New Roman" w:eastAsia="Times New Roman" w:hAnsi="Times New Roman"/>
          <w:sz w:val="12"/>
          <w:szCs w:val="12"/>
          <w:color w:val="auto"/>
        </w:rPr>
        <w:t>The marketing and leasing tools are designed to help customers maximize occupancy, maintain a leasing pipeline, and manage the fully integrated lead-to-lease process. Our Realm Leasing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Performer leverages AI to automate prospect engagement, including lead qualification, data capture, and tour scheduling. These capabilities are integrated with our Leasing CRM, which provides centralized end-to-end leasing management and conversion tracking. For portfolio optimization, our Leasing Signals supports customers' pricing decisions using their own unique pricing strategies and provides explainable pricing suggestions based on public data.</w:t>
      </w:r>
    </w:p>
    <w:p>
      <w:pPr>
        <w:spacing w:after="0" w:line="45" w:lineRule="exact"/>
        <w:rPr>
          <w:rFonts w:ascii="Times New Roman" w:cs="Times New Roman" w:eastAsia="Times New Roman" w:hAnsi="Times New Roman"/>
          <w:sz w:val="12"/>
          <w:szCs w:val="12"/>
          <w:color w:val="auto"/>
        </w:rPr>
      </w:pPr>
    </w:p>
    <w:p>
      <w:pPr>
        <w:jc w:val="both"/>
        <w:ind w:left="640" w:hanging="216"/>
        <w:spacing w:after="0" w:line="268"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Maintenance. </w:t>
      </w:r>
      <w:r>
        <w:rPr>
          <w:rFonts w:ascii="Times New Roman" w:cs="Times New Roman" w:eastAsia="Times New Roman" w:hAnsi="Times New Roman"/>
          <w:sz w:val="12"/>
          <w:szCs w:val="12"/>
          <w:color w:val="auto"/>
        </w:rPr>
        <w:t>The platform provides property maintenance tools through automation and online maintenance workflows. Our Realm Maintenance Performer utilizes AI to automate service request intake and triage.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tool facilitates real-time, multi-lingual communication with residents and automatically generates prioritized work orders. This automation is designed to reduce response times and streamline the resolution of maintenance issues. Our Unit Turn Board allows customers to track and manage the tasks required to prepare a unit for new occupancy, with the goal of minimizing vacancy periods and optimizing rental income.</w:t>
      </w:r>
    </w:p>
    <w:p>
      <w:pPr>
        <w:spacing w:after="0" w:line="41" w:lineRule="exact"/>
        <w:rPr>
          <w:rFonts w:ascii="Times New Roman" w:cs="Times New Roman" w:eastAsia="Times New Roman" w:hAnsi="Times New Roman"/>
          <w:sz w:val="12"/>
          <w:szCs w:val="12"/>
          <w:color w:val="auto"/>
        </w:rPr>
      </w:pPr>
    </w:p>
    <w:p>
      <w:pPr>
        <w:jc w:val="both"/>
        <w:ind w:left="640" w:hanging="216"/>
        <w:spacing w:after="0" w:line="268"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Communication and Service. </w:t>
      </w:r>
      <w:r>
        <w:rPr>
          <w:rFonts w:ascii="Times New Roman" w:cs="Times New Roman" w:eastAsia="Times New Roman" w:hAnsi="Times New Roman"/>
          <w:sz w:val="12"/>
          <w:szCs w:val="12"/>
          <w:color w:val="auto"/>
        </w:rPr>
        <w:t>AppFolio provides modern communication tools to streamline customer service, maintain operations, and create seamless experiences for residents, property owners, and investors.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Realm Messages integrates text and email communications into a centralized inbox. This feature allows customers to manage resident correspondence within the platform's core workflow, which is designed to improve record-keeping and response efficiency.</w:t>
      </w:r>
    </w:p>
    <w:p>
      <w:pPr>
        <w:spacing w:after="0" w:line="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Value Added Services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AppFolio also offers Value Added Services that supplement our Subscription Services and are designed to enhance, automate, and streamline business-critical processes and workflows. Our Value Added Services generally fall into the categories of electronic payment services, tenant screening, risk mitigation, maintenance, and business optimization. We strive to provide a seamless experience for our customers that increases their efficiency without sacrificing ease of use.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empower our customers and their industry stakeholders with a wide variety of Value Added Services, most significantly with:</w:t>
      </w:r>
    </w:p>
    <w:p>
      <w:pPr>
        <w:spacing w:after="0" w:line="74" w:lineRule="exact"/>
        <w:rPr>
          <w:sz w:val="20"/>
          <w:szCs w:val="20"/>
          <w:color w:val="auto"/>
        </w:rPr>
      </w:pPr>
    </w:p>
    <w:p>
      <w:pPr>
        <w:jc w:val="both"/>
        <w:ind w:left="640" w:right="20" w:hanging="216"/>
        <w:spacing w:after="0" w:line="262"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Electronic Payment Services. </w:t>
      </w:r>
      <w:r>
        <w:rPr>
          <w:rFonts w:ascii="Times New Roman" w:cs="Times New Roman" w:eastAsia="Times New Roman" w:hAnsi="Times New Roman"/>
          <w:sz w:val="12"/>
          <w:szCs w:val="12"/>
          <w:color w:val="auto"/>
        </w:rPr>
        <w:t>Our electronic payment services allow property managers to streamline their receivables and payables through a variety of online payment options. Property managers can collect funds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through our secure online portal and mobile application, and/or via electronic cash payments from various stakeholders, including applicants, residents, vendors, and property owners. The types of funds that may be collected include tenant charges, such as rental application fees, security deposits, and rent payments; contributions from property owners; and periodic dues from those living in community associations. Our customers can also electronically send funds to various stakeholders, including property investors and vendors.</w:t>
      </w:r>
    </w:p>
    <w:p>
      <w:pPr>
        <w:spacing w:after="0" w:line="45" w:lineRule="exact"/>
        <w:rPr>
          <w:rFonts w:ascii="Times New Roman" w:cs="Times New Roman" w:eastAsia="Times New Roman" w:hAnsi="Times New Roman"/>
          <w:sz w:val="12"/>
          <w:szCs w:val="12"/>
          <w:color w:val="auto"/>
        </w:rPr>
      </w:pPr>
    </w:p>
    <w:p>
      <w:pPr>
        <w:ind w:left="640" w:hanging="216"/>
        <w:spacing w:after="0" w:line="286"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Tenant Screening. </w:t>
      </w:r>
      <w:r>
        <w:rPr>
          <w:rFonts w:ascii="Times New Roman" w:cs="Times New Roman" w:eastAsia="Times New Roman" w:hAnsi="Times New Roman"/>
          <w:sz w:val="12"/>
          <w:szCs w:val="12"/>
          <w:color w:val="auto"/>
        </w:rPr>
        <w:t>Our tenant screening services, delivered through our FolioScreen™ Trusted Renter product suite, include credit checks, criminal history, landlord-tenant history, income verification, employment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verification, and identity verification for use in connection with the rental application process.</w:t>
      </w:r>
    </w:p>
    <w:p>
      <w:pPr>
        <w:spacing w:after="0" w:line="31" w:lineRule="exact"/>
        <w:rPr>
          <w:rFonts w:ascii="Times New Roman" w:cs="Times New Roman" w:eastAsia="Times New Roman" w:hAnsi="Times New Roman"/>
          <w:sz w:val="12"/>
          <w:szCs w:val="12"/>
          <w:color w:val="auto"/>
        </w:rPr>
      </w:pPr>
    </w:p>
    <w:p>
      <w:pPr>
        <w:jc w:val="both"/>
        <w:ind w:left="640" w:hanging="216"/>
        <w:spacing w:after="0" w:line="268"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Risk Mitigation. </w:t>
      </w:r>
      <w:r>
        <w:rPr>
          <w:rFonts w:ascii="Times New Roman" w:cs="Times New Roman" w:eastAsia="Times New Roman" w:hAnsi="Times New Roman"/>
          <w:sz w:val="12"/>
          <w:szCs w:val="12"/>
          <w:color w:val="auto"/>
        </w:rPr>
        <w:t>Through our FolioGuard™ offerings, we offer risk mitigation products for property managers and residents. FolioGuard Smart Ensure is a software tool that allows property managers to enforce insurance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coverage requirements within their leases by tracking coverage of their units and adding uncovered units to a qualifying liability to landlord insurance policy via a licensed insurance broker. FolioGuard Renters Insurance, provided by our wholly-owned subsidiary AppFolio Insurance Services, Inc., protects the personal belongings of renters, as well as the property itself, from certain unexpected damages.</w:t>
      </w:r>
    </w:p>
    <w:p>
      <w:pPr>
        <w:spacing w:after="0" w:line="41" w:lineRule="exact"/>
        <w:rPr>
          <w:rFonts w:ascii="Times New Roman" w:cs="Times New Roman" w:eastAsia="Times New Roman" w:hAnsi="Times New Roman"/>
          <w:sz w:val="12"/>
          <w:szCs w:val="12"/>
          <w:color w:val="auto"/>
        </w:rPr>
      </w:pPr>
    </w:p>
    <w:p>
      <w:pPr>
        <w:ind w:left="640" w:hanging="216"/>
        <w:spacing w:after="0" w:line="286" w:lineRule="auto"/>
        <w:tabs>
          <w:tab w:leader="none" w:pos="6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Resident Services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AppFolio provides services intended to enhance the resident experience, leveraging modern communication software and mobile portals. The resident journey is enhanced with features, such as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personalized onboarding experience that integrates with third-party partners to facilitate the offering of resident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2"/>
          <w:szCs w:val="12"/>
          <w:color w:val="auto"/>
        </w:rPr>
        <w:t>See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for information regarding the seasonality of our Value Added Services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Business and Growth Strategy</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growth strategy is centered on delivering value to all industry stakeholders in the property management ecosystem, including, but not limited to, property managers, residents, vendors, and investors. We believe adding value to each of these industry stakeholders improves retention and expansion opportunities for existing customers and creates a differentiated product experience to attract new customers. Our strategy is anchored on the following three strategic pillars that are designed to facilitate the expansion and retention of our customer base.</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Differentiate to Win</w:t>
      </w:r>
    </w:p>
    <w:p>
      <w:pPr>
        <w:spacing w:after="0" w:line="82"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We strive to continually create differentiated product experiences that solve customer needs and create new revenue streams for AppFolio and our customers. Advanced technologies, such as Realm and its AI capabilities, including our Performers product, are designed to unlock increased productivity and efficiency gains for customers through generative messaging capabilities, customizable workflow automation, and an interactive AI-powered assistant. Our data platform and APIs extend our capabilities and enable third-party integrations through our Stack</w:t>
      </w:r>
      <w:r>
        <w:rPr>
          <w:rFonts w:ascii="Times New Roman" w:cs="Times New Roman" w:eastAsia="Times New Roman" w:hAnsi="Times New Roman"/>
          <w:sz w:val="15"/>
          <w:szCs w:val="15"/>
          <w:color w:val="auto"/>
          <w:vertAlign w:val="superscript"/>
        </w:rPr>
        <w:t>TM</w:t>
      </w:r>
      <w:r>
        <w:rPr>
          <w:rFonts w:ascii="Times New Roman" w:cs="Times New Roman" w:eastAsia="Times New Roman" w:hAnsi="Times New Roman"/>
          <w:sz w:val="12"/>
          <w:szCs w:val="12"/>
          <w:color w:val="auto"/>
        </w:rPr>
        <w:t xml:space="preserve"> marketplace. Continued innovation in onboarding tools, processes, and workflows are designed to remove barriers for customers to switch to AppFolio, while accelerating use and adoption of our services. Through new, innovative product features, our goal is to provide differentiated product experiences that extend value throughout the property technology ecosystem, for property managers, investors, vendors, and residents.</w:t>
      </w:r>
    </w:p>
    <w:p>
      <w:pPr>
        <w:spacing w:after="0" w:line="6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continue to focus on attracting larger property management customers with complex and diversified property portfolios who derive value from managing their entire portfolio on a single platform. Ongoing innovations for investor and resident stakeholders are intended to redefine how property managers connect with these critical stakeholders and create additional value for all groups through the use of our performance-driven platform.</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Deliver Performance Efficiently</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our customer base grows, we strive to provide a scalable client service experience that is accessible and easy to use. This includes utilizing AI capabilities, technology systems, and third party partners. The efforts of our customer-facing teams are focused on driving use and adoption of our services and helping customers achieve success on our platform. We expect to continue to gain leverage in our service experience through self-service and automation, as well as through our third-party solution partners that enable us to quickly expand our service offerings. Additionally, we empower our customers and their networks of stakeholders through the continued development and adoption of our Subscription Services and Value Added Services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xml:space="preserve"> We believe our customer-centric culture drives a focus on customer satisfaction that leads to long-term retention and, ultimately, to our long-term success.</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strive to operate with high efficiency and are continually evaluating opportunities to gain leverage across all aspects of our business. We plan to continue our efforts to efficiently and effectively scale our capabilities, processes, and systems to adapt and grow with our business, and align the value of our offerings to the size, scale, and complexity of our customers, while upholding a rigorous standard of privacy, protection, compliance, and ethics.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b w:val="1"/>
          <w:bCs w:val="1"/>
          <w:i w:val="1"/>
          <w:iCs w:val="1"/>
          <w:color w:val="auto"/>
        </w:rPr>
        <w:t>Great People and Culture</w:t>
      </w:r>
    </w:p>
    <w:p>
      <w:pPr>
        <w:spacing w:after="0" w:line="82" w:lineRule="exact"/>
        <w:rPr>
          <w:sz w:val="20"/>
          <w:szCs w:val="20"/>
          <w:color w:val="auto"/>
        </w:rPr>
      </w:pPr>
    </w:p>
    <w:p>
      <w:pPr>
        <w:jc w:val="both"/>
        <w:ind w:firstLine="378"/>
        <w:spacing w:after="0" w:line="279" w:lineRule="auto"/>
        <w:rPr>
          <w:sz w:val="20"/>
          <w:szCs w:val="20"/>
          <w:color w:val="auto"/>
        </w:rPr>
      </w:pPr>
      <w:r>
        <w:rPr>
          <w:rFonts w:ascii="Times New Roman" w:cs="Times New Roman" w:eastAsia="Times New Roman" w:hAnsi="Times New Roman"/>
          <w:sz w:val="12"/>
          <w:szCs w:val="12"/>
          <w:color w:val="auto"/>
        </w:rPr>
        <w:t>We believe fostering a connected and inclusive workplace is fundamental to AppFolio’s success. We empower AppFolio employees to deliver exceptional value for our customers and stockholders through continuous innovation, excellence, and meaningful work. We routinely evaluate and, when appropriate, invest in our people processes, programs, and systems to fuel high performance.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Customers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define customers as those contracted for a Property Manager Subscription Services Plan. As of December 31, 2025, we had 22,096 property management customers.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Customer Service</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believe our success is tied to long-term customer relationships, not a one-time sale. Our team is structured to deliver continuous service. This includes live and on-demand training, a library of resources, and personalized account management. We regularly measure our Net Promoter Score and Customer Satisfaction Score, and solicit customer feedback in a variety of ways in an effort to continue to improve and better serve our customers. We utilize a tiered engagement model to align the value we deliver with the value we capture from our customers, including add-on offerings such as tailored training and certification programs, and professional services delivered by our network of solution partners.</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dedicated onboarding teams that work to ensure that customers are prepared to run their businesses on our platform, as well as self-service tools that reduce customers' time and rate of effort to achieve success with our products and services. As a result of our assistance with customer data migration matters, we are able to provide valuable insights into data integrity and work with our customers to help resolve issues in their underlying business processes. We also assist our customers with the configuration of our products for particular property types. We dedicate resources to guide our customers through the adoption and utilization of our Subscription Services and Value Added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leverage a modern and scalable marketing approach along with marketing automation technology to attract and engage prospects and build brand recognition as an industry leader. We use a variety of inbound and outbound marketing techniques to promote our products and services, and we participate in industry thought leadership and education. We also host our own annual industry conference, FUTURE, where leaders, innovators, and experts come together to explore, teach, and discuss technology, tools, and trends. We encourage our existing and prospective customers to attend FUTURE to learn more about us and how our platform and services can help their businesses.</w:t>
      </w:r>
    </w:p>
    <w:p>
      <w:pPr>
        <w:spacing w:after="0" w:line="47"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business development team acts in partnership with our marketing and sales teams to reach potential customers, generate sales opportunities, and accelerate the time from evaluation to close. Our sales representatives assist prospective customers as they evaluate our products. Our interactive sales methodology allows our sales team to quickly build relationships, assess prospective customers' business challenges, and demonstrate the benefits of our platform.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 and Operations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products are powered by a highly scalable computing platform and are designed with a focus on data security and availability. We take great care to keep our application framework and the rest of our software stack current to mitigate known vulnerabilities. Our computing platform and cloud infrastructure are primarily powered by third-party service providers. To help ensure that data is not lost and that customer requests can be satisfied, production assets are securely replicated and regularly backed up to an additional geographic region.</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monitor our production infrastructure to ensure high performance and availability, and our architecture provides us significant flexibility in achieving these goals.</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work to ensure that our customers and their communities are confident in our data practices. Sensitive data in our systems is encrypted during transmission and before being written to disk. We regularly evaluate our product and infrastructure security, including through third-party penetration testing. In addition, our products allow our customers to define roles that provide different levels of access to users, allowing them to view and modify specific items depending on their role. Supervisors can distribute work to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Product Development</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rely heavily on input from our customers and prospective customers to develop products that meet their needs and anticipate developments in their businesses. We perform research and market validation efforts to guide our product roadmap. Our platform is frequently updated to provide new innovations and respond to market trends and customer needs. In addition, we believe that it is easier for our customers to adjust to frequent platform updates that incrementally change and improve their user experience than to adapt to infrequent, but more drastic, updates.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overall market for business management solutions in the real estate industry is global, highly competitive, and continually evolving to respond to changes in technology, including AI, operational requirements, and laws and regulations. We believe our competitors primarily fall into the following categories:</w:t>
      </w:r>
    </w:p>
    <w:p>
      <w:pPr>
        <w:spacing w:after="0" w:line="39" w:lineRule="exact"/>
        <w:rPr>
          <w:sz w:val="20"/>
          <w:szCs w:val="20"/>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Vertical real estate business management service providers that serve companies of all sizes in our markets; and</w:t>
      </w:r>
    </w:p>
    <w:p>
      <w:pPr>
        <w:spacing w:after="0" w:line="200" w:lineRule="exact"/>
        <w:rPr>
          <w:rFonts w:ascii="Times New Roman" w:cs="Times New Roman" w:eastAsia="Times New Roman" w:hAnsi="Times New Roman"/>
          <w:sz w:val="12"/>
          <w:szCs w:val="12"/>
          <w:color w:val="auto"/>
        </w:rPr>
      </w:pPr>
    </w:p>
    <w:p>
      <w:pPr>
        <w:spacing w:after="0" w:line="247" w:lineRule="exact"/>
        <w:rPr>
          <w:rFonts w:ascii="Times New Roman" w:cs="Times New Roman" w:eastAsia="Times New Roman" w:hAnsi="Times New Roman"/>
          <w:sz w:val="12"/>
          <w:szCs w:val="12"/>
          <w:color w:val="auto"/>
        </w:rPr>
      </w:pPr>
    </w:p>
    <w:p>
      <w:pPr>
        <w:ind w:left="56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7" w:name="page8"/>
    <w:bookmarkEnd w:id="7"/>
    <w:p>
      <w:pPr>
        <w:ind w:left="640" w:hanging="216"/>
        <w:spacing w:after="0"/>
        <w:tabs>
          <w:tab w:leader="none" w:pos="6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Horizontal business management service providers that offer broad solutions across multiple industries.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also experience competition from numerous technology providers that focus almost exclusively on one or more point solutions in the real estate industry or in other industries.</w:t>
      </w:r>
    </w:p>
    <w:p>
      <w:pPr>
        <w:spacing w:after="0" w:line="7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believe we are well positioned to compete against both vertical and horizontal competitors because of our innovative platform that can scale and extend through AppFolio Stack™ and our Value Added Services, which can meet the needs of all property management stakeholders across our growing addressable market. However, some of our competitors may have greater financial, technical and other resources, greater name recognition and larger sales and marketing budgets; therefore, we may not always compare favorably with respect to some or all of the foregoing factors. Further, the barrier to entry for competition in one or more areas we serve may be low, which could lead to competition from new entrants who solve similar problems in different ways.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rely on a combination of patents, copyrights, trademarks, trade secrets, confidentiality procedures and contractual restrictions to establish and protect our proprietary rights in our services. We may pursue additional patent protection to the extent we believe it would be beneficial and cost-effective.</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control access to our proprietary technology by entering into confidentiality and invention assignment agreements with our employees and contractors, and confidentiality agreements with third parties. We also limit access to certain confidential information or trade secret information, including our source code, to those who have a need for such access. Despite our precautions, it may be possible for unauthorized third parties to copy our products and use information that we regard as proprietary to create products and services that compete with ours.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73"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Our business activities are subject to various federal, state and local laws and regulations. In addition, certain of our services (such as our tenant screening and risk mitigation services) are highly regulated or intended to be used in connection with other highly regulated activities. Some of the federal laws and regulations to which our products and services are subject include, without limitation:</w:t>
      </w:r>
    </w:p>
    <w:p>
      <w:pPr>
        <w:spacing w:after="0" w:line="47" w:lineRule="exact"/>
        <w:rPr>
          <w:sz w:val="20"/>
          <w:szCs w:val="20"/>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Housing Act;</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Credit Reporting Act (the "FCRA");</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Americans with Disabilities Act;</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Electronic Signatures in Global and National Commerce Act; and</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Trade Commission Act.</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State law equivalents of the foregoing, plus various state regulations related to insurance licensing and solicitation and privacy also apply to certain of our services. In addition, our services are subject to changing federal and state laws and regulations, the application or interpretation of which is not clear in some jurisdictions. Moreover, federal and state legislatures and regulatory agencies have indicated they are focused on protecting tenants. This focus may result in the introduction of new laws and regulations that are directly applicable to our business. We have implemented various programs, processes and controls focused on compliance with applicable laws and regulations throughout our business; however, there is no guarantee that we will not be subject to fines, penalties or other regulatory actions in one or more jurisdictions, or be required to adjust our business practices to accommodate future regulatory requirements.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for additional details regarding risks related to government regulations.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believe our people and culture are at the heart of our success. We drive our success by investing in our people, and cultivating an exceptional work destination where they want to be and stay. Our company culture, driven by the following six core values, fuels our purpose and results:</w:t>
      </w:r>
    </w:p>
    <w:p>
      <w:pPr>
        <w:spacing w:after="0" w:line="39" w:lineRule="exact"/>
        <w:rPr>
          <w:sz w:val="20"/>
          <w:szCs w:val="20"/>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Great people make a great company.</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Listening to customers is in our DNA.</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Innovation powers success.</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Simpler is better.</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the right thing; it’s good for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8" w:name="page9"/>
    <w:bookmarkEnd w:id="8"/>
    <w:p>
      <w:pPr>
        <w:ind w:left="640" w:hanging="216"/>
        <w:spacing w:after="0"/>
        <w:tabs>
          <w:tab w:leader="none" w:pos="6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 trust every day.</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we had 1,702 employees. We routinely engage temporary employees and consultants. We consider our relationships with our employees and consultants to be strong. To maintain this strong relationship and attract new talent, our human capital management efforts focus on the following initiatives:</w:t>
      </w:r>
    </w:p>
    <w:p>
      <w:pPr>
        <w:spacing w:after="0" w:line="3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An Inclusive Workplace. </w:t>
      </w:r>
      <w:r>
        <w:rPr>
          <w:rFonts w:ascii="Times New Roman" w:cs="Times New Roman" w:eastAsia="Times New Roman" w:hAnsi="Times New Roman"/>
          <w:sz w:val="12"/>
          <w:szCs w:val="12"/>
          <w:color w:val="auto"/>
        </w:rPr>
        <w:t>Our commitment to an inclusive workplace starts at the leadership level and cascades to our talented employees. We believe that reflecting the diversity of our customers and communities is essential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driving innovation, performance, and long-term success. We foster a culture of belonging through employee-led resource groups, open communication, and regular listening forums, where every voice is valued and contributes to shaping our workplace. At the same time, we are committed to empowering all employees to do their best work, grow their careers, and deliver results. By prioritizing performance, transparency, and engagement, we create a culture where diverse perspectives fuel better innovation and stronger outcomes.</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Employee Development. </w:t>
      </w:r>
      <w:r>
        <w:rPr>
          <w:rFonts w:ascii="Times New Roman" w:cs="Times New Roman" w:eastAsia="Times New Roman" w:hAnsi="Times New Roman"/>
          <w:sz w:val="12"/>
          <w:szCs w:val="12"/>
          <w:color w:val="auto"/>
        </w:rPr>
        <w:t>We invest significant resources to develop the talent needed to remain at the forefront of innovation, making us an employer of choice. Our learning and development offerings are aligned with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needs of our business and tailored for individual growth. We conduct in-person trainings and make available on-demand programming that covers a wide range of topics from professional development to real estate industry acumen. Our quarterly engagement survey provides a platform for employees to provide anonymous feedback directly to their managers and our executives.</w:t>
      </w:r>
    </w:p>
    <w:p>
      <w:pPr>
        <w:spacing w:after="0" w:line="4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Societal Impact. </w:t>
      </w:r>
      <w:r>
        <w:rPr>
          <w:rFonts w:ascii="Times New Roman" w:cs="Times New Roman" w:eastAsia="Times New Roman" w:hAnsi="Times New Roman"/>
          <w:sz w:val="12"/>
          <w:szCs w:val="12"/>
          <w:color w:val="auto"/>
        </w:rPr>
        <w:t>We create a culture of impact by being a force for good for our customers, our communities, and each other. We empower employee volunteerism through our employee-led Give Back Committee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company-wide benefit of eight hours of paid volunteer time off annually. Our corporate philanthropy program, “AppFolio Gives Back”, supports housing availability, an ongoing challenge in the real estate industry, through a combination of employee fundraising, team volunteering, and a corporate matching gift program.</w:t>
      </w:r>
    </w:p>
    <w:p>
      <w:pPr>
        <w:spacing w:after="0" w:line="4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Environmental Stewardship. </w:t>
      </w:r>
      <w:r>
        <w:rPr>
          <w:rFonts w:ascii="Times New Roman" w:cs="Times New Roman" w:eastAsia="Times New Roman" w:hAnsi="Times New Roman"/>
          <w:sz w:val="12"/>
          <w:szCs w:val="12"/>
          <w:color w:val="auto"/>
        </w:rPr>
        <w:t>We believe in a culture of environmental stewardship and strive to create environmentally friendly workplaces. We maintain sustainability requirements that all contractors who work in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buildings or on our grounds are required to follow. Examples of these requirements include recycling of all demolished or removed materials whenever possible, installation of energy efficient HVAC units, low power LED lighting and fixtures, and native, drought resistant landscaping.</w:t>
      </w:r>
    </w:p>
    <w:p>
      <w:pPr>
        <w:spacing w:after="0" w:line="4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Compensation and Benefits. </w:t>
      </w:r>
      <w:r>
        <w:rPr>
          <w:rFonts w:ascii="Times New Roman" w:cs="Times New Roman" w:eastAsia="Times New Roman" w:hAnsi="Times New Roman"/>
          <w:sz w:val="12"/>
          <w:szCs w:val="12"/>
          <w:color w:val="auto"/>
        </w:rPr>
        <w:t>We maintain a culture of high performance that recognizes and rewards those who deliver meaningful results, as well as how those results were achieved. Our compensation and benefits programs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support the well-being of our employees and their families enabling them to live their best lives both at work and at home. Our competitive compensation packages may include base salary, commission or annual performance-based bonuses, and stock-based compensation. We also offer a flexible paid time off policy, paid parental leave, paid sabbaticals, paid leave to care for family members, and access to fertility networks and discounts on fertility care. We review our programs periodically to ensure they remain competitive to retain, motivate, and reward current employees and attract new employees.</w:t>
      </w:r>
    </w:p>
    <w:p>
      <w:pPr>
        <w:spacing w:after="0" w:line="4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Health, Safety, and Wellness. </w:t>
      </w:r>
      <w:r>
        <w:rPr>
          <w:rFonts w:ascii="Times New Roman" w:cs="Times New Roman" w:eastAsia="Times New Roman" w:hAnsi="Times New Roman"/>
          <w:sz w:val="12"/>
          <w:szCs w:val="12"/>
          <w:color w:val="auto"/>
        </w:rPr>
        <w:t>We are committed to providing a safe workplace for our employees and assisting them in maintaining a healthy work-life balance. We regularly solicit feedback to assess the well-being and needs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our employees and offer resources focused on mental health and physical wellness. Our office locations are intentional spaces where we fuel connection, innovation, collaboration, and celebrate successes together</w:t>
      </w:r>
      <w:r>
        <w:rPr>
          <w:rFonts w:ascii="Times New Roman" w:cs="Times New Roman" w:eastAsia="Times New Roman" w:hAnsi="Times New Roman"/>
          <w:sz w:val="12"/>
          <w:szCs w:val="12"/>
          <w:color w:val="008080"/>
        </w:rPr>
        <w:t>.</w:t>
      </w:r>
      <w:r>
        <w:rPr>
          <w:rFonts w:ascii="Times New Roman" w:cs="Times New Roman" w:eastAsia="Times New Roman" w:hAnsi="Times New Roman"/>
          <w:sz w:val="12"/>
          <w:szCs w:val="12"/>
          <w:color w:val="auto"/>
        </w:rPr>
        <w:t xml:space="preserve"> We have embraced a work model where many of our employees work out of one of our offices several days a week and others work remotely.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are subject to the reporting requirements of the Securities Exchange Act of 1934, as amended (the “Exchange Act”), and file annual, quarterly and current reports, proxy statements and other information with the SEC.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filings are available to the public on the SEC’s website at www.sec.gov.</w:t>
      </w:r>
    </w:p>
    <w:p>
      <w:pPr>
        <w:spacing w:after="0" w:line="6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website address is www.appfolio.com. We make available, free of charge, on or through our website, our annual reports on Form 10-K, quarterly reports on Form 10-Q, current reports on Form 8-K, and amendments to those reports filed or furnished pursuant to Section 13(a) of the Exchange Act as soon as reasonably practicable after we electronically file such material with, or furnish it to, the SEC. The contents of our website are not incorporated by reference in, or otherwise made a part of, this Annual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9" w:name="page10"/>
    <w:bookmarkEnd w:id="9"/>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1A.</w:t>
        <w:tab/>
        <w:t>RISK FACTORS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Investing in our securities involves risks. 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cash flows and prospects could be materially and adversely affected. In that case, the trading price of our Class A common stock may decline and you might lose all or part of your investment. The risks described below are not the only risks we face. Additional risks that we currently do not know about or that we currently believe to be immaterial may also impair our business, financial condition, operating results, cash flows,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Products and Services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found to be in violation of the legal requirements applicable to our products and services, our business and operating results may be adversely affected.</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Our business activities are subject to various federal, state and local laws and regulations. In addition, certain of our services, such as our tenant screening and risk mitigation services, are highly regulated or intended to be used in connection with other highly regulated activities. Unfavorable laws, regulations, and administrative or judicial decisions interpreting or applying laws and regulations could subject us to litigation or governmental investigation and increase our cost of doing business, any of which may adversely affect our operating results. Further, the evolution and expansion of our products and services may subject us to additional regulatory risks and requirements. For example, as our electronic payments services business evolves, we may become directly subject to laws governing money transmission and anti-money laundering. Regulatory requirements vary throughout the markets in which we operate, and have increased over time as the scope and complexity of our products and services have expanded. Moreover, federal and state legislatures and regulatory agencies have indicated they are focused on protecting tenants. This focus may result in the introduction of new laws and regulations that are directly applicable to our business. There is no guarantee that we will not be subject to fines, criminal and civil lawsuits or other regulatory enforcement actions in one or more jurisdictions or be required to adjust business practices to accommodate regulatory requirements.</w:t>
      </w:r>
    </w:p>
    <w:p>
      <w:pPr>
        <w:spacing w:after="0" w:line="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New and evolving regulatory requirements may also impact our customers and their ability or willingness to utilize our products and services. For instance, we consistently monitor regulatory activity by the Federal Trade Commission (the "FTC"), by the Consumer Financial Protection Bureau ("CFPB"), and by various state regulatory bodies applicable to tenant screening. New or uncertain regulatory requirements may impact our ability to offer or our customers' ability and willingness to utilize certain of our services, which may impact our operating results.</w:t>
      </w:r>
    </w:p>
    <w:p>
      <w:pPr>
        <w:spacing w:after="0" w:line="4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periodically undergo examinations, audits, and investigations by regulatory authorities related to our services, including those related to the affairs of insurance companies and agencies and electronic payment services providers. Such examining, auditing, and investigating regulatory authorities are generally vested with relatively broad discretion to grant, renew and revoke licenses and approvals, to implement and interpret rules and regulations, levy fines and penalties, and bring enforcement actions. While we have implemented various programs, processes and controls focused on compliance with applicable laws and regulations throughout our business, there is no guarantee that we will not be subject to fines, penalties or other regulatory actions in one or more jurisdictions, or be required to adjust our business practices to accommodate future regulatory requirements. In the event that we are found to be in violation of our legal or regulatory requirements, we may be subject to monetary fines or penalties, cease-and-desist orders, mandatory product changes, or other liabilities that could have an adverse effect on our business (including damage to our reputation) and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in our electronic payment services business that could adversely affect our business and/or results of operations.</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electronic payment services business facilitates the processing of inbound and outbound payments for our customers. These payments are settled through our sponsoring clearing bank, licensed money transmitters, card payment processors and other third-party electronic payment services providers that we contract with from time to time. With respect to these service providers, we have significantly less control over the systems and processes than if we were to maintain and operate those systems and processes ourselves. In some cases, functions necessary to our business are performed on proprietary third-party systems and software to which we have no access. We also generally do not have long-term contracts with these service providers. Moreover, we rely on a limited number of third-party electronic payment services providers and, in some instances, do not have a backup provider in place for a specific service. Accordingly, the failure of these service providers to renew their contracts with us or to fulfill their contractual obligations and perform satisfactorily could result in significant disruptions to our operations and adversely affect our operating results.</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and will continue to be, subject to risks arising from or related to the settlement of payment transactions, including with respect to prefunding and chargeback requests as well as human or processing errors. Users are ultimately responsible for fulfilling their obligations to fund transactions; however, in instances where there are returns or chargebacks, we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sectPr>
      </w:pPr>
    </w:p>
    <w:bookmarkStart w:id="10" w:name="page11"/>
    <w:bookmarkEnd w:id="10"/>
    <w:p>
      <w:pPr>
        <w:jc w:val="both"/>
        <w:spacing w:after="0" w:line="260" w:lineRule="auto"/>
        <w:rPr>
          <w:sz w:val="20"/>
          <w:szCs w:val="20"/>
          <w:color w:val="auto"/>
        </w:rPr>
      </w:pPr>
      <w:r>
        <w:rPr>
          <w:rFonts w:ascii="Times New Roman" w:cs="Times New Roman" w:eastAsia="Times New Roman" w:hAnsi="Times New Roman"/>
          <w:sz w:val="12"/>
          <w:szCs w:val="12"/>
          <w:color w:val="auto"/>
        </w:rPr>
        <w:t>attempt to collect these funds from our customers. If we are unable to collect such amounts from our customers, we bear the risk of loss for the amount of the return or chargeback. While we have not experienced material losses resulting from payment returns or chargebacks in the past, there can be no assurance that we will not experience significant losses in the future. Any increase in returns or chargebacks that we are not able to recover from our customers may adversely affect our business, financial condition and results of operations. In addition, if transactions or settlement reconciliations are not performed timely or are inaccurate due to human or processing errors, we could experience significant financial loss that could have an adverse effect on our business, financial condition, and operating results.</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electronic payment services business also exposes us to risk in connection with theft, fraud and other malicious activity by our employees, our third-party service providers’ employees, or third-parties who improperly gain access to our systems, our customers’ systems, or our third-party providers' systems. In the event of such activity, we may incur liability to compensate our customers, our customers' stakeholders, or third-party electronic payment service providers for losses incurred. In the past, third-party bad actors have gained improper access to our systems, our customers’ systems, and our third-party providers' systems, and we experienced financial loss as a result. While we continually seek to improve the measures we take to secure our systems and payments infrastructure, it is not possible to entirely eliminate the risk of intentional wrongdoing. If third-party bad actors again gain access to any of these systems, or our employees or third-party service providers’ employees misuse our payment systems for malicious purposes, we could experience material financial loss that may adversely affect our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payment card networks or bank fees, rules, or practices could harm our business.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do not directly access the payment card networks, such as Visa and MasterCard, that enable our acceptance of credit cards and debit cards, including some types of prepaid cards. Accordingly, we must rely on banks or other card payment processors to process transactions and pay fees for their services. From time to time, payment card networks have increased, and may increase in the future, the interchange fees and assessments that they charge for each transaction which accesses their networks. Our card payment processors may have the right to pass any increases in interchange fees and assessments on to us and increase their own fees for processing. Any changes in interchange fees and assessments could increase our operating costs and reduce our operating income. In the past, federal regulators have required Visa and MasterCard to reduce interchange fees. Any material change in credit or debit card interchange rates, including changes in interchange fee limitations, could significantly reduce our Value Added Services revenue and have an adverse effect on our business and operating results.</w:t>
      </w:r>
    </w:p>
    <w:p>
      <w:pPr>
        <w:spacing w:after="0" w:line="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card payment processors require us to comply with payment card network operating rules, including special operating rules for electronic payment service providers to merchants. We have agreed to reimburse our processors for any fees or fines they are assessed by payment card networks as a result of any rule violations by us or our merchants. The payment card networks set and interpret the card operating rules. From time to time, the networks have alleged that various aspects of our business model violate these operating rules. In the past, all such allegations have been resolved favorably. If, however, such allegations are not resolved favorably in the future, they may result in material fines and penalties or require changes in our business practices that may be costly. In addition, the payment card networks could adopt new operating rules or interpret or re-interpret existing rules that we or our processors might find difficult or even impossible to follow, or costly to implement. As a result, we could lose our ability to give customers and their residents the option of using payment cards to fund their payments. If we are unable to accept payment cards or are meaningfully limited in our ability to do so, our business and operating results would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in our tenant screening services business that could adversely affect our business and/or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tenant screening services business is subject to a number of complex laws that are subject to varying interpretations, including the FCRA, the Fair Housing Act, and related federal and state regulations. The FCRA continues to be the subject of multiple class-based litigation proceedings, as well as numerous regulatory inquiries and enforcement actions. In addition, entities such as the FTC and the CFPB have the authority to promulgate rules and regulations that may impact our customers and our business and have made various public statements that tenant screening is an area of focus for such agencies. While we believe that our tenant screening services comply with relevant laws and regulations, we have been, and may in the future be, accused of not complying with such laws and regulations, and have been, and may in the future be, found to be in violation of them. In addition, we have been, and expect in the future to be, subject to routine regulatory inquiries, enforcement actions, class-based litigation and/or indemnity demands.</w:t>
      </w:r>
    </w:p>
    <w:p>
      <w:pPr>
        <w:spacing w:after="0" w:line="5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As previously disclosed, in January 2021, we entered into a settlement agreement with the FTC to resolve allegations that we failed to comply with certain sections of the FCRA. In connection with the settlement, we paid a fine and agreed to ongoing compliance and reporting obligations. Our failure to comply with these obligations could result in material additional penalties or other actions by the FTC or other agencies, including enjoining our ability to provide tenant screening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1" w:name="page12"/>
    <w:bookmarkEnd w:id="11"/>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potential liability in any enforcement action, class action lawsuit, or significant single plaintiff lawsuit could have a material impact on our business, especially given that certain applicable laws and regulations provide for fines or penalties on a per occurrence basis and we participate in a large number of tenant screening transactions. The existence of any such proceeding, whether meritorious or not, may adversely affect our ability to attract customers, result in the loss of existing customers, harm our reputation and cause us to incur defense costs or other expenses.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resident-focused offerings, such as Resident Onboarding and Resident Onboarding Lift, subject us and our customers to increased regulatory scrutiny and legal requirements.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While our primary customers are property management companies, we offer (either directly or indirectly via third-party partnerships) various resident-focused products and services that are utilized by residents, including resident concierge services and resident benefit packages. These offerings subject us to additional regulatory risks and evolving legal requirements, particularly regarding fee transparency and disclosure. Federal and state regulatory agencies, including the FTC and the CFPB, have increasingly focused on the rental housing industry, specifically regarding the clarity of fees associated with residential tenancies. If our products are deemed to lack adequate transparency or disclosure, or if the mandatory nature of certain services is found to violate consumer protection laws, we or our customers could be subject to litigation or governmental investigation.</w:t>
      </w:r>
    </w:p>
    <w:p>
      <w:pPr>
        <w:spacing w:after="0" w:line="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Furthermore, regulatory requirements vary throughout the markets in which we operate, and new or updated state and local landlord-tenant laws may regulate the types of fees and services that property managers can require residents to purchase. Unfavorable administrative or judicial decisions interpreting these laws could impact our customers' ability or willingness to utilize these services, which may adversely impact our operating results. Our resident-focused concierge services also rely on third-party service providers to fulfill specific functionality, such as utility connections, internet connections, or moving services. We have significantly less control over the systems and processes of these providers, and any failure by these third parties to perform satisfactorily or to protect resident data could result in significant disruption to our operations, reputational harm, or potential liability. Because these services are ultimately utilized by residents, we may face an increased risk of class-based litigation or regulatory inquiries arising from resident disputes over service delivery, billing or alleged violations of consumer protection laws. There is no guarantee that we will not be required to adjust our business practices to accommodate future regulatory requirements, or that these offerings will not result in material financial loss.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face antitrust challenges, which could harm our business and operating results.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Algorithmic pricing tools in our industry have been subject to antitrust challenges in the form of criminal and civil investigations, regulatory enforcement actions, and private class actions. Although we believe our services are compliant with antitrust laws, we may face similar challenges, which regardless of merit, could cause us to incur significant expenses, distract management, damage our reputation, and result in substantial fines, damages, and/or settlement costs, all of which could adversely affect our business and operating results.</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Errors, defects or other disruptions in our products, or the products of our third-party service providers upon which certain of our products are dependent, could harm our reputation, cause us to lose customers, and result in significant expenditures to correct the problem.</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customers use our products to manage critical aspects of their businesses. Any errors, defects or other disruptions in our products, or the products of our third-party service providers upon which certain of our products are dependent, may result in loss of or damage to our customers’ data and disruption to our customers’ businesses, which could harm our reputation and subject us to potential liability. Such product problems could be caused by a variety of factors, including infrastructure changes, power or network outages, fire, flood or other natural disasters, human or software errors, viruses, security breaches, fraud or other malicious activity, spikes in customer usage or distributed denial of service attacks. In addition, we provide continuous updates to our products and these updates may contain undetected errors, defects or other disruptions when first introduced. In the past, we have discovered errors, defects, or other disruptions in our updates after they have been released, and similar problems may arise in the future. Real or perceived errors, defects, or other disruptions in our products or the products of our third-party service providers upon which certain of our products are dependent, could result in negative publicity, reputational harm, loss of customers, delay in market acceptance of our products and services, loss of competitive position, withholding or delay of payment to us, claims by customers for losses sustained by them and potential litigation or regulatory action. In any such event, we may be required to expend additional resources to correct the problem or we may choose to expend additional resources to take corrective action even when not required. The costs incurred in correcting any material errors, defects or other disruptions could be substantial. In addition, we may not carry insurance sufficient to offset any losses that may result from claims arising from such errors, defects or other disruptions.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deliver effective customer service, it could harm our relationships with our existing customers and adversely affect our ability to attract new customers and our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business depends, in part, on our ability to satisfy our customers by providing a consistently high level of onboarding services and ongoing customer service. Once our services are deployed, our customers depend on our customer service organization to resolve technical issues relating to their use of the services. Increased demand for our support services may increase our costs without corresponding revenue, which could adversely affect our operating results. Further, our sales process is highly dependent on the ease of use of our products and services, our reputation and positive recommendations from our existing customers. Any failure to maintain high-quality and responsive customer service, or a market perception that we do not maintain high-quality and responsive customer service, could harm our reputation, cause us to lose customers and adversely impact our ability to sell our products and services to prospective customers.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property management customers stop requiring insurance coverage for their units, our operating results could be harmed.</w:t>
      </w:r>
    </w:p>
    <w:p>
      <w:pPr>
        <w:spacing w:after="0" w:line="8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Some of our property management customers require their renters to maintain certain insurance coverage requirements. Through wholly owned and licensed subsidiaries, we make renters insurance policies available to these renters and, if our customers so elect, add uncovered units to a qualifying liability to landlord insurance policy via a licensed insurance broker. If our property management customers stop requiring renters to maintain insurance coverage because of regulatory or competitive pressures, demand for our insurance-related risk mitigation products may decline and our revenues and operating results could be adversely affected.</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relationships with third-party service providers that enable certain functionality within our products and services or provide our customers with specialized technology and services, our business and operating results may be harmed.</w:t>
      </w:r>
    </w:p>
    <w:p>
      <w:pPr>
        <w:spacing w:after="0" w:line="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Certain functionality of our services is provided, supported or enhanced by third-party service providers, including without limitation functions related to CRM, cloud computing, texting, emailing, electronic payments, tenant screening, and insurance related offerings. Our customers are also able to integrate specialized, third-party technology and services through AppFolio Stack™. If our third-party service providers cease providing their products or making them available through AppFolio Stack™, our products and services and the demand for them could be adversely impacted and our business and operating results could be harmed. In addition, our competitors may be more successful than us in building cost-effective relationships with third parties that enhance their products and services, allow them to provide more competitive pricing, or offer other benefits to their customers. Acquisitions of our third-party service providers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third-party service providers, our ability to compete in the marketplace or to grow our customer base and revenue could be impaired, which could negatively impact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development and incorporation of AI in our services may result in reputational harm or liability, which could adversely affect our business and operating results.</w:t>
      </w:r>
    </w:p>
    <w:p>
      <w:pPr>
        <w:spacing w:after="0" w:line="8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We employ machine learning and AI technologies, including generative and agentic AI, in our product and service offerings. Research into, and continued development of, such technologies remains ongoing. As AI represents a rapidly evolving field, it inherently carries a spectrum of risks typical of emerging technologies. We anticipate the enactment of new laws and regulations pertaining to AI use, potentially placing us under increased regulatory oversight, escalating litigation risks, and augmenting our existing obligations regarding confidentiality and privacy. Such developments could negatively impact our business operations. Moreover, AI technologies introduce heightened cybersecurity risks and ethical considerations, potentially affecting our reputation and operational performance. Threat actors are increasingly using AI to develop sophisticated cyberattacks, including deepfakes and social engineering. Should we introduce products or services that generate content that is misleading, inaccurate, biased, harmful or controversial due to perceived or actual societal impact, we may face potential harm to our brand and reputation, competitive disadvantages, and legal liabilities. AI algorithms and training methodologies may be flawed, ineffective or inadequate. AI development or deployment practices by us or others could result in incidents that impair the acceptance of AI solutions or cause harm to individuals or society. Further, the legal landscape regarding intellectual property rights in AI technologies remains unsettled in the United States, both in legislation and judicial precedent. Consequently, our use of AI technologies and features might lead to allegations of infringement or misappropriation of third-party intellectual property rights. This risk is intensified by the current trend of entities swiftly seeking patents and other intellectual property protections in AI to gain a competitive edge. Additionally, generative and agentic AI has the capacity to yield inaccurate or misleading results, promote discriminatory outcomes, or perpetuate unintended biases, which risks are exacerbated by the speed and scale of adoption and utilization of AI across our customer base. Despite our efforts to implement measures and develop our AI tools in a manner that enhances accuracy, security and fairness, these issues may arise due to the direct interaction of users with generative and agentic AI models and the inherent unpredictability and power of these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3" w:name="page14"/>
    <w:bookmarkEnd w:id="13"/>
    <w:p>
      <w:pPr>
        <w:jc w:val="both"/>
        <w:spacing w:after="0" w:line="279" w:lineRule="auto"/>
        <w:rPr>
          <w:sz w:val="20"/>
          <w:szCs w:val="20"/>
          <w:color w:val="auto"/>
        </w:rPr>
      </w:pPr>
      <w:r>
        <w:rPr>
          <w:rFonts w:ascii="Times New Roman" w:cs="Times New Roman" w:eastAsia="Times New Roman" w:hAnsi="Times New Roman"/>
          <w:sz w:val="12"/>
          <w:szCs w:val="12"/>
          <w:color w:val="auto"/>
        </w:rPr>
        <w:t>technologies. Litigation or government regulation related to the use of AI may also adversely impact our ability to develop and offer AI-based products, as well as increase the cost and complexity of doing so. Failure to properly remediate AI use or ethical issues may undermine public confidence in AI. Such outcomes could result in reputational damage and adverse effects on our operational results.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ensure that our products and services keep pace with other technology, we may become less competitive and our operating results may be harmed.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To remain competitive, we must continue to develop new product offerings, applications, features, and enhancements to our products. Maintaining adequate resources to meet the demands of our customers and the market is essential. If we are unable to develop our products and services, including through the development of emerging technologies, such as AI, we may miss market opportunities and our products may become less attractive to users. Our competitors may have or expend a greater amount of resources on improvement of technology, and our failure to maintain adequate development programs or compete effectively could adversely affect our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ensure that our products and services interoperate with other technology, we may become less competitive and our operating results may be harmed.</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depend on the interoperability of our platform with web browsers, and in the case of our mobile applications, operating systems that we do not control. Any changes in such web browsers or systems that degrade the functionality of our products and services or give preferential treatment to competitive services could adversely affect the adoption and use of our offerings. In addition, to deliver high quality products and services, we will need to continuously enhance and modify our functionality to keep pace with technical, contractual, and other changes in Internet-related hardware, mobile operating systems such as iOS and Android, browsers, communication, network and database technologies. We may not be successful in developing enhancements and modifications that operate effectively with these devices, operating systems, web browsers or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products and services, our offerings may become less competitive, and our operating results could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upon third-party service providers to host our platform and any disruption of such third-party services would impact our operations and our business could be adversely impacted.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Third-party service providers provide the cloud computing infrastructure we use to host our platform. Any significant disruption of, limitation of our access to or other interference with our use of such third-party services would negatively impact our platform and operations and our business could be harmed. External factors impacting our third-party service providers could affect the availability or speed of our services. If our customers are unable to access our platform or encounter difficulties in doing so, we may lose customers, which could harm our business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Cybersecurity and Data Privacy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Security vulnerabilities in our products, human error, or a breach of our security controls could result in the loss, theft, misuse, unauthorized disclosure, or unauthorized access to customer or employee data, or other confidential or sensitive information, which could harm our customer and/or employee relationships, competitiveness and reputation, and expose us to litigation, fines, or penalties.</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business involves the storage, processing and transmission of sensitive and proprietary data and personal information collected by or on behalf of our customers, the personal information of our employees, customers, and prospective customers and our proprietary financial, operational and strategic information. Cyber attacks, malicious internet-based activity, online and offline fraud, and other similar activities may threaten the confidentiality, integrity, and availability of our information technology systems, or those of the third parties upon which we rely, along with the proprietary, confidential, and sensitive data stored in or processed by such systems. As our business grows, the number of individuals using our products, as well as the amount of information we collect, store, process, and transmit is increasing, and our brands are becoming more widely recognized, which makes us a greater target for malicious activity. We have incurred, and expect to continue to incur, significant expenses in connection with our efforts to keep our systems, products and networks protected and up to date. However, there can be no assurance that the security measures we employ will prevent malicious or unauthorized access to our systems or information. Furthermore, no security program can entirely eliminate the risk of human error, such as an employee's or contractor’s failure to follow one or more security protocols, which has previously occurred and we expect will occur again despite our efforts to train our employees and contractors on cybersecurity issues and enforce our security protocols. Additionally, with many of our employees continuing to work remotely, we face an increased risk of attempted security breaches and incidents. Therefore, despite our significant efforts to keep our systems, products and networks protected and up to date, we may be unable to anticipate new modes for cyber attacks, detect security incidents or react to them in a timely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color w:val="auto"/>
        </w:rPr>
        <w:t>manner, or implement adequate preventive measures, any of which may expose us to a risk of loss, harm to our reputation, litigation, fines, penalties, and potential liability.</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Computer malware, ransomware, viruses, social engineering (deepfakes, phishing, smishing and vishing attacks), denial of service or other attacks, employee theft or misuse, and increasingly sophisticated network attacks have become more prevalent in our industry, particularly against cloud service providers. The sophistication of these malicious attacks has also increased, and it appears that cyber crimes and cyber criminal networks, some of which may be state-supported, have substantial resources and may target U.S. enterprises or our customers and their use of our products. Furthermore, the risk of state-supported and geopolitical-related cyber attacks may increase in connection with ongoing global geopolitical tensions. In the past, we have had to take corrective action against cyber attackers to protect our cloud environment. If our security measures are, or are believed to have been breached or otherwise to have failed as a result of third-party action, employee error, malfeasance or otherwise, our reputation could be damaged, our business may suffer, and we could incur significant liability.</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some of our third-party service providers also collect, store, process, and transmit our sensitive information and our customers’ data on our behalf. These service providers have experienced cybersecurity incidents in the past involving such information and data, and we expect they will continue to be subject to threats of cyber attacks and other malicious internet-based activities in the future. Our contracts with these third parties may not provide us with adequate remedies in the event of such an incident, which could also expose us to risk of loss, litigation, fines, penalties, and potential liability as well as reputational damage.</w:t>
      </w:r>
    </w:p>
    <w:p>
      <w:pPr>
        <w:spacing w:after="0" w:line="4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If our security measures, or the security measures of our third-party service providers, are breached as a result of wrongdoing or malicious activity on the part of our employees, our third-party service providers' employees, our customers’ employees, or any third party, or as a result of any human error or neglect, product defect or otherwise, and this results in the loss, theft, misuse, unauthorized disclosure, or unauthorized access to personal data or other sensitive information, we could incur liability to our customers, employees, and to individuals or organizations whose information was being stored by us or our customers, as well as be subject to fines, penalties, or actions from payment processing networks or by governmental bodies. If we experience a widespread security breach, our insurance coverage may not offset liabilities actually incurred and insurance may not continue to be available to us on reasonable terms, or at all. In addition, security breaches could result in reputational damage, adversely affect our ability to attract new customers and cause existing customers to reduce or discontinue the use of our products and services. Furthermore, the perception by our current or potential customers that our products could be vulnerable to exploitation or that our security measures are inadequate, even in the absence of a particular problem or threat, could reduce market acceptance of our products and services and cause us to lose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Privacy laws and regulations could impose additional costs and reduce demand for our services.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collect, store, process, and transmit personal information relating to our employees, customers, prospective customers, and other individuals. Our customers use our platform to store and transmit a significant amount of personal information relating to their customers, vendors, employees and other industry participants. Federal and state government bodies and agencies have adopted, and are increasingly adopting, laws and regulations regarding the collection, storage, use, processing, security and transmission of personal information. For example, the California Consumer Privacy Act ("CCPA") requires certain privacy related disclosures and provides California consumers rights with respect to their personal information, including the right to request deletion of their personal information, receive the personal information on record for them, know what categories of personal information generally are maintained about them, and opt-out of certain sales and sharing of personal information for certain advertising purposes. The CCPA also granted a new state agency, the California Privacy Protection Agency, powers to adopt and enforce regulations interpreting the CCPA. The CCPA provides for civil penalties for violations, as well as a private right of action for certain data breaches that result in the loss of personal information. This private right of action may increase the likelihood of, and risks associated with, data breach litigation.</w:t>
      </w:r>
    </w:p>
    <w:p>
      <w:pPr>
        <w:spacing w:after="0" w:line="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addition to California, we are currently subject to comprehensive privacy laws across multiple states, and in 2026, will be subject to new comprehensive privacy laws in Indiana, Kentucky, and Rhode Island. These new and existing privacy laws and regulations impose increasingly complex operational requirements and will likely increase the cost of compliance to support the delivery our services. We have incurred, and may in the future incur, substantial costs and expenses related to an increased exposure to regulatory enforcement and/or litigation. Despite our efforts, we cannot guarantee that we will be able to maintain full compliance with constantly evolving, and sometimes conflicting, data privacy laws in the jurisdictions in which we operate. If our privacy or data security measures fail to comply with current or future laws and regulations, we may be subject to claims, legal proceedings or other actions by individuals or governmental authorities based on privacy or data protection regulations and our privacy commitments to customers or others.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5" w:name="page16"/>
    <w:bookmarkEnd w:id="15"/>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Privacy advocates and industry groups may also propose various self-regulatory standards that may legally or contractually apply to our business. As new laws, regulations and industry standards take effect and we offer new services,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or Value Added Services. Failure to comply with these laws, regulations and industry standards could result in negative publicity, subject us to fines or penalties, expose us to litigation, or result in demands that we modify or cease existing business practices. Furthermore, privacy concerns may cause residents, vendors, employees and other industry participants to resist providing the personal information necessary to allow our customers to use our applications effectively, which could reduce overall demand for our services. Any of these outcomes could adversely affect our business and operating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Attracting and Retaining Talent</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success and future growth depend, in part, upon the continued services of our executive officers and other key employees. To execute our growth plan and achieve our strategic objectives, we must continue to retain and hire highly qualified and motivated personnel across our organization. In particular, to continue to enhance our products and services, add new and innovative core functionality and/or Value Added Services, as well as develop new products, it will be critical for us to maintain and, over time, grow the current skill set and abilities of our research and product development organization. Further, for us to achieve broader market acceptance of our products and services, grow our customer base, and pursue new markets consistent with our strategic plan, we will need to maintain and, over time, grow the current skill set and abilities of all of our employees, including but not limited to those in our research and product development, sales, marketing, and customer service and support organizations. Competition for personnel is intense within our industry and there continues to be upward pressure on the compensation paid, particularly with respect to personnel with backgrounds in AI and cybersecurity. Retaining, identifying, recruiting, and training qualified personnel is difficult and requires a significant investment of time and resources.</w:t>
      </w:r>
    </w:p>
    <w:p>
      <w:pPr>
        <w:spacing w:after="0" w:line="5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Many of the companies with which we compete for personnel have greater name recognition and financial resources and may also employ a different compensation philosophy. As a result, we may experience greater challenges retaining and hiring skilled personnel than our competitors. In addition, existing and prospective employees often consider the value of the equity awards they receive in connection with their employment. If the perceived value of our equity awards declines, we are unable to offer equity awards in competitive amounts, or the price of our Class A common stock experiences volatility, this may adversely affect our ability to retain and recruit highly skilled employees. If we are unable to retain and attract the personnel necessary to execute our growth plan, we may be unable to achieve our strategic objectives and our operating results may suffer. In addition, from time-to-time there may be changes in our management team that may be disruptive to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corporate culture has contributed to our success and, if we cannot continue to preserve this culture, we could lose the passion, creativity, teamwork, focus and innovation fostered by our culture.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believe that our corporate culture has been and will continue to be a key contributor to our success. If we do not continue to preserve our corporate culture or maintain our core values as we grow and evolve, we may be unable to foster the passion, creativity, teamwork, focus and innovation we believe we need to support our growth. Any failure to preserve our culture could also negatively affect our ability to recruit and retain personnel and to effectively focus on and pursue our strategic objectives. As we grow, we may find it difficult to maintain our corporate culture.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Risks Related to Our Industry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 of our revenues are presently generated by sales to customers in the real estate industry, and factors that adversely affect that industry, or our customers within it, could also adversely affect us.</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expect that our real estate industry customers will continue to account for a significant portion, or all, of our revenues for the foreseeable future. Demand for our products and services could be affected by factors that are unique to and adversely affect the real estate industry and our customers within it. If the real estate industry declines, our customers may decide not to renew their subscriptions or they may cease using our Value Added Services to reduce costs to remain competitive. Higher interest rates may make it difficult or impossible for our customers to obtain financing and increase their cost of capital, which could negatively impact the demand for our products and services, increase customer attrition, and impact our operating results. In addition, we could lose real estate customers as a result of acquisitions or consolidations, bankruptcies or other financial difficulties facing our real estate customers, new or enhanced legal or regulatory regimes that negatively impact the real estate industry, or conditions or trends specific to the real estate industry, such as the economic factors that impact the rental market and rental occupancy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estimates of market opportunity are subject to significant uncertainty.</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determine the level of our investment in various aspects of our business, in part, based on our market opportunity estimates. Market opportunity estimates are subject to significant uncertainty, especially in a volatile economic environment, and are based on assumptions, including our internal analysis and industry experience. Assessing markets for cloud-based business management solutions in the real estate industry is particularly difficult due to a number of factors, including limited available information and rapid evolution of the industry and markets therein. If we do not accurately estimate our opportunities, we may fail to realize a return on our investment in various aspects of our business, which could lead to a failure to gain market share and negatively impact our long-term growth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Growing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inability to effectively maintain and enhance our brands could adversely affect our ability to attract new customers and negatively affect our business and operating results.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Maintaining and enhancing our brands is critical to achieving widespread awareness and acceptance of our products and services as well as maintaining and expanding our customer base, which is a key component of our strategy. We expect the importance of brand recognition will increase as competition for our products and services increases. If we do not continue to build awareness of our brands, we will be at a competitive disadvantage compared to companies whose brands are, or become, more recognizable than ours. Maintaining and enhancing our brands requires us to make substantial investments, and these investments may not result in commensurate increases in our revenue. In addition, new and existing technologies, industry trends, and laws that restrict online advertising or that affect our ability to customize and target advertising may require us to significantly increase our marketing costs to generate and capture demand and maintain our brand awareness, level of sales, and operating results. Moreover, our efforts to maintain and enhance our brands could be impacted by negative publicity or reputational harm from adverse events, such as lawsuits, customer or third-party-service provider disputes, or cybersecurity incidents. If we fail to successfully maintain and enhance our brands, or if we make investments that are not offset by increased revenue, our operating results could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manage our growth effectively, our costs and operating expenses may increase without corresponding increases in revenue, which would adversely affect our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experienced, and anticipate that we will continue to experience, significant growth in the size, complexity, and diversity of our business. This growth has placed, and we expect that it will continue to place, a significant strain on our administrative, operational, financial and accounting resources. Our future success depends, in part, on our ability to manage this growth effectively. For example, to grow our customer base and facilitate the continuous launch and refinement of our products and services, we invest significantly in our sales, marketing, research and product development organizations, as well as software and systems to support the efficient operation of such organizations. There is no guarantee that these or similar investments to support our growth will be successful. If we are unable to manage our growth successfully and efficiently, it could result in increased costs and operating expenses without corresponding increases in revenue, which would adversely affect our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accurately predict and respond promptly to rapidly evolving technological developments and customer needs, the demand for our products and our business and operating results may be harmed.</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Customer demands are constantly changing in response to new technology and other market factors. To compete effectively, we must identify and innovate in the right technologies, accurately predict our customers’ evolving needs, and continually improve our own technology platform. If we fail to execute against any of the foregoing, our business, financial condition and operating results may be harmed. In addition, the widespread adoption of quickly evolving disruptive technology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17" w:name="page18"/>
    <w:bookmarkEnd w:id="17"/>
    <w:p>
      <w:pPr>
        <w:jc w:val="both"/>
        <w:spacing w:after="0" w:line="260" w:lineRule="auto"/>
        <w:rPr>
          <w:sz w:val="20"/>
          <w:szCs w:val="20"/>
          <w:color w:val="auto"/>
        </w:rPr>
      </w:pPr>
      <w:r>
        <w:rPr>
          <w:rFonts w:ascii="Times New Roman" w:cs="Times New Roman" w:eastAsia="Times New Roman" w:hAnsi="Times New Roman"/>
          <w:sz w:val="12"/>
          <w:szCs w:val="12"/>
          <w:color w:val="auto"/>
        </w:rPr>
        <w:t>products, such as generative and agentic AI, may significantly impact the real estate industry, even if such products are not specifically designed to apply directly to the real estate industry. While we have introduced new generative and agentic AI products and are focused on enhancing the AI capabilities of our products and services and incorporating AI across existing products and services, there can be no assurance that our new or enhanced products and AI innovations will be successful, adopted or monetizable, or that we will innovate effectively to keep pace with the rapid evolution of AI across our offerings. The adoption of such new technologies could significantly reduce the number or demand of our customers, thereby reducing our revenue, which could adversely impact our business, financial condition and operating results.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participate in an intensely competitive market and our business could be harmed if we do not compete effectively.</w:t>
      </w:r>
    </w:p>
    <w:p>
      <w:pPr>
        <w:spacing w:after="0" w:line="8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The market for cloud-based business management solutions has relatively low barriers to entry and is global, highly competitive and continually evolving in response to a number of factors, including changes in technology, operational requirements, and laws and regulations. We compete with both other real estate industry cloud-based solution providers and providers of broad cloud-based solutions across multiple industries. We also face competition from numerous cloud-based solution providers that focus almost exclusively on one or more point solutions. Our competitors include established vendors, as well as newer entrants in the market. Our established competitors may have greater name recognition, longer operating histories, and significantly greater resources, which may allow them to respond more quickly and effectively to new or changing opportunities or challenges, technologies, operational requirements and industry standards. Our competitors who are new entrants to the market, and generally smaller, may have more nimble operations due to having fewer products and less overhead and may be willing to take legal and operational risks, which may allow them to launch products and meet customer demand more quickly and efficiently. Regardless of size, our current and potential competitors may develop, market and sell new technologies with comparable functionality to our products and services, which could cause us to lose customers, slow the rate of growth of new customers and/or cause us to decrease our prices to remain competitive. If we are unable to differentiate ourselves from our competitors and drive value for our customers or otherwise compete effectively against any of these competitive threats, our business, financial condition and results of operations could be harmed.</w:t>
      </w:r>
    </w:p>
    <w:p>
      <w:pPr>
        <w:spacing w:after="0" w:line="5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Further, we expect to face more competition as AI continues to advance and be integrated into the markets in which we compete. Our competitors or other third parties may incorporate AI into their offerings more successfully and efficiently, and achieve greater and faster adoption, which could impair our ability to compete effectively and adversely affect our business and financial results. Other companies may obtain proprietary rights that would prevent, limit or interfere with our ability to make, use or sell our AI offerings.</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we have introduced, and expect to continue to introduce, variations to our pricing model that are intended to provide broader usage and better align the cost of our services to the value they provide our customers. Although we believe that these pricing changes will increase customer adoption and revenue, it is possible that they will not and may make our services less appealing, cause adoption friction, or that we could experience competitive pressure to adjust our pricing, which could negatively impact our business, revenue, and operating results.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successfully expand sales of our products and services to new markets, our business, financial condition, and operating results may suffer.</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Our growth strategy requires expanding sales of our products and services to new markets within the real estate space. These new markets include larger and mixed-use customers. Acceptance of our current and future products and services in new markets will depend on numerous factors, including our ability to provide more sophisticated functionality and features, the pricing of our products and services relative to competitors, perceptions about the security, privacy and availability of our offerings relative to competitive products and services, and the time-to-market of updates and enhancements to our offerings. There is no guarantee we will be successful in achieving all or any of the foregoing. Additionally, sales to new markets will involve risks that are not present, or are present to a lesser extent, in sales to the markets we currently serve. Such risks may include new regulatory regimes, longer sale cycles, increased chance of litigation with customers, increased risk and impact of reputational harm, and increased competition. We may not be able to sufficiently mitigate such risks, which would impact our ability to successfully expand our business. If we are unable to successfully expand sales of our products and services to new markets, our revenue may increase at a slower rate than we expect and may even decline, which could adversely affect our business, financial condition and operating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depends substantially on existing customers renewing their subscriptions with us and expanding their use of our Value Added Services, and a decline in either could adversely affect our operating results.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 us to maintain or increase our revenue and improve our operating results, it is important that our existing customers continue to use our Subscription Services, as well as continue to use and increase their adoption and utilization of our Value Added Services. Our customers may not renew their subscriptions with us, continue to expand their adoption and utilization of our Value Added Services, or use our Value Added Services at all for a variety of reasons, including macroeconomic pressures on the real estate market, competitive displacement, customer satisfaction or service, or reputational harm. If our existing customers do not renew their subscriptions and increase their adoption and utilization of our existing or newly developed Value Added Services, our revenue may increase at a slower rate than we expect and may even decline, which could adversely affect our financial condition and operating results. A reduction in the number of our existing customers, even if offset by an increase in new customers, could reduce our revenue and operating margins.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manage our business to achieve long-term growth, which may not be consistent with the short-term expectations of some investors.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make product decisions and pursue opportunities that are consistent with our strategic objective to achieve long-term growth. These decisions and opportunities may not be consistent with the short-term expectations of some investors, and may cause significant fluctuations in our results of operations and our stock price from period to period. In addition, notwithstanding our intention to make strategic decisions and pursue opportunities that positively impact long-term value, the decisions we make and opportunities we pursue may not produce the long-term benefits we expect, which could materially affect our business, financial condition and results of operation.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acquisition of other companies or technologies may subject us to risks.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acquired, and may in the future acquire, other companies (such as our acquisition of Move EZ, Inc. in 2024) or technologies to complement or expand our products and services, optimize our technical capabilities, enhance our ability to compete, or otherwise advance our strategic objectives. We have limited experience and success in acquiring other businesses and we may not be able to effectively integrate acquired assets, technologies, personnel and operations or achieve the anticipated synergies or other benefits from the acquisition due to the inherent risks associated with acquisitions. If an acquisition fails to meet our expectations in terms of its contribution to our overall business strategy or results of operations, or if the costs of acquiring or integrating the acquired business exceed our estimates, our business, results of operations, strategic objectives, and financial condition may suffer. An acquisition may also divert the attention of management and disrupt our ongoing business operations.</w:t>
      </w:r>
    </w:p>
    <w:p>
      <w:pPr>
        <w:spacing w:after="0" w:line="5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a significant portion of the purchase price of companies we acquire may be allocated to acquired goodwill and other intangible assets. We are required to test goodwill and any other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take charges to our results of operations based on this impairment assessment process, which could adversely affect our results of operations.</w:t>
      </w:r>
    </w:p>
    <w:p>
      <w:pPr>
        <w:spacing w:after="0" w:line="4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risks associated with our strategic investments, including partial or complete loss of invested capital. Changes in the fair value of our strategic investments could negatively impact our business, financial condition and results of operations.</w:t>
      </w:r>
    </w:p>
    <w:p>
      <w:pPr>
        <w:spacing w:after="0" w:line="35"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strategic investments consist of non-marketable equity investments in privately-held companies in which we do not have a controlling interest or significant influence. We make these investments to further our strategic objectives and support key business initiatives. However, these investments are inherently risky, and there can be no assurance that we will achieve the anticipated benefits of these investments or realize a return on them, or be able to dispose of them on favorable terms or at all. Consequently, we could lose all or part of our invested capital.</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record these strategic investments as long-term investments in our Consolidated Balance Sheets. We have elected to apply the measurement alternative for equity investments in privately-held companies that do not have readily determinable fair values, measuring them at cost, less 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determining the estimated fair value of these strategic investments, we use the most recent and available data. Valuations of privately held securities are inherently complex due to the lack of readily available market data and require the use of judgment. The determination of whether an orderly transaction is for an identical or similar 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9" w:name="page20"/>
    <w:bookmarkEnd w:id="19"/>
    <w:p>
      <w:pPr>
        <w:jc w:val="both"/>
        <w:spacing w:after="0" w:line="279" w:lineRule="auto"/>
        <w:rPr>
          <w:sz w:val="20"/>
          <w:szCs w:val="20"/>
          <w:color w:val="auto"/>
        </w:rPr>
      </w:pPr>
      <w:r>
        <w:rPr>
          <w:rFonts w:ascii="Times New Roman" w:cs="Times New Roman" w:eastAsia="Times New Roman" w:hAnsi="Times New Roman"/>
          <w:sz w:val="12"/>
          <w:szCs w:val="12"/>
          <w:color w:val="auto"/>
        </w:rPr>
        <w:t>acceptance of the investee’s product or technology, general market conditions and liquidity considerations. We record all fair value adjustments of these strategic investments through our Consolidated Statement of Operations. As a result, we may experience additional volatility to our statement of operations due to the valuation and timing of observable price changes or impairments of our strategic investments.</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Changes in the fair value of these strategic investments or partial or complete loss of our invested capital could be material to our financial statements and negatively impact our business, financial condition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Intellectual Property Matters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protect our intellectual property rights, including our code, proprietary technology and brands, could impair our competitive position and harm our business.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currently rely on patent, trademark, copyright and trade secret laws, trade secret protection, and confidentiality, invention assignment, license and other agreements with our employees, customers, third-party service</w:t>
      </w:r>
    </w:p>
    <w:p>
      <w:pPr>
        <w:spacing w:after="0" w:line="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providers and others to protect our intellectual property rights, which are important to our future success. In addition, we utilize third-party platforms to host our code for version control and collaboration and rely on the security features made available by such platforms to prevent unauthorized access to our code. Our success and ability to compete depend, in part, on our ability to continue to protect our intellectual property, including our code, proprietary technology and brands. Despite our efforts, protecting our intellectual property rights and preventing infringement and unauthorized use of our intellectual property are inherently uncertain. If we are unable to adequately protect our intellectual property rights or the security controls made available by our code hosting partners are compromised and our code is improperly accessed, which has previously occurred and could occur again in the future, our competitors could use the intellectual property we have developed to enhance their own products and services, which could harm our business. In addition, third parties may independently develop technologies or products that compete with ours, and we may be unable to prevent such competition. We cannot be certain that our means of protecting our intellectual property rights will be adequate or that our competitors will not independently develop similar technologies or products. To monitor and protect our intellectual property rights, we may be required to expend significant resources. Litigation brought to protect and enforce our intellectual property rights could be costly, time-consuming and distracting to management, and result in the impairment or loss of portions of our intellectual property or require us to pay costly royalties. Our failure to secure, protect and enforce our intellectual property rights could adversely affect our business, financial condition and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sued by third parties for alleged infringement of their intellectual property rights, which could cause us to incur significant expenses and require us to pay substantial damages.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success depends, in part, on us refraining from infringing upon the intellectual property rights of others. Our competitors, as well as a number of other entities and individuals, may legally own or claim to own intellectual property relating to our technology or products and services,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distract management, and, if successfully asserted against us, could require that we pay substantial damages, settlement costs or ongoing royalty payments, require that we comply with unfavorable license and other terms, or prevent us from offering our products and services in their current form, including due to the unavailability of commercially reasonable licensing terms.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products and services contain open source and third-party software, which may pose risks to our proprietary source code and/or introduce security vulnerabilities, and could have an adverse impact on our business and operating results.</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use, and expect to continue to use, open source software in our products and services. The terms of many open source licenses to which we are subject have not been interpreted by United States or foreign courts, and there is a risk that these open source licenses could be construed in a manner that imposes unanticipated conditions, restrictions or costs on our ability to provide or distribute our products and services.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in a manner that would harm our business or competitive position. These claims could result in litigation, which could be costly for us to defend, and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Use of certain open source software can also lead to greater risks than use of third-party commercial software, as open source licensors generally do not provide warranties or controls on the origin of software. We also use, and expect to continue to use, third-party commercial software in our products and services. Third-party commercial software and open source software are developed outside of our direct control and may introduce security vulnerabilities that may be difficult to anticipate or mitigate. Further, there is no guarantee that third-party software developers or open source software providers will continue to maintain and update their software that we use. Should development of in-use third-party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0" w:name="page21"/>
    <w:bookmarkEnd w:id="20"/>
    <w:p>
      <w:pPr>
        <w:jc w:val="both"/>
        <w:spacing w:after="0" w:line="279" w:lineRule="auto"/>
        <w:rPr>
          <w:sz w:val="20"/>
          <w:szCs w:val="20"/>
          <w:color w:val="auto"/>
        </w:rPr>
      </w:pPr>
      <w:r>
        <w:rPr>
          <w:rFonts w:ascii="Times New Roman" w:cs="Times New Roman" w:eastAsia="Times New Roman" w:hAnsi="Times New Roman"/>
          <w:sz w:val="12"/>
          <w:szCs w:val="12"/>
          <w:color w:val="auto"/>
        </w:rPr>
        <w:t>software or open source software cease, significant engineering effort may be required to create an in-house solution. These risks could be difficult to eliminate or manage and have an adverse impact on our business and operating results.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Financial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business grows, we expect our revenue growth rate to decline over the long term.</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You should not rely on our prior revenue growth as an indication of our future revenue growth. While we have experienced significant revenue growth in prior periods, we expect our revenue growth rate to decline over the long term due to increasing competition, a decrease in the growth rate of our overall market, the maturation of our business, and other reasons.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to make substantial investments across our organization to grow our business, which may impact profitability.</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To implement our business and growth strategy, we have made and will continue to make substantial investments across our organization and, as a result, our expenses may increase significantly impacting profitability. For example, we intend to continue to make substantial investments in, among other things: our research and product development organization to both enhance the ease of use and functionality of and develop new products and services; our sales and marketing organization, including expansion of our sales and marketing programs, to increase the size of our customer base and increase adoption and utilization of new and existing Value Added Services by our new and existing customers; and maintaining and expanding our technology infrastructure and operational support to promote the security and availability of our products and services. Even if we are successful in growing our customer base and increasing revenue from new and existing customers, we may not be able to generate additional revenue in an amount that is sufficient to keep pace with our expenses.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quarterly results may fluctuate significantly and period-to-period comparisons of our results may not be meaningful.</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quarterly results, including the levels of our revenue, costs, operating expenses, and operating margins, may fluctuate significantly in the future, and period-to-period comparisons of our results may not be meaningful. The other risks discussed in this "Risk Factors" section may contribute to the variability of our quarterly results. Additionally, we typically experience seasonality in our Value Added Services revenue due to seasonally higher leasing activities in the second quarter, which results in a sequential increase in revenue in the first, second, and third quarters and a sequential decline in revenue in the fourth quarter. Accordingly, the results of any one quarter should not be relied upon as an indication of our future performance. See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for additional details regarding the seasonality of our revenue.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carryforwards and certain other tax attributes may be limited.</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Section 382 of the Internal Revenue Code of 1986, as amended (the "Internal Revenue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ownership changes.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Indebtedness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revolving Credit Facility contains covenants which may limit our operational flexibility and otherwise adversely affect our financial condition and/or results of operations, and provides the lender with a first-priority security interest in substantially all of our and our subsidiary guarantors’ personal property.</w:t>
      </w:r>
    </w:p>
    <w:p>
      <w:pPr>
        <w:spacing w:after="0" w:line="3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September 30, 2025, we entered into a credit agreement, by and among AppFolio, Inc., certain of our subsidiaries as guarantors, the lender(s) party thereto, and PNC Bank, National Association, in its capacity as Administrative Agent, Swingline Loan Lender and Issuing Lender (the "Credit Facility") which provides for a $150 million senior secured revolving credit facility, including sublimits of $25 million for letters of credit and $25 million for swingline loans.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Credit Facility contains a number of covenants that restrict our and our subsidiaries’ ability to, among other things, incur indebtedness and liens, make investments, pay dividends or distributions or repurchase equity</w:t>
      </w:r>
    </w:p>
    <w:p>
      <w:pPr>
        <w:spacing w:after="0" w:line="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interests, merge, consolidate or otherwise dispose of assets, enter into transactions with affiliates, and prepay, redeem, purchase, or otherwise retire junior indebtedness, all subject to certain exceptions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We are also required to maintain a Consolidated Net Leverage Ratio (as defined in the Credit Facility) not greater than a specified level. These covenants could limit our operational flexibility and ability to exploit business opportunities.</w:t>
      </w:r>
    </w:p>
    <w:p>
      <w:pPr>
        <w:spacing w:after="0" w:line="4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failure by us to comply with the covenants or payment requirements, or the occurrence of other events specified in the Credit Facility, could result in an event of default under the Credit Facility, which would give the lender(s) the right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1" w:name="page22"/>
    <w:bookmarkEnd w:id="21"/>
    <w:p>
      <w:pPr>
        <w:ind w:right="20"/>
        <w:spacing w:after="0" w:line="279" w:lineRule="auto"/>
        <w:rPr>
          <w:sz w:val="20"/>
          <w:szCs w:val="20"/>
          <w:color w:val="auto"/>
        </w:rPr>
      </w:pPr>
      <w:r>
        <w:rPr>
          <w:rFonts w:ascii="Times New Roman" w:cs="Times New Roman" w:eastAsia="Times New Roman" w:hAnsi="Times New Roman"/>
          <w:sz w:val="12"/>
          <w:szCs w:val="12"/>
          <w:color w:val="auto"/>
        </w:rPr>
        <w:t>terminate the commitments to provide loans and extensions of credit and to declare all borrowings outstanding, together with accrued and unpaid interest and fees, to be immediately due and payable. In addition, the lender would have the right to proceed against the collateral in which we granted a security interest to the lender, which consists of substantially all of our and our subsidiary guarantors’ personal property.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Class A common stock may be volatile or decline regardless of our operating performance, which could result in substantial losses for our stockholders.</w:t>
      </w:r>
    </w:p>
    <w:p>
      <w:pPr>
        <w:spacing w:after="0" w:line="8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market price of our Class A common stock has been, and may continue to be volatile. Fluctuations in the price of our Class A common stock could cause our stockholders to lose all or part of their investments. The market price of our Class A common stock could be subject to fluctuations in response to many of the risks discussed in the "Risk Factors" section in this Annual Report and other factors beyond our control, including without limitation:</w:t>
      </w:r>
    </w:p>
    <w:p>
      <w:pPr>
        <w:spacing w:after="0" w:line="60"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actual or anticipated fluctuations in our financial condition or results of operations;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changes in the estimates of our operating results;</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changes in recommendations by securities analysts or the failure of securities analysts to maintain coverage of us;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announcements of new products, services, technologies, or pricing;</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fluctuations in our valuation or the valuation of similarly situated companies;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changes to our management team;</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trading activity by insiders or the market’s perception that insiders intend to sell their shares;</w:t>
      </w:r>
    </w:p>
    <w:p>
      <w:pPr>
        <w:spacing w:after="0" w:line="1"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perceived privacy or data security breaches or other similar incidents;</w:t>
      </w:r>
    </w:p>
    <w:p>
      <w:pPr>
        <w:spacing w:after="0" w:line="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trading volume of our Class A common stock, including sales upon exercise of outstanding options or vesting of equity awards; and</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overall performance of the equity markets as well as general economic and market conditions.</w:t>
      </w:r>
    </w:p>
    <w:p>
      <w:pPr>
        <w:spacing w:after="0" w:line="6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Times New Roman" w:cs="Times New Roman" w:eastAsia="Times New Roman" w:hAnsi="Times New Roman"/>
          <w:sz w:val="12"/>
          <w:szCs w:val="12"/>
          <w:color w:val="auto"/>
        </w:rPr>
        <w:t>Such factors could cause the market price of our Class A common stock to decline or make it more difficult for you to sell your Class A common stock at a time and price that you deem appropriate.</w:t>
      </w:r>
    </w:p>
    <w:p>
      <w:pPr>
        <w:spacing w:after="0" w:line="7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addition, the stock market for technology companies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dual class structure of our common stock concentrates voting control with a limited number of stockholders, including certain of our directors and principal stockholders, effectively limiting other stockholders' ability to influence corporate matters.</w:t>
      </w:r>
    </w:p>
    <w:p>
      <w:pPr>
        <w:spacing w:after="0" w:line="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Class B common stock has ten votes per share, and our Class A common stock has one vote per share. As of December 31, 2025, the holders of the outstanding shares of our Class B common stock, including certain of our directors and principal stockholders, collectively held approximately 83%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 appointment of management and strategic decisions, as well as matters that are submitted to a vote by the holders of our common stock. The interests of the holders of our Class B common stock may be inconsistent with or adverse to those of the holders of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predict the impact that our capital structure may have on our stock price.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2" w:name="page23"/>
    <w:bookmarkEnd w:id="22"/>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Several shareholder advisory firms are opposed to the use of multiple class structures such as ours.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 In addition, certain institutional investors and investment funds may be prohibited from investing in, or reluctant or unwilling to invest in entities with multiple class structures due to a lack of ability to meaningfully influence corporate affairs and policies through voting. Such prohibitions, reluctance and unwillingness may make our Class A common stock less attractive to investors and, as a result, the market price of our Class A common stock could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expect to pay any dividends in the foreseeable future.</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have never declared or paid, and we do not anticipate declaring or paying, any cash dividends to holders of our Class A common stock in the foreseeable future. Consequently, investors may need to rely on sales of our Class A common stock after price appreciation, which may never occur, as the only way to realize any future gains on their investment.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Anti-takeover provisions in our Amended and Restated Certificate of Incorporation and Amended and Restated Bylaws, as well as provisions of Delaware law, could impair a takeover attempt.</w:t>
      </w:r>
    </w:p>
    <w:p>
      <w:pPr>
        <w:spacing w:after="0" w:line="8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Amended and Restated Certificate of Incorporation (our "Certificate") and our Amended and Restated Bylaws (our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a staggered three-class Board of Directors, prohibit our stockholders from filling vacancies on our Board of Directors or calling special stockholder meetings, require the affirmative vote of (1) at least 66 2/3% of the combined voting power of our outstanding capital stock to approve certain amendments to our Certificate, (2) at least 80% of the combined voting power of our outstanding capital stock to approve amendments by our stockholders to our Bylaws, and (3) at least a majority of the outstanding shares of our Class B common stock voting as a separate class prior to consummating a change-in-control transaction. As a Delaware corporation, we are also subject to the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Certificate or our Bylaws that has the effect of rendering more difficult, delaying, deterring or preventing a change-in-control transaction could limit the opportunity for our stockholders to receive a premium for their shares and affect the price that some investors are willing to pay for our Class A common stock.</w:t>
      </w:r>
    </w:p>
    <w:p>
      <w:pPr>
        <w:spacing w:after="0" w:line="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Share repurchases could increase the volatility of the trading price of our Class A common stock and diminish our cash reserves, and we cannot guarantee that our share repurchase program will enhance long-term stockholder value.</w:t>
      </w:r>
    </w:p>
    <w:p>
      <w:pPr>
        <w:spacing w:after="0" w:line="3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On April 23, 2025, our Board of Directors authorized the repurchase of up to $300.0 million of our Class A common stock from time to time in open market purchases or privately negotiated transactions (the "2025 Stock Repurchase Program"). The 2025 Stock Repurchase Program does not obligate us to repurchase any minimum dollar amount or number of shares, has no expiration date, and can be modified, terminated or suspended at any time. Repurchases of shares of our Class A common stock could affect the trading price of our Class A common stock and could increase volatility of securities. Similarly, the future announcement of the modification, termination, or suspension of the 2025 Stock Repurchase Program, or our decision not to utilize the full authorized repurchase amount under the 2025 Stock Repurchase Program, could result in a decrease in the trading price of our Class A common stock. In addition, the 2025 Stock Repurchase Program could have the impact of reducing our cash reserves, which may impact our ability to finance our growth, fund working capital, strategic acquisitions or business opportunities, and other general corporate purposes and execute our strategic plan. Although the 2025 Stock Repurchase Program is intended to enhance long-term stockholder value, there can be no assurance that it will do so because the trading price of our Class A common stock may decline below the levels at which we repurchased our shares and short-term stock price fluctuations could reduce the effectiveness of the 2025 Stock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Macroeconomic Conditions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Global and regional economic conditions could harm our business.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Adverse global and regional economic conditions, including, but not limited to, recessionary or inflationary pressures, tightening in the credit markets, extreme volatility or distress in the financial markets, supply chain issues, fluctuations in rental occupancy rates, reduced consumer confidence or economic activity, government fiscal and tax policies, geopolitical events, and other negative financial news or macroeconomic developments could have an adverse impact on the demand for our products and services or cause us to experience increased costs that could negatively affect our operating results.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i w:val="1"/>
          <w:iCs w:val="1"/>
          <w:color w:val="auto"/>
        </w:rPr>
        <w:t>Laws and regulations are continuously evolving and unfavorable changes could adversely affect our operating results, subject us to litigation or governmental investigation, or otherwise harm our business.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addition to laws and regulations directly applicable to our products and services, we are subject to general business laws and regulations. Unfavorable laws, regulations and administrative or judicial decisions interpreting or applying laws and regulations applicable to our business could subject us to litigation or governmental investigation and increase our cost of doing business, any of which may adversely affect our operating results. In addition, the application of federal, state and local tax laws to services provided electronically is continuously evolving. New income, sales, use or other tax laws, statutes, rules, regulations or ordinances could be enacted or amended at any time (possibly with retroactive effect), and be applied solely or disproportionately to services provided over the Internet. These enactments or amendments could adversely affect our sales activity due to the inherent cost increase such taxes would represent and ultimately result in a negative impact on our operating results. Existing tax laws, statutes, rules, regulations or ordinances could also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Audits and reviews by tax authorities may prove costly and a distraction to management.</w:t>
      </w:r>
    </w:p>
    <w:p>
      <w:pPr>
        <w:spacing w:after="0" w:line="7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tax filings are subject to reviews and audits in various jurisdictions and the positions or assumptions we take may be challenged. Although we believe our tax positions are reasonable, it is possible that tax authorities may disagree with certain positions we have taken and an adverse outcome of such a review or audit could result in additional tax, interest and penalties, which could have a negative effect on our financial condition and operating results. In addition, defending our tax positions may be costly and a distraction to management, which may affect our operating results.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Natural disasters, health epidemics, or other catastrophic events may cause damage or disruption to our operations, commerce and the global economy, and have a negative effect on our business and operations.</w:t>
      </w:r>
    </w:p>
    <w:p>
      <w:pPr>
        <w:spacing w:after="0" w:line="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business operations are subject to interruption by natural disasters, flooding, fire, power shortages, health epidemics, terrorism, political unrest, telecommunications failure, vandalism, cyber-attacks, geopolitical instability, war, the effects of climate change (such as drought, wildfires, hurricanes, and increased storm severity) and other events beyond our control. Although we maintain crisis management and disaster response plans, such events could make it difficult or impossible for us to deliver our services to our customers, decrease demand for our services, and cause us to incur substantial expense. Our insurance may not be sufficient to cover losses or additional expenses that we may sustain. The majority of our research and development activities, offices, information technology systems, and other critical business operations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and Risk Management Strategy</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business involves the collection, storage, processing and transmission of a significant amount of confidential and sensitive information. As a result, we take the confidentiality, integrity, and availability of such information seriously and invest significant time, effort, and resources into protecting such information. Our cybersecurity risk management strategy is designed with the foregoing principles in mind and prioritizes detecting and responding to threats and effective management of security risks.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To implement our cybersecurity risk management strategy, we maintain comprehensive processes and safeguards to secure the data we hold and to assess, identify and manage material risks from cybersecurity threats, including:</w:t>
      </w:r>
    </w:p>
    <w:p>
      <w:pPr>
        <w:spacing w:after="0" w:line="39"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encrypting sensitive data;</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utilizing a robust 24/7/365 security monitoring system;</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regularly assessing product features for security vulnerabilities;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conducting both internal and third-party penetration tests;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24" w:name="page25"/>
    <w:bookmarkEnd w:id="24"/>
    <w:p>
      <w:pPr>
        <w:ind w:left="420" w:hanging="212"/>
        <w:spacing w:after="0"/>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our customers with multi-factor authentication options to help them effectively protect their information.</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also maintain data and cybersecurity protection and control policies to facilitate a secure environment for sensitive information and to ensure the availability of critical data and systems. We have processes in place to assess, identify and manage vendor cybersecurity risks, which include initial and periodic security program reviews and, in cases where personal information is shared, ongoing cybersecurity and privacy obligations that are documented in data processing agreements. Our cybersecurity policies, standards, and processes are informed by a variety of industry standards and best practices, including the NIST Cybersecurity Framework and ISO 27001.</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engage independent third parties to audit our adherence to our cybersecurity policies and conduct infrastructure and application security assessments and penetration testing. These third parties help us assess our internal preparedness, adherence to best practices and industry standards, and compliance with applicable laws and regulations as well as help us to identify areas for continued focus and improvement. We also conduct annual information security awareness training for all employees. In addition, we carry insurance that provides certain, limited protection against potential losses arising from a cybersecurity incident.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Governance</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Risk and Compliance Oversight Committee of our Board of Directors (the "RCOC") is responsible for overseeing and reviewing AppFolio's cybersecurity program and cybersecurity risk exposure and the steps taken to monitor and mitigate such exposure. The RCOC updates the full Board of Directors on cybersecurity matters as appropriate.</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information security team is led by our Chief Information Security Officer ("CISO"), who has served in the role since 2015 and has experience in application security, intrusion detection, penetration testing, complex threat modeling, and unconventional cyber-attack vectors. The CISO oversees a team of information security professionals who are devoted full time to assessing, identifying and managing cybersecurity threats on a day-to-day basis. The CISO attends each quarterly meeting of the RCOC to brief members on information security matters and discuss cybersecurity risks generally.</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our management team has established an Enterprise Risk Management Program (the "ERM Program"), which includes processes designed to assess, identify, manage, categorize, and monitor key current and evolving risks facing AppFolio, including cybersecurity risks. Management is made aware of current and evolving cybersecurity risks through ERM Program reporting and periodic updates at weekly executive leadership team meetings. In the event of a material or potentially material cybersecurity incident, senior members of management are promptly informed of such incident and oversee response and disclosure efforts pursuant to the terms of a documented incident response plan.</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Notwithstanding the foregoing efforts, there can be no assurance that our cybersecurity risk management program will entirely eliminate all risks from cybersecurity threats or incidents. Like many other businesses, we have experienced cybersecurity threats and incidents in the past, and expect to continue to experience cybersecurity threats and potentially cybersecurity incidents in the future. While the risks from previous cybersecurity threats and incidents have not materially affected, and, in our belief, are not reasonably likely to materially affect, us, including our business strategy, results of operations or financial condition, future cybersecurity threats and incidences may materially affect us, including our business strategy, results of operations, or financial condition. See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for additional details regarding cybersecurity risks.</w:t>
      </w:r>
    </w:p>
    <w:p>
      <w:pPr>
        <w:spacing w:after="0" w:line="9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corporate headquarters is located in Santa Barbara, California, where we lease approximately 86,000 square feet of space. We also lease office space in several other U.S. cities. We do not own any real estate.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believe our current facilities are adequate for our current needs and that, should it be needed, suitable additional or alternative space will be available to us to accommodate any such expansion of our operations.</w:t>
      </w:r>
    </w:p>
    <w:p>
      <w:pPr>
        <w:spacing w:after="0" w:line="1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2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For additional information regarding legal proceedings, refer to Note 11,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of our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5" w:name="page26"/>
    <w:bookmarkEnd w:id="25"/>
    <w:p>
      <w:pPr>
        <w:ind w:left="6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22" w:lineRule="exact"/>
        <w:rPr>
          <w:sz w:val="20"/>
          <w:szCs w:val="20"/>
          <w:color w:val="auto"/>
        </w:rPr>
      </w:pPr>
    </w:p>
    <w:p>
      <w:pPr>
        <w:ind w:left="480" w:right="2740" w:hanging="485"/>
        <w:spacing w:after="0" w:line="379" w:lineRule="auto"/>
        <w:tabs>
          <w:tab w:leader="none" w:pos="460" w:val="left"/>
        </w:tabs>
        <w:rPr>
          <w:sz w:val="20"/>
          <w:szCs w:val="20"/>
          <w:color w:val="auto"/>
        </w:rPr>
      </w:pPr>
      <w:r>
        <w:rPr>
          <w:rFonts w:ascii="Times New Roman" w:cs="Times New Roman" w:eastAsia="Times New Roman" w:hAnsi="Times New Roman"/>
          <w:sz w:val="12"/>
          <w:szCs w:val="12"/>
          <w:b w:val="1"/>
          <w:bCs w:val="1"/>
          <w:color w:val="auto"/>
        </w:rPr>
        <w:t>ITEM 5.</w:t>
        <w:tab/>
        <w:t xml:space="preserve">MARKET FOR REGISTRANT'S COMMON EQUITY, RELATED STOCKHOLDER MATTERS AND ISSUER PURCHASES OF EQUITY SECURITIES </w:t>
      </w:r>
      <w:r>
        <w:rPr>
          <w:rFonts w:ascii="Times New Roman" w:cs="Times New Roman" w:eastAsia="Times New Roman" w:hAnsi="Times New Roman"/>
          <w:sz w:val="12"/>
          <w:szCs w:val="12"/>
          <w:b w:val="1"/>
          <w:bCs w:val="1"/>
          <w:i w:val="1"/>
          <w:iCs w:val="1"/>
          <w:color w:val="auto"/>
        </w:rPr>
        <w:t>Market for our Common Stock</w:t>
      </w:r>
    </w:p>
    <w:p>
      <w:pPr>
        <w:ind w:left="480"/>
        <w:spacing w:after="0"/>
        <w:rPr>
          <w:sz w:val="20"/>
          <w:szCs w:val="20"/>
          <w:color w:val="auto"/>
        </w:rPr>
      </w:pPr>
      <w:r>
        <w:rPr>
          <w:rFonts w:ascii="Times New Roman" w:cs="Times New Roman" w:eastAsia="Times New Roman" w:hAnsi="Times New Roman"/>
          <w:sz w:val="12"/>
          <w:szCs w:val="12"/>
          <w:color w:val="auto"/>
        </w:rPr>
        <w:t>Our Class A common stock is listed on the NASDAQ Global Market under the symbol "APPF".</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Our Class B common stock is not listed or traded on any stock exchange.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Holders of Record</w:t>
      </w:r>
    </w:p>
    <w:p>
      <w:pPr>
        <w:spacing w:after="0" w:line="82" w:lineRule="exact"/>
        <w:rPr>
          <w:sz w:val="20"/>
          <w:szCs w:val="20"/>
          <w:color w:val="auto"/>
        </w:rPr>
      </w:pPr>
    </w:p>
    <w:p>
      <w:pPr>
        <w:ind w:left="60" w:right="20" w:firstLine="432"/>
        <w:spacing w:after="0" w:line="279" w:lineRule="auto"/>
        <w:rPr>
          <w:sz w:val="20"/>
          <w:szCs w:val="20"/>
          <w:color w:val="auto"/>
        </w:rPr>
      </w:pPr>
      <w:r>
        <w:rPr>
          <w:rFonts w:ascii="Times New Roman" w:cs="Times New Roman" w:eastAsia="Times New Roman" w:hAnsi="Times New Roman"/>
          <w:sz w:val="12"/>
          <w:szCs w:val="12"/>
          <w:color w:val="auto"/>
        </w:rPr>
        <w:t>At January 29, 2026, there were 18 holders of record of our Class A common stock and 45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Dividend Policy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We have never declared or paid any cash dividends on our capital stock. We do not anticipate declaring or paying any cash dividends to holders of our capital stock in the foreseeable future.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Stock Performance Graph</w:t>
      </w:r>
    </w:p>
    <w:p>
      <w:pPr>
        <w:spacing w:after="0" w:line="82" w:lineRule="exact"/>
        <w:rPr>
          <w:sz w:val="20"/>
          <w:szCs w:val="20"/>
          <w:color w:val="auto"/>
        </w:rPr>
      </w:pPr>
    </w:p>
    <w:p>
      <w:pPr>
        <w:ind w:left="60" w:firstLine="432"/>
        <w:spacing w:after="0" w:line="279" w:lineRule="auto"/>
        <w:rPr>
          <w:sz w:val="20"/>
          <w:szCs w:val="20"/>
          <w:color w:val="auto"/>
        </w:rPr>
      </w:pPr>
      <w:r>
        <w:rPr>
          <w:rFonts w:ascii="Times New Roman" w:cs="Times New Roman" w:eastAsia="Times New Roman" w:hAnsi="Times New Roman"/>
          <w:sz w:val="12"/>
          <w:szCs w:val="12"/>
          <w:color w:val="auto"/>
        </w:rPr>
        <w:t>The following performance graph compares the cumulative total return on our Class A common stock with that of the S&amp;P 500 Index and the NASDAQ Computer Index. This graph assumes that, at the close of market on December 31, 2020, $100 was invested in our Class A common stock, the S&amp;P 500 Index and the NASDAQ Computer Index, and assumes the reinvestment of any dividends.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240" w:top="971"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1985645</wp:posOffset>
            </wp:positionH>
            <wp:positionV relativeFrom="page">
              <wp:posOffset>551815</wp:posOffset>
            </wp:positionV>
            <wp:extent cx="3503295" cy="268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503295"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performance graph shall not be deemed “filed” for purposes of Section 18 of the Exchange Act or incorporated by reference into any of our other filings under the Securities Act of 1933, as amended (the "Securities Act") or the Exchange Act, except as shall be expressly set forth by specific reference in such filing.</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Unregistered Sales of Equity Securities and Purchases of Equity Securities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6.</w:t>
        <w:tab/>
        <w:t>[RESERVED]</w:t>
      </w:r>
    </w:p>
    <w:p>
      <w:pPr>
        <w:spacing w:after="0" w:line="200" w:lineRule="exact"/>
        <w:rPr>
          <w:sz w:val="20"/>
          <w:szCs w:val="20"/>
          <w:color w:val="auto"/>
        </w:rPr>
      </w:pP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results of operations and liquidity should be read together with our Consolidated Financial Statements and the related notes included elsewhere in this Annual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Report.</w:t>
      </w:r>
    </w:p>
    <w:p>
      <w:pPr>
        <w:spacing w:after="0" w:line="6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includes 2025 and 2024 items and year-over-year comparisons between 2025 and 2024. For discussion of 2023 items and year-over-year comparisons between 2024 and 2023, refer to Part II. Item 7. “Management's Discussion and Analysis of Financial Condition and Results of Operations” of our Annual Report on Form 10-K for the year ended December 31, 2024. Our Consolidated Financial Statements are prepared and presented in accordance with accounting principles generally accepted in the United States ("GAAP"). This Annual Report also contains information regarding our non-GAAP income from operations ("Non-GAAP operating income") and non-GAAP operating margin ("Non-GAAP Operating Margin"), each of which constitutes a non-GAAP financial measure. We use these non-GAAP financial measures in addition to, and not as a substitute for, or superior to, financial measures calculated in accordance with GAAP. For more information regarding these non-GAAP financial measures, refer to "Management's Discussion and Analysis of Financial Condition and Results of Operations - Non-GAAP Financial Measures"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are a technology leader powering the future of real estate.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Financial Highlights for the Fiscal Year 2025</w:t>
      </w:r>
    </w:p>
    <w:p>
      <w:pPr>
        <w:spacing w:after="0" w:line="80"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property management units under management grew 8% year-over-year to 9.4 million.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grew 20% year-over-year to $950.8 million.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operating income was $152.9 million, or 16.1% of revenue, compared to GAAP operating income of $135.6 million, or 17.1% of revenue in 2024.</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income was $234.9 million, or 24.7% of revenue, compared to non-GAAP operating income of $199.8 million, or 25.2% of revenue, in 2024.</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provided by operating activities was $242.1 million, or 25.5% of revenue, compared to $188.2 million, or 23.7% of revenue, in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Business Metric</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monitor the key business metric set forth below to help us evaluate our business, identify trends affecting our business, formulate business plans, and make strategic decisions.</w:t>
      </w:r>
    </w:p>
    <w:p>
      <w:pPr>
        <w:spacing w:after="0" w:line="7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Property management units under management. </w:t>
      </w:r>
      <w:r>
        <w:rPr>
          <w:rFonts w:ascii="Times New Roman" w:cs="Times New Roman" w:eastAsia="Times New Roman" w:hAnsi="Times New Roman"/>
          <w:sz w:val="12"/>
          <w:szCs w:val="12"/>
          <w:color w:val="auto"/>
        </w:rPr>
        <w:t>We believe that our ability to increase the number of property management units under management is an indicator of our market penetration, growth, and potential future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business opportunities. We define property management units under management as active or committed units under management at the period end date. We had 9.4 million and 8.7 million property management units under management, as of December 31, 2025 and 2024,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historically experienced seasonality in our Value Added Services revenue due to seasonally higher leasing activities in the second quarter. Specifically, higher tenant applications in the second quarter typically result in increased use by our property management customers of our tenant screening services and, in the third quarter once resident move-ins have occurred, higher demand for our risk mitigation services. Because of the seasonality in our Value Added Services, we typically experience a sequential increase in revenue in the first, second, and third quarters and a sequential decline in revenue in the fourth quarter. Moreover, if macroeconomic factors in a given fiscal year impact tenant behavior, our product portfolio mix, or the adoption rate of our other less seasonally impacted Value Added Services, the effect that seasonal factors have on our revenue may be exacerbated. Although these seasonal factors are common in the real estate industry, historical patterns should not be considered a reliable indicator of our future sales activity or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Components of Results of Operations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Subscription Services and certain of our Value Added Services are offered on a subscription basis. The subscription fees for our Subscription Services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28" w:name="page29"/>
    <w:bookmarkEnd w:id="28"/>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we charge our customers for assistance onboarding onto our Subscription Services and for certain other non-recurring services. We generally invoice for these other services in advance of the services being completed and recognize revenue in the period the service is rendered. We also generate revenue from the legacy customers of businesses we acquire that provide standalone services outside of our platform. Revenue derived from these services is recorded in Other revenue. As of December 31, 2025 and 2024, we had 22,096 and 20,784 property management customers, respectively.</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Costs and Operating Expenses</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Cost of Revenue (Exclusive of Depreciation and Amortization). </w:t>
      </w:r>
      <w:r>
        <w:rPr>
          <w:rFonts w:ascii="Times New Roman" w:cs="Times New Roman" w:eastAsia="Times New Roman" w:hAnsi="Times New Roman"/>
          <w:sz w:val="12"/>
          <w:szCs w:val="12"/>
          <w:color w:val="auto"/>
        </w:rPr>
        <w:t>Many of our Value Added Services are facilitated by third-party service providers. Cost of revenue paid to these third-party service providers includes, without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5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Sales and marketing expense consists of personnel-related costs for our employees focused on sales and marketing (including salaries, sales commissions, cash bonuses, benefits, and stock-based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products and services, creating sales leads, establishing and promoting our brands, and cultivating an educated community of successful and vocal customers.</w:t>
      </w:r>
    </w:p>
    <w:p>
      <w:pPr>
        <w:spacing w:after="0" w:line="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Research and Product Development. </w:t>
      </w:r>
      <w:r>
        <w:rPr>
          <w:rFonts w:ascii="Times New Roman" w:cs="Times New Roman" w:eastAsia="Times New Roman" w:hAnsi="Times New Roman"/>
          <w:sz w:val="12"/>
          <w:szCs w:val="12"/>
          <w:color w:val="auto"/>
        </w:rPr>
        <w:t>Research and product development expense consists of personnel-related costs for our employees focused on research and product development (including salaries, cash bonuses, benefits,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stock-based compensation), fees for third-party development resources, and allocated shared and other costs. Our research and product development efforts are focused on expanding functionality and the ease of use of our existing software products and services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4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General and Administrative. </w:t>
      </w:r>
      <w:r>
        <w:rPr>
          <w:rFonts w:ascii="Times New Roman" w:cs="Times New Roman" w:eastAsia="Times New Roman" w:hAnsi="Times New Roman"/>
          <w:sz w:val="12"/>
          <w:szCs w:val="12"/>
          <w:color w:val="auto"/>
        </w:rPr>
        <w:t>General and administrative expense consists of personnel-related costs for employees in our executive, finance, information technology, human resources, legal, compliance, and administrative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spacing w:after="0" w:line="4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Depreciation and Amortization. </w:t>
      </w:r>
      <w:r>
        <w:rPr>
          <w:rFonts w:ascii="Times New Roman" w:cs="Times New Roman" w:eastAsia="Times New Roman" w:hAnsi="Times New Roman"/>
          <w:sz w:val="12"/>
          <w:szCs w:val="12"/>
          <w:color w:val="auto"/>
        </w:rPr>
        <w:t>Depreciation and amortization expense includes depreciation of property and equipment, amortization of capitalized software development costs, and amortization of intangible assets.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depreciate or amortize property and equipment, software development costs, and intangible assets over their expected useful lives on a straight-line basis, which approximates the pattern in which the economic benefits of the assets are consumed.</w:t>
      </w:r>
    </w:p>
    <w:p>
      <w:pPr>
        <w:spacing w:after="0" w:line="45"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Interest Income, Net. </w:t>
      </w:r>
      <w:r>
        <w:rPr>
          <w:rFonts w:ascii="Times New Roman" w:cs="Times New Roman" w:eastAsia="Times New Roman" w:hAnsi="Times New Roman"/>
          <w:sz w:val="12"/>
          <w:szCs w:val="12"/>
          <w:color w:val="auto"/>
        </w:rPr>
        <w:t>Interest income, net includes interest earned on investment securities, amortization and accretion of the premium and discounts paid from the purchase of investment securities, and interest earned on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deposited in our bank accounts.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Provision for (benefit from) income taxes. </w:t>
      </w:r>
      <w:r>
        <w:rPr>
          <w:rFonts w:ascii="Times New Roman" w:cs="Times New Roman" w:eastAsia="Times New Roman" w:hAnsi="Times New Roman"/>
          <w:sz w:val="12"/>
          <w:szCs w:val="12"/>
          <w:color w:val="auto"/>
        </w:rPr>
        <w:t>Provision for (benefit from) income taxes consists of federal and state income taxes in the United States.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0" w:type="dxa"/>
            <w:vAlign w:val="bottom"/>
            <w:tcBorders>
              <w:bottom w:val="single" w:sz="8" w:color="auto"/>
            </w:tcBorders>
          </w:tcPr>
          <w:p>
            <w:pPr>
              <w:spacing w:after="0"/>
              <w:rPr>
                <w:sz w:val="11"/>
                <w:szCs w:val="11"/>
                <w:color w:val="auto"/>
              </w:rPr>
            </w:pPr>
          </w:p>
        </w:tc>
      </w:tr>
      <w:tr>
        <w:trPr>
          <w:trHeight w:val="128"/>
        </w:trPr>
        <w:tc>
          <w:tcPr>
            <w:tcW w:w="56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3"/>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Subscription Services</w:t>
            </w:r>
          </w:p>
        </w:tc>
        <w:tc>
          <w:tcPr>
            <w:tcW w:w="78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211,457</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180,605</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30,852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w:t>
            </w:r>
          </w:p>
        </w:tc>
      </w:tr>
      <w:tr>
        <w:trPr>
          <w:trHeight w:val="153"/>
        </w:trPr>
        <w:tc>
          <w:tcPr>
            <w:tcW w:w="5680" w:type="dxa"/>
            <w:vAlign w:val="bottom"/>
          </w:tcPr>
          <w:p>
            <w:pPr>
              <w:spacing w:after="0"/>
              <w:rPr>
                <w:sz w:val="20"/>
                <w:szCs w:val="20"/>
                <w:color w:val="auto"/>
              </w:rPr>
            </w:pPr>
            <w:r>
              <w:rPr>
                <w:rFonts w:ascii="Times New Roman" w:cs="Times New Roman" w:eastAsia="Times New Roman" w:hAnsi="Times New Roman"/>
                <w:sz w:val="12"/>
                <w:szCs w:val="12"/>
                <w:color w:val="auto"/>
              </w:rPr>
              <w:t>Value Added Services</w:t>
            </w:r>
          </w:p>
        </w:tc>
        <w:tc>
          <w:tcPr>
            <w:tcW w:w="7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721,549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605,011</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116,538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17,816</w:t>
            </w:r>
          </w:p>
        </w:tc>
        <w:tc>
          <w:tcPr>
            <w:tcW w:w="1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9,230</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108</w:t>
            </w:r>
          </w:p>
        </w:tc>
      </w:tr>
      <w:tr>
        <w:trPr>
          <w:trHeight w:val="142"/>
        </w:trPr>
        <w:tc>
          <w:tcPr>
            <w:tcW w:w="56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revenue</w:t>
            </w:r>
          </w:p>
        </w:tc>
        <w:tc>
          <w:tcPr>
            <w:tcW w:w="78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950,822</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794,202</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156,620</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20 %</w:t>
            </w:r>
          </w:p>
        </w:tc>
      </w:tr>
      <w:tr>
        <w:trPr>
          <w:trHeight w:val="20"/>
        </w:trPr>
        <w:tc>
          <w:tcPr>
            <w:tcW w:w="5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increase in revenue for the year ended December 31, 2025, compared to the prior year, was primarily attributable to an increase in the usage of our electronic payment, tenant screening, and risk mitigation services by property managers and residents. During the year ended December 31, 2025, we experienced growth of 8% in the number of property management units under management compared to the prior year, which drove growth in users of our Subscription Services and Value Added Services.</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expect total revenue for the year ending December 31, 2026 to increase compared to the year ended December 31, 2025 as we continue to add new customers and property management units under management, along with increased adoption and usage of our Value Added Services.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(Exclusive of Depreciation and Amortization)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1206"/>
              <w:spacing w:after="0"/>
              <w:rPr>
                <w:sz w:val="20"/>
                <w:szCs w:val="20"/>
                <w:color w:val="auto"/>
              </w:rPr>
            </w:pPr>
            <w:r>
              <w:rPr>
                <w:rFonts w:ascii="Times New Roman" w:cs="Times New Roman" w:eastAsia="Times New Roman" w:hAnsi="Times New Roman"/>
                <w:sz w:val="10"/>
                <w:szCs w:val="10"/>
                <w:b w:val="1"/>
                <w:bCs w:val="1"/>
                <w:color w:val="auto"/>
                <w:w w:val="85"/>
              </w:rPr>
              <w:t>Change</w:t>
            </w:r>
          </w:p>
        </w:tc>
      </w:tr>
      <w:tr>
        <w:trPr>
          <w:trHeight w:val="160"/>
        </w:trPr>
        <w:tc>
          <w:tcPr>
            <w:tcW w:w="5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5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8"/>
        </w:trPr>
        <w:tc>
          <w:tcPr>
            <w:tcW w:w="5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(exclusive of depreciation and amortization)</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345,341</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282,067</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63,274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22 %</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36.3 %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35.5 %</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5,138</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4,522</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0.5 %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0.6 %</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spacing w:after="0" w:line="11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Cost of revenue (exclusive of depreciation and amortization) increased for the year ended December 31, 2025, compared to the prior year primarily driven by higher third-party service provider costs of $54.7 million, due to increased adoption and usage of our Value Added Services, combined with a $4.9 million increase in personnel-related costs, including stock-based and performance-based compensation, to support growth in the business, for the year ended December 31, 2025.</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cost of revenue (exclusive of depreciation and amortization) for the year ending December 31, 2026, to stay relatively flat as a percentage of revenue compared to the year ended December 31, 2025.</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143,904</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110,597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33,307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15.1 %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12,332</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8,030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4,302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1.3 %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2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Sales and marketing expense for the year ended December 31, 2025 increased compared to the prior year primarily due to a $20.0 million increase in personnel-related costs, including stock-based and performance-based compensation, to support growth in the business, combined with a $6.8 million increase in advertising and promotion expense due to increased targeted go-to-market investment, for the year ended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62" w:right="29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2"/>
          <w:szCs w:val="12"/>
          <w:color w:val="auto"/>
        </w:rPr>
        <w:t>We expect sales and marketing expense for the year ending December 31, 2026 to stay relatively flat as a percentage of revenue compared to the year ended December 31, 2025.</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Research and Product Development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1206"/>
              <w:spacing w:after="0"/>
              <w:rPr>
                <w:sz w:val="20"/>
                <w:szCs w:val="20"/>
                <w:color w:val="auto"/>
              </w:rPr>
            </w:pPr>
            <w:r>
              <w:rPr>
                <w:rFonts w:ascii="Times New Roman" w:cs="Times New Roman" w:eastAsia="Times New Roman" w:hAnsi="Times New Roman"/>
                <w:sz w:val="10"/>
                <w:szCs w:val="10"/>
                <w:b w:val="1"/>
                <w:bCs w:val="1"/>
                <w:color w:val="auto"/>
                <w:w w:val="85"/>
              </w:rPr>
              <w:t>Change</w:t>
            </w:r>
          </w:p>
        </w:tc>
      </w:tr>
      <w:tr>
        <w:trPr>
          <w:trHeight w:val="128"/>
        </w:trPr>
        <w:tc>
          <w:tcPr>
            <w:tcW w:w="55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56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8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5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190,419</w:t>
            </w: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160,375</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30,044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20.0 %</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20.2 %</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30,687</w:t>
            </w: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2"/>
                <w:szCs w:val="12"/>
                <w:color w:val="auto"/>
              </w:rPr>
              <w:t>25,414</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55"/>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3.2 %</w:t>
            </w:r>
          </w:p>
        </w:tc>
        <w:tc>
          <w:tcPr>
            <w:tcW w:w="5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Research and product development expense for the year ended December 31, 2025 increased compared to the prior year primarily due to a $22.8 million increase in personnel-related costs, including stock-based and performance-based compensation, net of capitalized software development costs driven by headcount growth, combined with a $2.3 million increase in software spending to support our research and development activities, for the year ended December 31, 2025.</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research and product development expenses for the year ending December 31, 2026 to stay relatively flat as a percentage of revenue compared to the year ended December 31, 2025.</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95,590</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85,974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9,616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53"/>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10.1 %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included above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2"/>
                <w:szCs w:val="12"/>
                <w:color w:val="auto"/>
              </w:rPr>
              <w:t>22,633</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22,361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272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r>
      <w:tr>
        <w:trPr>
          <w:trHeight w:val="155"/>
        </w:trPr>
        <w:tc>
          <w:tcPr>
            <w:tcW w:w="54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2.4 %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13" w:lineRule="exact"/>
        <w:rPr>
          <w:sz w:val="20"/>
          <w:szCs w:val="20"/>
          <w:color w:val="auto"/>
        </w:rPr>
      </w:pPr>
    </w:p>
    <w:p>
      <w:pPr>
        <w:ind w:firstLine="486"/>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 for the year ended December 31, 2025 increased compared to the prior year primarily due to a $12.3 million increase in personnel-related costs, including stock-based and performance-based compensation, driven by headcount growth, for the year ended December 31, 2025.</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general and administrative expenses for the year ending December 31, 2026 to stay relatively flat as a percentage of revenue compared to the year ended December 31, 2025.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5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22,651</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19,545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2"/>
                <w:szCs w:val="12"/>
                <w:color w:val="auto"/>
              </w:rPr>
              <w:t>3,106</w:t>
            </w:r>
          </w:p>
        </w:tc>
        <w:tc>
          <w:tcPr>
            <w:tcW w:w="9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2"/>
                <w:szCs w:val="12"/>
                <w:color w:val="auto"/>
              </w:rPr>
              <w:t>16%</w:t>
            </w:r>
          </w:p>
        </w:tc>
      </w:tr>
      <w:tr>
        <w:trPr>
          <w:trHeight w:val="155"/>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2.4 %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1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for the year ended December 31, 2025 increased, compared to the prior year, primarily due to amortization of the intangible assets recognized from the acquisition of Move EZ, Inc. in the fourth quarter of 2024.</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expect depreciation and amortization expenses for the year ending December 31, 2026 to stay flat as a percentage of revenue compared to the year ended December 31, 2025.</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 Net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6"/>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9"/>
        </w:trPr>
        <w:tc>
          <w:tcPr>
            <w:tcW w:w="5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net</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8,157</w:t>
            </w:r>
          </w:p>
        </w:tc>
        <w:tc>
          <w:tcPr>
            <w:tcW w:w="6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13,981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2"/>
                <w:szCs w:val="12"/>
                <w:color w:val="auto"/>
              </w:rPr>
              <w:t>(5,824)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55"/>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Percentage of revenue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0.9 %</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Interest income for the year ended December 31, 2025 decreased, compared to the prior year, primarily due to the sale of available-for-sale investment securities and lower interest rates.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Provision for (benefit from) income taxes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5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980" w:type="dxa"/>
            <w:vAlign w:val="bottom"/>
            <w:tcBorders>
              <w:bottom w:val="single" w:sz="8" w:color="auto"/>
            </w:tcBorders>
          </w:tcPr>
          <w:p>
            <w:pPr>
              <w:spacing w:after="0"/>
              <w:rPr>
                <w:sz w:val="11"/>
                <w:szCs w:val="11"/>
                <w:color w:val="auto"/>
              </w:rPr>
            </w:pPr>
          </w:p>
        </w:tc>
      </w:tr>
      <w:tr>
        <w:trPr>
          <w:trHeight w:val="128"/>
        </w:trPr>
        <w:tc>
          <w:tcPr>
            <w:tcW w:w="5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24"/>
        </w:trPr>
        <w:tc>
          <w:tcPr>
            <w:tcW w:w="5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before provision for income taxes</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161,112</w:t>
            </w:r>
          </w:p>
        </w:tc>
        <w:tc>
          <w:tcPr>
            <w:tcW w:w="58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150,322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2"/>
                <w:szCs w:val="12"/>
                <w:color w:val="auto"/>
              </w:rPr>
              <w:t>10,790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7 %</w:t>
            </w:r>
          </w:p>
        </w:tc>
      </w:tr>
      <w:tr>
        <w:trPr>
          <w:trHeight w:val="153"/>
        </w:trPr>
        <w:tc>
          <w:tcPr>
            <w:tcW w:w="5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145"/>
              <w:spacing w:after="0"/>
              <w:rPr>
                <w:sz w:val="20"/>
                <w:szCs w:val="20"/>
                <w:color w:val="auto"/>
              </w:rPr>
            </w:pPr>
            <w:r>
              <w:rPr>
                <w:rFonts w:ascii="Times New Roman" w:cs="Times New Roman" w:eastAsia="Times New Roman" w:hAnsi="Times New Roman"/>
                <w:sz w:val="12"/>
                <w:szCs w:val="12"/>
                <w:color w:val="auto"/>
              </w:rPr>
              <w:t>20,189</w:t>
            </w:r>
          </w:p>
        </w:tc>
        <w:tc>
          <w:tcPr>
            <w:tcW w:w="58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12"/>
                <w:szCs w:val="12"/>
                <w:color w:val="auto"/>
              </w:rPr>
              <w:t>(53,746)</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506"/>
              <w:spacing w:after="0"/>
              <w:rPr>
                <w:sz w:val="20"/>
                <w:szCs w:val="20"/>
                <w:color w:val="auto"/>
              </w:rPr>
            </w:pPr>
            <w:r>
              <w:rPr>
                <w:rFonts w:ascii="Times New Roman" w:cs="Times New Roman" w:eastAsia="Times New Roman" w:hAnsi="Times New Roman"/>
                <w:sz w:val="12"/>
                <w:szCs w:val="12"/>
                <w:color w:val="auto"/>
              </w:rPr>
              <w:t>73,935</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r>
      <w:tr>
        <w:trPr>
          <w:trHeight w:val="15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Effective tax rate</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12.5 %</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bl>
    <w:p>
      <w:pPr>
        <w:spacing w:after="0" w:line="11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increase in our effective tax rate for the year ended December 31, 2025, as compared to the prior year, is primarily due to the tax benefits recognized in the prior year related to the valuation allowance release against our federal and state deferred tax assets, as well as lower excess tax benefits from stock-based compensation and research and development tax credits.</w:t>
      </w:r>
    </w:p>
    <w:p>
      <w:pPr>
        <w:spacing w:after="0" w:line="30"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As of December 31, 2024, we recorded an income tax benefit of $53.7 million, primarily due to the release of our valuation allowance of certain U.S. federal and state deferred tax assets.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 In assessing all available evidence, we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principal sources of liquidity continue to be cash, cash equivalents, and investment securities, as well as cash flows generated from our operations. As of December 31, 2025, we had $251.2 million in cash, cash equivalents, and investment securities. We have financed our operations primarily through cash generated from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32" w:name="page33"/>
    <w:bookmarkEnd w:id="32"/>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In addition, to optimize our capital structure, on September 30, 2025, we entered into the Credit Facility, which provides for a $150.0 million senior secured revolving credit facility, including sublimits of $25.0 million for letters of credit and $25.0 million for swingline loans, and is scheduled to mature on September 30, 2030. We did not draw on the Credit Facility in the fourth quarter of 2025, and as of December 31, 2025, we had no outstanding borrowings under the Credit Facility, and were in compliance with the covenants under the Credit Facility. For more information regarding the Credit Facility, refer to "Credit Facility" in Note 11,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of our Consolidated Financial Statements of this Annual Report.</w:t>
      </w:r>
    </w:p>
    <w:p>
      <w:pPr>
        <w:spacing w:after="0" w:line="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believe that our existing cash and cash equivalents, investment securities, and cash generated from operating activities will be sufficient to meet our working capital and capital expenditure requirements for at least the next twelve months. The available borrowing capacity under the Credit Facility provides us additional liquidity and financial flexibility.</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Capital Requirements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future capital requirements depend on many factors, including continued market acceptance of our software products and services;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including acquisitions of businesses and technologies.</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our non-cancelable purchase commitments for business operations totaled $31.3 million, which are due primarily over the next three years. Operating lease obligations associated with leased facilities totaled $38.2 million as of December 31, 2025 and have varying maturities with $44.8 million due over the next five years.</w:t>
      </w:r>
    </w:p>
    <w:p>
      <w:pPr>
        <w:spacing w:after="0" w:line="3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During the first quarter of 2025, we substantially exhausted the shares of Class A common stock remaining available for purchase under the $100 million share repurchase program authorized by our Board of Directors in 2019 (the "2019 Stock Repurchase Program"). On April 23, 2025, our Board authorized the repurchase of up to $300.0 million of shares of our Class A common stock from time to time pursuant to the 2025 Stock Repurchase Program. For more information regarding our repurchases under the 2019 Stock Repurchase Program and the 2025 Stock Repurchase Program, refer to Note 12, </w:t>
      </w:r>
      <w:r>
        <w:rPr>
          <w:rFonts w:ascii="Times New Roman" w:cs="Times New Roman" w:eastAsia="Times New Roman" w:hAnsi="Times New Roman"/>
          <w:sz w:val="12"/>
          <w:szCs w:val="12"/>
          <w:i w:val="1"/>
          <w:iCs w:val="1"/>
          <w:color w:val="auto"/>
        </w:rPr>
        <w:t>Stockholders' Equity</w:t>
      </w:r>
      <w:r>
        <w:rPr>
          <w:rFonts w:ascii="Times New Roman" w:cs="Times New Roman" w:eastAsia="Times New Roman" w:hAnsi="Times New Roman"/>
          <w:sz w:val="12"/>
          <w:szCs w:val="12"/>
          <w:color w:val="auto"/>
        </w:rPr>
        <w:t>, of our Consolidated Financial Statements of this Annual Report.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our cash flows for the periods indicated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5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800" w:type="dxa"/>
            <w:vAlign w:val="bottom"/>
            <w:tcBorders>
              <w:bottom w:val="single" w:sz="8" w:color="auto"/>
            </w:tcBorders>
          </w:tcPr>
          <w:p>
            <w:pPr>
              <w:spacing w:after="0"/>
              <w:rPr>
                <w:sz w:val="11"/>
                <w:szCs w:val="11"/>
                <w:color w:val="auto"/>
              </w:rPr>
            </w:pPr>
          </w:p>
        </w:tc>
      </w:tr>
      <w:tr>
        <w:trPr>
          <w:trHeight w:val="128"/>
        </w:trPr>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8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242,105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188,159</w:t>
            </w:r>
          </w:p>
        </w:tc>
      </w:tr>
      <w:tr>
        <w:trPr>
          <w:trHeight w:val="153"/>
        </w:trPr>
        <w:tc>
          <w:tcPr>
            <w:tcW w:w="856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10,244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(151,761)</w:t>
            </w:r>
          </w:p>
        </w:tc>
      </w:tr>
      <w:tr>
        <w:trPr>
          <w:trHeight w:val="15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7"/>
              </w:rPr>
              <w:t>(187,886)</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(43,403)</w:t>
            </w:r>
          </w:p>
        </w:tc>
      </w:tr>
      <w:tr>
        <w:trPr>
          <w:trHeight w:val="142"/>
        </w:trPr>
        <w:tc>
          <w:tcPr>
            <w:tcW w:w="85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80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64,463</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(7,005)</w:t>
            </w:r>
          </w:p>
        </w:tc>
      </w:tr>
      <w:tr>
        <w:trPr>
          <w:trHeight w:val="20"/>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primary source of operating cash inflows is cash collected from our customers in connection with their use of our Subscription Services and Value Added Services. Our primary uses of cash from operating activities are for personnel-related expenditures and third-party costs incurred to support the delivery of our software products and services.</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net increase in cash provided by operating activities for the year ended December 31, 2025, compared to the prior year, was primarily due to a higher increase in cash collections from customers relative to the increase in operating expenditures.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Cash provided by (used in) investing activities is generally composed of cash paid in purchases of investment securities, maturities and sales of investment securities, purchases of property and equipment, business acquisition, net of cash acquired, and additions to capitalized software development.</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net increase in cash provided by investing activities for the year ended December 31, 2025, compared to the prior year, was primarily due to higher sales and maturities of available-for-sale investment securities and lower purchases of available-for-sale investment securities. We used $77.4 million of cash paid for a business acquisition in 2024 and $75.0 million of cash for a long-term investment in 2025. For additional information regarding the business acquisition and long-term investment, see Note 4, Investment Securities and Fair Value Measurements, and Note 7, Business Combination, of our Consolidated Financial Statements of this Annual Report.</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Cash used in financing activities is generally composed of net share settlements for employee tax withholdings associated with the vesting of equity awards and repurchases of our Class A common stock offset by proceeds from the exercise of stock options and issuance of common stock under our employee stock purchase plan.</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net increase in cash used in financing activities for the year ended December 31, 2025, compared to the prior year, was primarily due to repurchases of our Class A common stock.</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2025, we did not have any off-balance sheet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To supplement our Consolidated Financial Statements, which are prepared and presented in accordance with accounting principles generally accepted in the United States ("GAAP"), this Annual Report contains information regarding our non-GAAP income from operations ("Non-GAAP Operating Income") and non-GAAP operating margin ("Non-GAAP Operating Margin"), each of which constitutes a non-GAAP financial measure. We use these non-GAAP financial measures in addition to, and not as a substitute for, or superior to, financial measures calculated in accordance with GAAP.</w:t>
      </w:r>
    </w:p>
    <w:p>
      <w:pPr>
        <w:spacing w:after="0" w:line="45" w:lineRule="exact"/>
        <w:rPr>
          <w:sz w:val="20"/>
          <w:szCs w:val="20"/>
          <w:color w:val="auto"/>
        </w:rPr>
      </w:pPr>
    </w:p>
    <w:p>
      <w:pPr>
        <w:ind w:left="420" w:right="20" w:hanging="212"/>
        <w:spacing w:after="0" w:line="283" w:lineRule="auto"/>
        <w:tabs>
          <w:tab w:leader="none" w:pos="41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Non-GAAP Operating Income </w:t>
      </w:r>
      <w:r>
        <w:rPr>
          <w:rFonts w:ascii="Times New Roman" w:cs="Times New Roman" w:eastAsia="Times New Roman" w:hAnsi="Times New Roman"/>
          <w:sz w:val="12"/>
          <w:szCs w:val="12"/>
          <w:color w:val="auto"/>
        </w:rPr>
        <w:t>excludes certain non-cash or non-recurring items, including stock-based compensation expense, amortization of stock-based compensation capitalized in software development costs,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amortization of purchased intangibles, as described below. Non-GAAP Operating Margin is calculated as Non-GAAP Operating Income as a percentage of revenue.</w:t>
      </w:r>
    </w:p>
    <w:p>
      <w:pPr>
        <w:spacing w:after="0" w:line="37"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We use each of these non-GAAP financial measures internally to assess and compare operating results across reporting periods, for internal budgeting and forecasting purposes, and to evaluate our financial performance. We believe these non-GAAP financial measures also provide useful supplemental information to investors and facilitate the analysis of our operating results and comparison of operating results across reporting periods.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particular, we believe these non-GAAP financial measures are useful to investors and others in assessing our operating performance due to the following factors:</w:t>
      </w:r>
    </w:p>
    <w:p>
      <w:pPr>
        <w:spacing w:after="0" w:line="76" w:lineRule="exact"/>
        <w:rPr>
          <w:sz w:val="20"/>
          <w:szCs w:val="20"/>
          <w:color w:val="auto"/>
        </w:rPr>
      </w:pPr>
    </w:p>
    <w:p>
      <w:pPr>
        <w:jc w:val="both"/>
        <w:ind w:left="420" w:hanging="212"/>
        <w:spacing w:after="0" w:line="266" w:lineRule="auto"/>
        <w:tabs>
          <w:tab w:leader="none" w:pos="417" w:val="left"/>
        </w:tabs>
        <w:numPr>
          <w:ilvl w:val="0"/>
          <w:numId w:val="1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Stock-based compensation expense and amortization of stock-based compensation capitalized in software development costs. </w:t>
      </w:r>
      <w:r>
        <w:rPr>
          <w:rFonts w:ascii="Times New Roman" w:cs="Times New Roman" w:eastAsia="Times New Roman" w:hAnsi="Times New Roman"/>
          <w:sz w:val="12"/>
          <w:szCs w:val="12"/>
          <w:color w:val="auto"/>
        </w:rPr>
        <w:t>We utilize stock-based compensation to attract and retain employees. It is principally aimed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aligning their interests with those of our stockholders while ensuring long-term retention, rather than to address operational performance for any particular period. As a result, stock-based compensation expenses vary for reasons that are generally unrelated to financial and operational performance in any particular period.</w:t>
      </w:r>
    </w:p>
    <w:p>
      <w:pPr>
        <w:spacing w:after="0" w:line="45" w:lineRule="exact"/>
        <w:rPr>
          <w:rFonts w:ascii="Times New Roman" w:cs="Times New Roman" w:eastAsia="Times New Roman" w:hAnsi="Times New Roman"/>
          <w:sz w:val="12"/>
          <w:szCs w:val="12"/>
          <w:i w:val="1"/>
          <w:iCs w:val="1"/>
          <w:color w:val="auto"/>
        </w:rPr>
      </w:pPr>
    </w:p>
    <w:p>
      <w:pPr>
        <w:ind w:left="420" w:hanging="212"/>
        <w:spacing w:after="0" w:line="283"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Amortization of purchased intangibles. </w:t>
      </w:r>
      <w:r>
        <w:rPr>
          <w:rFonts w:ascii="Times New Roman" w:cs="Times New Roman" w:eastAsia="Times New Roman" w:hAnsi="Times New Roman"/>
          <w:sz w:val="12"/>
          <w:szCs w:val="12"/>
          <w:color w:val="auto"/>
        </w:rPr>
        <w:t>We view amortization of purchased intangible assets as items arising from pre-acquisition activities determined at the time of an acquisition. While these intangible assets are evaluated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impairment regularly, amortization of the cost of purchased intangibles is an expense that is not typically affected by operations during any particular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34" w:name="page35"/>
    <w:bookmarkEnd w:id="34"/>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non-GAAP financial measures may not provide information that is directly comparable to that provided by other companies in our industry, as other companies may calculate non-GAAP financial results differently. In addition, there are limitations in using non-GAAP financial measures because non-GAAP financial measures are not prepared in accordance with GAAP and can exclude expenses that may have a material impact on our reported financial results. As such, non-GAAP financial measures should not be considered in isolation from, or as a substitute for, financial information prepared in accordance with GAAP. A reconciliation of income from operations, the most comparable GAAP measure, to Non-GAAP Operating Income, and operating margin, the most comparable GAAP measure, to Non-GAAP Operating Margin is provided in the table below. We encourage investors to review the reconciliation of these historical non-GAAP financial measures to their most directly comparable GAAP financial measures.</w:t>
      </w:r>
    </w:p>
    <w:p>
      <w:pPr>
        <w:spacing w:after="0" w:line="4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Reconciliation from GAAP to Non-GAAP Results</w:t>
      </w:r>
    </w:p>
    <w:p>
      <w:pPr>
        <w:spacing w:after="0" w:line="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color w:val="auto"/>
        </w:rPr>
        <w:t>(in thousands except percentages)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4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840" w:type="dxa"/>
            <w:vAlign w:val="bottom"/>
            <w:tcBorders>
              <w:bottom w:val="single" w:sz="8" w:color="auto"/>
            </w:tcBorders>
          </w:tcPr>
          <w:p>
            <w:pPr>
              <w:spacing w:after="0"/>
              <w:rPr>
                <w:sz w:val="11"/>
                <w:szCs w:val="11"/>
                <w:color w:val="auto"/>
              </w:rPr>
            </w:pPr>
          </w:p>
        </w:tc>
      </w:tr>
      <w:tr>
        <w:trPr>
          <w:trHeight w:val="128"/>
        </w:trPr>
        <w:tc>
          <w:tcPr>
            <w:tcW w:w="844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8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GAAP income from operations</w:t>
            </w:r>
          </w:p>
        </w:tc>
        <w:tc>
          <w:tcPr>
            <w:tcW w:w="840" w:type="dxa"/>
            <w:vAlign w:val="bottom"/>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152,917</w:t>
            </w:r>
          </w:p>
        </w:tc>
        <w:tc>
          <w:tcPr>
            <w:tcW w:w="80" w:type="dxa"/>
            <w:vAlign w:val="bottom"/>
          </w:tcPr>
          <w:p>
            <w:pPr>
              <w:spacing w:after="0"/>
              <w:rPr>
                <w:sz w:val="13"/>
                <w:szCs w:val="13"/>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135,644</w:t>
            </w:r>
          </w:p>
        </w:tc>
      </w:tr>
      <w:tr>
        <w:trPr>
          <w:trHeight w:val="153"/>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70,790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60,327</w:t>
            </w:r>
          </w:p>
        </w:tc>
      </w:tr>
      <w:tr>
        <w:trPr>
          <w:trHeight w:val="153"/>
        </w:trPr>
        <w:tc>
          <w:tcPr>
            <w:tcW w:w="8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Amortization of stock-based compensation capitalized in software development costs</w:t>
            </w:r>
          </w:p>
        </w:tc>
        <w:tc>
          <w:tcPr>
            <w:tcW w:w="8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963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1,754</w:t>
            </w:r>
          </w:p>
        </w:tc>
      </w:tr>
      <w:tr>
        <w:trPr>
          <w:trHeight w:val="153"/>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Amortization of purchased intangibles</w:t>
            </w: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10,231</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2,100</w:t>
            </w:r>
          </w:p>
        </w:tc>
      </w:tr>
      <w:tr>
        <w:trPr>
          <w:trHeight w:val="149"/>
        </w:trPr>
        <w:tc>
          <w:tcPr>
            <w:tcW w:w="8440" w:type="dxa"/>
            <w:vAlign w:val="bottom"/>
            <w:tcBorders>
              <w:bottom w:val="single" w:sz="8" w:color="CCEEFF"/>
            </w:tcBorders>
          </w:tcPr>
          <w:p>
            <w:pPr>
              <w:ind w:left="320"/>
              <w:spacing w:after="0" w:line="133" w:lineRule="exact"/>
              <w:rPr>
                <w:sz w:val="20"/>
                <w:szCs w:val="20"/>
                <w:color w:val="auto"/>
              </w:rPr>
            </w:pPr>
            <w:r>
              <w:rPr>
                <w:rFonts w:ascii="Times New Roman" w:cs="Times New Roman" w:eastAsia="Times New Roman" w:hAnsi="Times New Roman"/>
                <w:sz w:val="12"/>
                <w:szCs w:val="12"/>
                <w:color w:val="auto"/>
              </w:rPr>
              <w:t>Non-GAAP income from operations</w:t>
            </w:r>
          </w:p>
        </w:tc>
        <w:tc>
          <w:tcPr>
            <w:tcW w:w="84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234,901</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199,825</w:t>
            </w:r>
          </w:p>
        </w:tc>
      </w:tr>
      <w:tr>
        <w:trPr>
          <w:trHeight w:val="126"/>
        </w:trPr>
        <w:tc>
          <w:tcPr>
            <w:tcW w:w="84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Operating margin:</w:t>
            </w: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GAAP operating margin</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16.1 %</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17.1 %</w:t>
            </w:r>
          </w:p>
        </w:tc>
      </w:tr>
      <w:tr>
        <w:trPr>
          <w:trHeight w:val="153"/>
        </w:trPr>
        <w:tc>
          <w:tcPr>
            <w:tcW w:w="8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Stock-based compensation expense as a percentage of revenue</w:t>
            </w:r>
          </w:p>
        </w:tc>
        <w:tc>
          <w:tcPr>
            <w:tcW w:w="8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7.6</w:t>
            </w:r>
          </w:p>
        </w:tc>
      </w:tr>
      <w:tr>
        <w:trPr>
          <w:trHeight w:val="153"/>
        </w:trPr>
        <w:tc>
          <w:tcPr>
            <w:tcW w:w="84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Amortization of stock-based compensation capitalized in software development costs as a percentage of revenue</w:t>
            </w: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0.2</w:t>
            </w:r>
          </w:p>
        </w:tc>
      </w:tr>
      <w:tr>
        <w:trPr>
          <w:trHeight w:val="153"/>
        </w:trPr>
        <w:tc>
          <w:tcPr>
            <w:tcW w:w="84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2"/>
                <w:szCs w:val="12"/>
                <w:color w:val="auto"/>
              </w:rPr>
              <w:t>Amortization of purchased intangibles as a percentage of revenue</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0.3</w:t>
            </w:r>
          </w:p>
        </w:tc>
      </w:tr>
      <w:tr>
        <w:trPr>
          <w:trHeight w:val="149"/>
        </w:trPr>
        <w:tc>
          <w:tcPr>
            <w:tcW w:w="8440" w:type="dxa"/>
            <w:vAlign w:val="bottom"/>
            <w:tcBorders>
              <w:bottom w:val="single" w:sz="8" w:color="CCEEFF"/>
            </w:tcBorders>
            <w:shd w:val="clear" w:color="auto" w:fill="CCEEFF"/>
          </w:tcPr>
          <w:p>
            <w:pPr>
              <w:ind w:left="320"/>
              <w:spacing w:after="0" w:line="133" w:lineRule="exact"/>
              <w:rPr>
                <w:sz w:val="20"/>
                <w:szCs w:val="20"/>
                <w:color w:val="auto"/>
              </w:rPr>
            </w:pPr>
            <w:r>
              <w:rPr>
                <w:rFonts w:ascii="Times New Roman" w:cs="Times New Roman" w:eastAsia="Times New Roman" w:hAnsi="Times New Roman"/>
                <w:sz w:val="12"/>
                <w:szCs w:val="12"/>
                <w:color w:val="auto"/>
              </w:rPr>
              <w:t>Non-GAAP operating margin</w:t>
            </w:r>
          </w:p>
        </w:tc>
        <w:tc>
          <w:tcPr>
            <w:tcW w:w="8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24.7 %</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25.2 %</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Consolidated Financial Statements and the related notes included elsewhere in this Annual Report are prepared in accordance with GAAP.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of our Consolidated Financial Statements of this Annual Report.</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Subscription Services, implementation services, and customer support. Access and use of our Subscription Services and implementation services are considered distinct.</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our Consolidated Statements of Operations in the period that includes the enactment date. A valuation allowance is recorded when it is more likely than not that some of the deferred tax assets will not be realized.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 In assessing all available evidence, we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Judgment is required to measure the amount of tax benefits that can be recognized in connection with uncertain tax positions. We recognize the tax benefit from an uncertain tax position only if it is more likely than not that the tax position will be sustained on examination by the taxing authorities, based on the technical merits of the position. We recognize interest and penalties accrued with respect to uncertain tax positions, if any, in our provision for income taxes in our Consolidated Statements of Operations.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4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Determining the fair value of assets acquired and liabilities assumed requires management to make significant judgments and estimates, including the selection of valuation methodologies and assumptions. Critical estimates used in valuing certain intangible assets include, but are not limited to, development costs, the time required to recreate the assets and profit margin a market participant would receive, and rate of return. These estimates are based on information obtained from the management of the acquired companies, our assessment of the information, and historical experience. Our estimates of fair value are based upon assumptions believed to be reasonable, but which are inherently uncertain and unpredictable and, as a result, actual results may differ from estimates. During the measurement period of up to one year from the acquisition date, we may record adjustments to the preliminary fair value of the assets acquired and liabilities assumed with a corresponding offset to goodwill for these business combinations.</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Acquisition-related transaction costs are not included as a component of consideration transferred, but are accounted for as an operating expense in the period in which the costs are incurred.</w:t>
      </w:r>
    </w:p>
    <w:p>
      <w:pPr>
        <w:spacing w:after="0" w:line="7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allocation of the purchase price in a business combination requires management to make significant estimates in determining the fair value of acquired assets and assumed liabilities, especially with respect to intangible assets. The excess of the purchase price in a business combination over the fair value of these tangible and intangible assets acquired and liabilities assumed is recorded as goodwill. Critical estimates in valuing certain intangible assets include, but are not limited to, future expected cash flows, discount rates, revenue growth rates, the time and expense to recreate the assets and profit margin a market participant would receive. These estimates are inherently uncertain and unpredictable and, as a result, actual results may differ from estimates. We evaluate these estimates and assumptions as new information is obtained and may record adjustments to the fair value of the tangible and intangible assets acquired and liabilities assumed but not later than one year from the acquisition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For information regarding recent accounting pronouncements, refer to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of our Consolidated Financial Statements of this Annual Report.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36" w:name="page37"/>
    <w:bookmarkEnd w:id="36"/>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Investment Securities</w:t>
      </w:r>
    </w:p>
    <w:p>
      <w:pPr>
        <w:spacing w:after="0" w:line="8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we had $144.3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Due to the relatively short-term nature of our investment portfolio, a hypothetical 100 basis point change in interest rates would not have a material effect on the fair value of our portfolio for the periods presented. This estimate is based on a sensitivity model which measured an instant change in interest rates by 100 basis points as of December 31, 2025.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59"/>
        </w:trPr>
        <w:tc>
          <w:tcPr>
            <w:tcW w:w="396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5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52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32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115"/>
        </w:trPr>
        <w:tc>
          <w:tcPr>
            <w:tcW w:w="20" w:type="dxa"/>
            <w:vAlign w:val="bottom"/>
          </w:tcPr>
          <w:p>
            <w:pPr>
              <w:spacing w:after="0"/>
              <w:rPr>
                <w:sz w:val="10"/>
                <w:szCs w:val="10"/>
                <w:color w:val="auto"/>
              </w:rPr>
            </w:pPr>
          </w:p>
        </w:tc>
        <w:tc>
          <w:tcPr>
            <w:tcW w:w="3940" w:type="dxa"/>
            <w:vAlign w:val="bottom"/>
            <w:gridSpan w:val="8"/>
          </w:tcPr>
          <w:p>
            <w:pPr>
              <w:spacing w:after="0" w:line="115"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(PCAOB ID 238)</w:t>
            </w:r>
          </w:p>
        </w:tc>
        <w:tc>
          <w:tcPr>
            <w:tcW w:w="5840" w:type="dxa"/>
            <w:vAlign w:val="bottom"/>
          </w:tcPr>
          <w:p>
            <w:pPr>
              <w:spacing w:after="0"/>
              <w:rPr>
                <w:sz w:val="10"/>
                <w:szCs w:val="10"/>
                <w:color w:val="auto"/>
              </w:rPr>
            </w:pPr>
          </w:p>
        </w:tc>
        <w:tc>
          <w:tcPr>
            <w:tcW w:w="14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2"/>
                <w:szCs w:val="12"/>
                <w:color w:val="0000FF"/>
                <w:w w:val="99"/>
              </w:rPr>
              <w:t>37</w:t>
            </w:r>
          </w:p>
        </w:tc>
      </w:tr>
      <w:tr>
        <w:trPr>
          <w:trHeight w:val="133"/>
        </w:trPr>
        <w:tc>
          <w:tcPr>
            <w:tcW w:w="20" w:type="dxa"/>
            <w:vAlign w:val="bottom"/>
          </w:tcPr>
          <w:p>
            <w:pPr>
              <w:spacing w:after="0"/>
              <w:rPr>
                <w:sz w:val="11"/>
                <w:szCs w:val="11"/>
                <w:color w:val="auto"/>
              </w:rPr>
            </w:pPr>
          </w:p>
        </w:tc>
        <w:tc>
          <w:tcPr>
            <w:tcW w:w="140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Balance Sheets</w:t>
            </w:r>
          </w:p>
        </w:tc>
        <w:tc>
          <w:tcPr>
            <w:tcW w:w="1420" w:type="dxa"/>
            <w:vAlign w:val="bottom"/>
            <w:tcBorders>
              <w:top w:val="single" w:sz="8" w:color="0000FF"/>
            </w:tcBorders>
            <w:gridSpan w:val="5"/>
          </w:tcPr>
          <w:p>
            <w:pPr>
              <w:spacing w:after="0"/>
              <w:rPr>
                <w:sz w:val="11"/>
                <w:szCs w:val="11"/>
                <w:color w:val="auto"/>
              </w:rPr>
            </w:pPr>
          </w:p>
        </w:tc>
        <w:tc>
          <w:tcPr>
            <w:tcW w:w="1120" w:type="dxa"/>
            <w:vAlign w:val="bottom"/>
            <w:gridSpan w:val="2"/>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top w:val="single" w:sz="8" w:color="0000FF"/>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39</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92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Consolidated Statements of Operations</w:t>
            </w:r>
          </w:p>
        </w:tc>
        <w:tc>
          <w:tcPr>
            <w:tcW w:w="2020" w:type="dxa"/>
            <w:vAlign w:val="bottom"/>
            <w:gridSpan w:val="5"/>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40</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2840" w:type="dxa"/>
            <w:vAlign w:val="bottom"/>
            <w:tcBorders>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Comprehensive (Loss) Income</w:t>
            </w:r>
          </w:p>
        </w:tc>
        <w:tc>
          <w:tcPr>
            <w:tcW w:w="1100" w:type="dxa"/>
            <w:vAlign w:val="bottom"/>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41</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94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FF"/>
              </w:rPr>
              <w:t>Consolidated Statements of Stockholders' Equity</w:t>
            </w:r>
          </w:p>
        </w:tc>
        <w:tc>
          <w:tcPr>
            <w:tcW w:w="7320" w:type="dxa"/>
            <w:vAlign w:val="bottom"/>
            <w:gridSpan w:val="4"/>
          </w:tcPr>
          <w:p>
            <w:pPr>
              <w:jc w:val="center"/>
              <w:ind w:left="5780"/>
              <w:spacing w:after="0" w:line="133" w:lineRule="exact"/>
              <w:rPr>
                <w:sz w:val="20"/>
                <w:szCs w:val="20"/>
                <w:color w:val="auto"/>
              </w:rPr>
            </w:pPr>
            <w:r>
              <w:rPr>
                <w:rFonts w:ascii="Times New Roman" w:cs="Times New Roman" w:eastAsia="Times New Roman" w:hAnsi="Times New Roman"/>
                <w:sz w:val="12"/>
                <w:szCs w:val="12"/>
                <w:color w:val="0000FF"/>
                <w:w w:val="99"/>
              </w:rPr>
              <w:t>42</w:t>
            </w:r>
          </w:p>
        </w:tc>
      </w:tr>
      <w:tr>
        <w:trPr>
          <w:trHeight w:val="133"/>
        </w:trPr>
        <w:tc>
          <w:tcPr>
            <w:tcW w:w="2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420" w:type="dxa"/>
            <w:vAlign w:val="bottom"/>
            <w:tcBorders>
              <w:top w:val="single" w:sz="8" w:color="0000FF"/>
            </w:tcBorders>
            <w:gridSpan w:val="2"/>
          </w:tcPr>
          <w:p>
            <w:pPr>
              <w:spacing w:after="0"/>
              <w:rPr>
                <w:sz w:val="11"/>
                <w:szCs w:val="11"/>
                <w:color w:val="auto"/>
              </w:rPr>
            </w:pPr>
          </w:p>
        </w:tc>
        <w:tc>
          <w:tcPr>
            <w:tcW w:w="1600" w:type="dxa"/>
            <w:vAlign w:val="bottom"/>
            <w:gridSpan w:val="3"/>
          </w:tcPr>
          <w:p>
            <w:pPr>
              <w:spacing w:after="0"/>
              <w:rPr>
                <w:sz w:val="11"/>
                <w:szCs w:val="11"/>
                <w:color w:val="auto"/>
              </w:rPr>
            </w:pPr>
          </w:p>
        </w:tc>
        <w:tc>
          <w:tcPr>
            <w:tcW w:w="6520" w:type="dxa"/>
            <w:vAlign w:val="bottom"/>
            <w:gridSpan w:val="2"/>
          </w:tcPr>
          <w:p>
            <w:pPr>
              <w:spacing w:after="0"/>
              <w:rPr>
                <w:sz w:val="11"/>
                <w:szCs w:val="11"/>
                <w:color w:val="auto"/>
              </w:rPr>
            </w:pPr>
          </w:p>
        </w:tc>
        <w:tc>
          <w:tcPr>
            <w:tcW w:w="120" w:type="dxa"/>
            <w:vAlign w:val="bottom"/>
            <w:tcBorders>
              <w:top w:val="single" w:sz="8" w:color="0000FF"/>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43</w:t>
            </w:r>
          </w:p>
        </w:tc>
        <w:tc>
          <w:tcPr>
            <w:tcW w:w="6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94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7320" w:type="dxa"/>
            <w:vAlign w:val="bottom"/>
            <w:gridSpan w:val="4"/>
          </w:tcPr>
          <w:p>
            <w:pPr>
              <w:jc w:val="center"/>
              <w:ind w:left="5780"/>
              <w:spacing w:after="0" w:line="133" w:lineRule="exact"/>
              <w:rPr>
                <w:sz w:val="20"/>
                <w:szCs w:val="20"/>
                <w:color w:val="auto"/>
              </w:rPr>
            </w:pPr>
            <w:r>
              <w:rPr>
                <w:rFonts w:ascii="Times New Roman" w:cs="Times New Roman" w:eastAsia="Times New Roman" w:hAnsi="Times New Roman"/>
                <w:sz w:val="12"/>
                <w:szCs w:val="12"/>
                <w:color w:val="0000FF"/>
                <w:w w:val="99"/>
              </w:rPr>
              <w:t>44</w:t>
            </w: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98"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Stockholders of AppFolio,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AppFolio, Inc. and its subsidiaries (the "Company") as of December 31, 2025 and 2024, and the related consolidated statements of operations and comprehensive income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39" w:name="page40"/>
    <w:bookmarkEnd w:id="39"/>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 Recognition</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described in Notes 2 and 3 to the consolidated financial statements, the Company’s total revenue was $950.8 million for the year ended December 31, 2025. The Company generates revenue from customers primarily for subscriptions to access the Subscription Services and Value Added Services. Revenue is recognized upon transfer of control of promised services in an amount that reflects the consideration the Company expects to receive in exchange for those services. The Company enters into contracts that can include various combinations of services, which are generally capable of being distinct within the context of the contract, and accounted for as separate performance obligations. Revenue is recognized net of any taxes collected from customers, which are subsequently remitted to governmental authorities. The Company recognizes revenue in proportion to the amount they have the right to invoice for certain Subscription Services and Value Added Services, as that amount corresponds directly with the performance completed to date.</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39"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revenue transactions by either (a) testing the issuance and settlement of invoices and credit memos, tracing transactions not settled to a detailed listing of accounts receivable, and testing the completeness and accuracy of data provided by management or (b) testing, on a sample basis, revenue transactions by obtaining and inspecting source documents, such as executed contracts, invoices, and cash receipts and (ii) confirming, on a sample basis, outstanding customer invoice balances as of year-end and, and for confirmations not returned, obtaining and inspecting source documents, such as executed contracts, invoices, and subsequent cash receipts.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 Angeles,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5,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par values)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9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9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25"/>
        </w:trPr>
        <w:tc>
          <w:tcPr>
            <w:tcW w:w="79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Assets</w:t>
            </w:r>
          </w:p>
        </w:tc>
        <w:tc>
          <w:tcPr>
            <w:tcW w:w="10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2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106,967</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42,504</w:t>
            </w:r>
          </w:p>
        </w:tc>
        <w:tc>
          <w:tcPr>
            <w:tcW w:w="0" w:type="dxa"/>
            <w:vAlign w:val="bottom"/>
          </w:tcPr>
          <w:p>
            <w:pPr>
              <w:spacing w:after="0"/>
              <w:rPr>
                <w:sz w:val="1"/>
                <w:szCs w:val="1"/>
                <w:color w:val="auto"/>
              </w:rPr>
            </w:pPr>
          </w:p>
        </w:tc>
      </w:tr>
      <w:tr>
        <w:trPr>
          <w:trHeight w:val="142"/>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securities—current</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144,256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235,745</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36,873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24,346</w:t>
            </w:r>
          </w:p>
        </w:tc>
        <w:tc>
          <w:tcPr>
            <w:tcW w:w="0" w:type="dxa"/>
            <w:vAlign w:val="bottom"/>
          </w:tcPr>
          <w:p>
            <w:pPr>
              <w:spacing w:after="0"/>
              <w:rPr>
                <w:sz w:val="1"/>
                <w:szCs w:val="1"/>
                <w:color w:val="auto"/>
              </w:rPr>
            </w:pPr>
          </w:p>
        </w:tc>
      </w:tr>
      <w:tr>
        <w:trPr>
          <w:trHeight w:val="142"/>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65,218</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32,807</w:t>
            </w: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ind w:left="440"/>
              <w:spacing w:after="0" w:line="124"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10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353,314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335,402</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23,228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24,483</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15,924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17,472</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Capitalized software development costs, net</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11,324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15,429</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96,410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96,410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Intangible assets, net</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38,826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49,057</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58,823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76,910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Long-term investments</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77,033</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assets</w:t>
            </w:r>
          </w:p>
        </w:tc>
        <w:tc>
          <w:tcPr>
            <w:tcW w:w="10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14,085</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9,482</w:t>
            </w:r>
          </w:p>
        </w:tc>
        <w:tc>
          <w:tcPr>
            <w:tcW w:w="0" w:type="dxa"/>
            <w:vAlign w:val="bottom"/>
          </w:tcPr>
          <w:p>
            <w:pPr>
              <w:spacing w:after="0"/>
              <w:rPr>
                <w:sz w:val="1"/>
                <w:szCs w:val="1"/>
                <w:color w:val="auto"/>
              </w:rPr>
            </w:pPr>
          </w:p>
        </w:tc>
      </w:tr>
      <w:tr>
        <w:trPr>
          <w:trHeight w:val="149"/>
        </w:trPr>
        <w:tc>
          <w:tcPr>
            <w:tcW w:w="7980" w:type="dxa"/>
            <w:vAlign w:val="bottom"/>
            <w:tcBorders>
              <w:bottom w:val="single" w:sz="8" w:color="CCEEFF"/>
            </w:tcBorders>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102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688,967</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626,678</w:t>
            </w:r>
          </w:p>
        </w:tc>
        <w:tc>
          <w:tcPr>
            <w:tcW w:w="0" w:type="dxa"/>
            <w:vAlign w:val="bottom"/>
          </w:tcPr>
          <w:p>
            <w:pPr>
              <w:spacing w:after="0"/>
              <w:rPr>
                <w:sz w:val="1"/>
                <w:szCs w:val="1"/>
                <w:color w:val="auto"/>
              </w:rPr>
            </w:pPr>
          </w:p>
        </w:tc>
      </w:tr>
      <w:tr>
        <w:trPr>
          <w:trHeight w:val="126"/>
        </w:trPr>
        <w:tc>
          <w:tcPr>
            <w:tcW w:w="79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102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0" w:type="dxa"/>
            <w:vAlign w:val="bottom"/>
          </w:tcPr>
          <w:p>
            <w:pPr>
              <w:spacing w:after="0"/>
              <w:rPr>
                <w:sz w:val="1"/>
                <w:szCs w:val="1"/>
                <w:color w:val="auto"/>
              </w:rPr>
            </w:pPr>
          </w:p>
        </w:tc>
      </w:tr>
      <w:tr>
        <w:trPr>
          <w:trHeight w:val="142"/>
        </w:trPr>
        <w:tc>
          <w:tcPr>
            <w:tcW w:w="7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Accrued employee expenses</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59,774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30,157</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Accrued expenses</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20,829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0" w:type="dxa"/>
            <w:vAlign w:val="bottom"/>
          </w:tcPr>
          <w:p>
            <w:pPr>
              <w:spacing w:after="0"/>
              <w:rPr>
                <w:sz w:val="1"/>
                <w:szCs w:val="1"/>
                <w:color w:val="auto"/>
              </w:rPr>
            </w:pPr>
          </w:p>
        </w:tc>
      </w:tr>
      <w:tr>
        <w:trPr>
          <w:trHeight w:val="142"/>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22,121</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16,087</w:t>
            </w: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ind w:left="440"/>
              <w:spacing w:after="0" w:line="124"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0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106,847</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63,280</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33,287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37,476</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0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6,254</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6,632</w:t>
            </w:r>
          </w:p>
        </w:tc>
        <w:tc>
          <w:tcPr>
            <w:tcW w:w="0" w:type="dxa"/>
            <w:vAlign w:val="bottom"/>
          </w:tcPr>
          <w:p>
            <w:pPr>
              <w:spacing w:after="0"/>
              <w:rPr>
                <w:sz w:val="1"/>
                <w:szCs w:val="1"/>
                <w:color w:val="auto"/>
              </w:rPr>
            </w:pPr>
          </w:p>
        </w:tc>
      </w:tr>
      <w:tr>
        <w:trPr>
          <w:trHeight w:val="131"/>
        </w:trPr>
        <w:tc>
          <w:tcPr>
            <w:tcW w:w="7980" w:type="dxa"/>
            <w:vAlign w:val="bottom"/>
            <w:tcBorders>
              <w:bottom w:val="single" w:sz="8" w:color="CCEEFF"/>
            </w:tcBorders>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10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146,388</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107,388</w:t>
            </w:r>
          </w:p>
        </w:tc>
        <w:tc>
          <w:tcPr>
            <w:tcW w:w="0" w:type="dxa"/>
            <w:vAlign w:val="bottom"/>
          </w:tcPr>
          <w:p>
            <w:pPr>
              <w:spacing w:after="0"/>
              <w:rPr>
                <w:sz w:val="1"/>
                <w:szCs w:val="1"/>
                <w:color w:val="auto"/>
              </w:rPr>
            </w:pPr>
          </w:p>
        </w:tc>
      </w:tr>
      <w:tr>
        <w:trPr>
          <w:trHeight w:val="126"/>
        </w:trPr>
        <w:tc>
          <w:tcPr>
            <w:tcW w:w="79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Commitments and contingencies (Note 12)</w:t>
            </w:r>
          </w:p>
        </w:tc>
        <w:tc>
          <w:tcPr>
            <w:tcW w:w="10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Preferred stock, $0.0001 par value, 25,000 shares authorized and no shares issued and outstanding as of December 31, 2025 and December 31, 2024</w:t>
            </w:r>
          </w:p>
        </w:tc>
        <w:tc>
          <w:tcPr>
            <w:tcW w:w="10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79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Class A common stock, $0.0001 par value, 250,000 shares authorized as of December 31, 2025 and December 31, 2024; 25,443 and 23,660 shares issued as of December 31, 2025</w:t>
            </w:r>
          </w:p>
        </w:tc>
        <w:tc>
          <w:tcPr>
            <w:tcW w:w="10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and December 31, 2024, respectively; 24,335 and 23,241 shares outstanding as of December 31, 2025 and December 31, 2024, respectively</w:t>
            </w:r>
          </w:p>
        </w:tc>
        <w:tc>
          <w:tcPr>
            <w:tcW w:w="10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9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Class B common stock, $0.0001 par value, 50,000 shares authorized as of December 31, 2025 and December 31, 2024; 11,655 and 13,163 shares issued and outstanding as of</w:t>
            </w:r>
          </w:p>
        </w:tc>
        <w:tc>
          <w:tcPr>
            <w:tcW w:w="10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4"/>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31, 2025 and December 31, 2024, respectively</w:t>
            </w:r>
          </w:p>
        </w:tc>
        <w:tc>
          <w:tcPr>
            <w:tcW w:w="10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284,054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254,821</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other comprehensive (loss) Income</w:t>
            </w: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20"/>
                <w:szCs w:val="20"/>
                <w:color w:val="auto"/>
              </w:rPr>
            </w:pPr>
            <w:r>
              <w:rPr>
                <w:rFonts w:ascii="Times New Roman" w:cs="Times New Roman" w:eastAsia="Times New Roman" w:hAnsi="Times New Roman"/>
                <w:sz w:val="11"/>
                <w:szCs w:val="11"/>
                <w:color w:val="auto"/>
              </w:rPr>
              <w:t>Treasury stock, at cost, 1,108 and 419 shares of Class A common stock as of December 31, 2025 and December 31, 2024, respectively</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(172,480)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(25,756)</w:t>
            </w:r>
          </w:p>
        </w:tc>
        <w:tc>
          <w:tcPr>
            <w:tcW w:w="0" w:type="dxa"/>
            <w:vAlign w:val="bottom"/>
          </w:tcPr>
          <w:p>
            <w:pPr>
              <w:spacing w:after="0"/>
              <w:rPr>
                <w:sz w:val="1"/>
                <w:szCs w:val="1"/>
                <w:color w:val="auto"/>
              </w:rPr>
            </w:pPr>
          </w:p>
        </w:tc>
      </w:tr>
      <w:tr>
        <w:trPr>
          <w:trHeight w:val="14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Retained earnings</w:t>
            </w:r>
          </w:p>
        </w:tc>
        <w:tc>
          <w:tcPr>
            <w:tcW w:w="10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430,971</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290,048</w:t>
            </w:r>
          </w:p>
        </w:tc>
        <w:tc>
          <w:tcPr>
            <w:tcW w:w="0" w:type="dxa"/>
            <w:vAlign w:val="bottom"/>
          </w:tcPr>
          <w:p>
            <w:pPr>
              <w:spacing w:after="0"/>
              <w:rPr>
                <w:sz w:val="1"/>
                <w:szCs w:val="1"/>
                <w:color w:val="auto"/>
              </w:rPr>
            </w:pPr>
          </w:p>
        </w:tc>
      </w:tr>
      <w:tr>
        <w:trPr>
          <w:trHeight w:val="131"/>
        </w:trPr>
        <w:tc>
          <w:tcPr>
            <w:tcW w:w="7980" w:type="dxa"/>
            <w:vAlign w:val="bottom"/>
            <w:tcBorders>
              <w:bottom w:val="single" w:sz="8" w:color="CCEEFF"/>
            </w:tcBorders>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0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542,579</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519,290</w:t>
            </w:r>
          </w:p>
        </w:tc>
        <w:tc>
          <w:tcPr>
            <w:tcW w:w="0" w:type="dxa"/>
            <w:vAlign w:val="bottom"/>
          </w:tcPr>
          <w:p>
            <w:pPr>
              <w:spacing w:after="0"/>
              <w:rPr>
                <w:sz w:val="1"/>
                <w:szCs w:val="1"/>
                <w:color w:val="auto"/>
              </w:rPr>
            </w:pPr>
          </w:p>
        </w:tc>
      </w:tr>
      <w:tr>
        <w:trPr>
          <w:trHeight w:val="151"/>
        </w:trPr>
        <w:tc>
          <w:tcPr>
            <w:tcW w:w="7980" w:type="dxa"/>
            <w:vAlign w:val="bottom"/>
            <w:tcBorders>
              <w:bottom w:val="single" w:sz="8" w:color="CCEEFF"/>
            </w:tcBorders>
            <w:shd w:val="clear" w:color="auto" w:fill="CCEEFF"/>
          </w:tcPr>
          <w:p>
            <w:pPr>
              <w:ind w:left="440"/>
              <w:spacing w:after="0" w:line="124"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02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688,967</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626,678</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41" w:name="page42"/>
    <w:bookmarkEnd w:id="41"/>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128"/>
        </w:trPr>
        <w:tc>
          <w:tcPr>
            <w:tcW w:w="68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r>
      <w:tr>
        <w:trPr>
          <w:trHeight w:val="14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950,822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794,202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620,445</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Costs and operating expenses:</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Cost of revenue (exclusive of depreciation and amortization)</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345,341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282,067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238,076</w:t>
            </w:r>
          </w:p>
        </w:tc>
      </w:tr>
      <w:tr>
        <w:trPr>
          <w:trHeight w:val="153"/>
        </w:trPr>
        <w:tc>
          <w:tcPr>
            <w:tcW w:w="6880" w:type="dxa"/>
            <w:vAlign w:val="bottom"/>
          </w:tcPr>
          <w:p>
            <w:pPr>
              <w:ind w:left="220"/>
              <w:spacing w:after="0" w:line="153" w:lineRule="exact"/>
              <w:rPr>
                <w:sz w:val="20"/>
                <w:szCs w:val="20"/>
                <w:color w:val="auto"/>
              </w:rPr>
            </w:pPr>
            <w:r>
              <w:rPr>
                <w:rFonts w:ascii="Times New Roman" w:cs="Times New Roman" w:eastAsia="Times New Roman" w:hAnsi="Times New Roman"/>
                <w:sz w:val="12"/>
                <w:szCs w:val="12"/>
                <w:color w:val="auto"/>
              </w:rPr>
              <w:t>Sales and marketing</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143,904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110,597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107,602</w:t>
            </w:r>
          </w:p>
        </w:tc>
      </w:tr>
      <w:tr>
        <w:trPr>
          <w:trHeight w:val="153"/>
        </w:trPr>
        <w:tc>
          <w:tcPr>
            <w:tcW w:w="68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2"/>
                <w:szCs w:val="12"/>
                <w:color w:val="auto"/>
              </w:rPr>
              <w:t>Research and product development</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190,419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160,375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151,364</w:t>
            </w:r>
          </w:p>
        </w:tc>
      </w:tr>
      <w:tr>
        <w:trPr>
          <w:trHeight w:val="153"/>
        </w:trPr>
        <w:tc>
          <w:tcPr>
            <w:tcW w:w="6880" w:type="dxa"/>
            <w:vAlign w:val="bottom"/>
          </w:tcPr>
          <w:p>
            <w:pPr>
              <w:ind w:left="220"/>
              <w:spacing w:after="0" w:line="153" w:lineRule="exact"/>
              <w:rPr>
                <w:sz w:val="20"/>
                <w:szCs w:val="20"/>
                <w:color w:val="auto"/>
              </w:rPr>
            </w:pPr>
            <w:r>
              <w:rPr>
                <w:rFonts w:ascii="Times New Roman" w:cs="Times New Roman" w:eastAsia="Times New Roman" w:hAnsi="Times New Roman"/>
                <w:sz w:val="12"/>
                <w:szCs w:val="12"/>
                <w:color w:val="auto"/>
              </w:rPr>
              <w:t>General and administrative</w:t>
            </w:r>
            <w:r>
              <w:rPr>
                <w:rFonts w:ascii="Times New Roman" w:cs="Times New Roman" w:eastAsia="Times New Roman" w:hAnsi="Times New Roman"/>
                <w:sz w:val="15"/>
                <w:szCs w:val="15"/>
                <w:color w:val="auto"/>
                <w:vertAlign w:val="superscript"/>
              </w:rPr>
              <w:t>(1)</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95,590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85,974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93,452</w:t>
            </w:r>
          </w:p>
        </w:tc>
      </w:tr>
      <w:tr>
        <w:trPr>
          <w:trHeight w:val="153"/>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22,651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19,545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28,988</w:t>
            </w:r>
          </w:p>
        </w:tc>
      </w:tr>
      <w:tr>
        <w:trPr>
          <w:trHeight w:val="142"/>
        </w:trPr>
        <w:tc>
          <w:tcPr>
            <w:tcW w:w="6880" w:type="dxa"/>
            <w:vAlign w:val="bottom"/>
            <w:tcBorders>
              <w:bottom w:val="single" w:sz="8" w:color="CCEEFF"/>
            </w:tcBorders>
          </w:tcPr>
          <w:p>
            <w:pPr>
              <w:ind w:left="440"/>
              <w:spacing w:after="0" w:line="135" w:lineRule="exact"/>
              <w:rPr>
                <w:sz w:val="20"/>
                <w:szCs w:val="20"/>
                <w:color w:val="auto"/>
              </w:rPr>
            </w:pPr>
            <w:r>
              <w:rPr>
                <w:rFonts w:ascii="Times New Roman" w:cs="Times New Roman" w:eastAsia="Times New Roman" w:hAnsi="Times New Roman"/>
                <w:sz w:val="12"/>
                <w:szCs w:val="12"/>
                <w:color w:val="auto"/>
              </w:rPr>
              <w:t>Total costs and operating expenses</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797,905</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658,558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619,482</w:t>
            </w:r>
          </w:p>
        </w:tc>
      </w:tr>
      <w:tr>
        <w:trPr>
          <w:trHeight w:val="142"/>
        </w:trPr>
        <w:tc>
          <w:tcPr>
            <w:tcW w:w="68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from operations</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152,917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135,644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963</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net</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8,157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13,981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7,031</w:t>
            </w:r>
          </w:p>
        </w:tc>
      </w:tr>
      <w:tr>
        <w:trPr>
          <w:trHeight w:val="142"/>
        </w:trPr>
        <w:tc>
          <w:tcPr>
            <w:tcW w:w="6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Income before provision for income taxes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161,112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150,322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7,997</w:t>
            </w:r>
          </w:p>
        </w:tc>
      </w:tr>
      <w:tr>
        <w:trPr>
          <w:trHeight w:val="15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20,189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(53,746)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5,295</w:t>
            </w:r>
          </w:p>
        </w:tc>
      </w:tr>
      <w:tr>
        <w:trPr>
          <w:trHeight w:val="158"/>
        </w:trPr>
        <w:tc>
          <w:tcPr>
            <w:tcW w:w="68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140,923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204,068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2,702</w:t>
            </w:r>
          </w:p>
        </w:tc>
      </w:tr>
      <w:tr>
        <w:trPr>
          <w:trHeight w:val="135"/>
        </w:trPr>
        <w:tc>
          <w:tcPr>
            <w:tcW w:w="68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per common share:</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880" w:type="dxa"/>
            <w:vAlign w:val="bottom"/>
            <w:gridSpan w:val="2"/>
          </w:tcPr>
          <w:p>
            <w:pPr>
              <w:jc w:val="right"/>
              <w:ind w:right="70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3.91</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5.63</w:t>
            </w:r>
          </w:p>
        </w:tc>
        <w:tc>
          <w:tcPr>
            <w:tcW w:w="380" w:type="dxa"/>
            <w:vAlign w:val="bottom"/>
            <w:gridSpan w:val="3"/>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880" w:type="dxa"/>
            <w:vAlign w:val="bottom"/>
            <w:gridSpan w:val="2"/>
            <w:shd w:val="clear" w:color="auto" w:fill="CCEEFF"/>
          </w:tcPr>
          <w:p>
            <w:pPr>
              <w:jc w:val="right"/>
              <w:ind w:right="70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5.55</w:t>
            </w:r>
          </w:p>
        </w:tc>
        <w:tc>
          <w:tcPr>
            <w:tcW w:w="38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0.07</w:t>
            </w:r>
          </w:p>
        </w:tc>
      </w:tr>
      <w:tr>
        <w:trPr>
          <w:trHeight w:val="153"/>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36,013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36,252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35,629</w:t>
            </w:r>
          </w:p>
        </w:tc>
      </w:tr>
      <w:tr>
        <w:trPr>
          <w:trHeight w:val="155"/>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36,327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36,782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36,417</w:t>
            </w:r>
          </w:p>
        </w:tc>
      </w:tr>
      <w:tr>
        <w:trPr>
          <w:trHeight w:val="313"/>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Includes stock-based compensation expense as follows:</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6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68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r>
      <w:tr>
        <w:trPr>
          <w:trHeight w:val="138"/>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 expense included in costs and operating expenses: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(exclusive of depreciation and amortization)</w:t>
            </w:r>
          </w:p>
        </w:tc>
        <w:tc>
          <w:tcPr>
            <w:tcW w:w="880" w:type="dxa"/>
            <w:vAlign w:val="bottom"/>
            <w:gridSpan w:val="2"/>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5,138</w:t>
            </w:r>
          </w:p>
        </w:tc>
        <w:tc>
          <w:tcPr>
            <w:tcW w:w="60" w:type="dxa"/>
            <w:vAlign w:val="bottom"/>
          </w:tcPr>
          <w:p>
            <w:pPr>
              <w:spacing w:after="0"/>
              <w:rPr>
                <w:sz w:val="13"/>
                <w:szCs w:val="13"/>
                <w:color w:val="auto"/>
              </w:rPr>
            </w:pPr>
          </w:p>
        </w:tc>
        <w:tc>
          <w:tcPr>
            <w:tcW w:w="180" w:type="dxa"/>
            <w:vAlign w:val="bottom"/>
            <w:gridSpan w:val="3"/>
          </w:tcPr>
          <w:p>
            <w:pPr>
              <w:jc w:val="right"/>
              <w:ind w:right="24"/>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4,522</w:t>
            </w:r>
          </w:p>
        </w:tc>
        <w:tc>
          <w:tcPr>
            <w:tcW w:w="40" w:type="dxa"/>
            <w:vAlign w:val="bottom"/>
          </w:tcPr>
          <w:p>
            <w:pPr>
              <w:spacing w:after="0"/>
              <w:rPr>
                <w:sz w:val="13"/>
                <w:szCs w:val="13"/>
                <w:color w:val="auto"/>
              </w:rPr>
            </w:pPr>
          </w:p>
        </w:tc>
        <w:tc>
          <w:tcPr>
            <w:tcW w:w="380" w:type="dxa"/>
            <w:vAlign w:val="bottom"/>
            <w:gridSpan w:val="3"/>
          </w:tcPr>
          <w:p>
            <w:pPr>
              <w:jc w:val="right"/>
              <w:ind w:right="22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3,703</w:t>
            </w: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Sales and marketing</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8,030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5,983</w:t>
            </w:r>
          </w:p>
        </w:tc>
        <w:tc>
          <w:tcPr>
            <w:tcW w:w="80" w:type="dxa"/>
            <w:vAlign w:val="bottom"/>
          </w:tcPr>
          <w:p>
            <w:pPr>
              <w:spacing w:after="0"/>
              <w:rPr>
                <w:sz w:val="13"/>
                <w:szCs w:val="13"/>
                <w:color w:val="auto"/>
              </w:rPr>
            </w:pPr>
          </w:p>
        </w:tc>
      </w:tr>
      <w:tr>
        <w:trPr>
          <w:trHeight w:val="153"/>
        </w:trPr>
        <w:tc>
          <w:tcPr>
            <w:tcW w:w="6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25,414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20,974</w:t>
            </w:r>
          </w:p>
        </w:tc>
        <w:tc>
          <w:tcPr>
            <w:tcW w:w="80" w:type="dxa"/>
            <w:vAlign w:val="bottom"/>
          </w:tcPr>
          <w:p>
            <w:pPr>
              <w:spacing w:after="0"/>
              <w:rPr>
                <w:sz w:val="13"/>
                <w:szCs w:val="13"/>
                <w:color w:val="auto"/>
              </w:rPr>
            </w:pPr>
          </w:p>
        </w:tc>
      </w:tr>
      <w:tr>
        <w:trPr>
          <w:trHeight w:val="153"/>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22,633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22,361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21,704</w:t>
            </w:r>
          </w:p>
        </w:tc>
        <w:tc>
          <w:tcPr>
            <w:tcW w:w="80" w:type="dxa"/>
            <w:vAlign w:val="bottom"/>
          </w:tcPr>
          <w:p>
            <w:pPr>
              <w:spacing w:after="0"/>
              <w:rPr>
                <w:sz w:val="13"/>
                <w:szCs w:val="13"/>
                <w:color w:val="auto"/>
              </w:rPr>
            </w:pPr>
          </w:p>
        </w:tc>
      </w:tr>
      <w:tr>
        <w:trPr>
          <w:trHeight w:val="142"/>
        </w:trPr>
        <w:tc>
          <w:tcPr>
            <w:tcW w:w="6880" w:type="dxa"/>
            <w:vAlign w:val="bottom"/>
          </w:tcPr>
          <w:p>
            <w:pPr>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88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70,790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60,327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52,364</w:t>
            </w:r>
          </w:p>
        </w:tc>
        <w:tc>
          <w:tcPr>
            <w:tcW w:w="80" w:type="dxa"/>
            <w:vAlign w:val="bottom"/>
          </w:tcPr>
          <w:p>
            <w:pPr>
              <w:spacing w:after="0"/>
              <w:rPr>
                <w:sz w:val="12"/>
                <w:szCs w:val="12"/>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854" w:right="5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(LOSS)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28"/>
        </w:trPr>
        <w:tc>
          <w:tcPr>
            <w:tcW w:w="69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82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204,068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2,702</w:t>
            </w: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Changes in unrealized losses on investment securities, net of tax</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1,783</w:t>
            </w:r>
          </w:p>
        </w:tc>
      </w:tr>
      <w:tr>
        <w:trPr>
          <w:trHeight w:val="142"/>
        </w:trPr>
        <w:tc>
          <w:tcPr>
            <w:tcW w:w="6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income</w:t>
            </w:r>
          </w:p>
        </w:tc>
        <w:tc>
          <w:tcPr>
            <w:tcW w:w="82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140,780</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color w:val="auto"/>
              </w:rPr>
              <w:t>204,142</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4,485</w:t>
            </w: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400" w:top="1052" w:right="4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STOCKHOLDERS' EQUITY</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p>
      <w:pPr>
        <w:sectPr>
          <w:pgSz w:w="11900" w:h="16838" w:orient="portrait"/>
          <w:cols w:equalWidth="0" w:num="1">
            <w:col w:w="11260"/>
          </w:cols>
          <w:pgMar w:left="320" w:top="854" w:right="319"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720" w:type="dxa"/>
            <w:vAlign w:val="bottom"/>
          </w:tcPr>
          <w:p>
            <w:pPr>
              <w:spacing w:after="0"/>
              <w:rPr>
                <w:sz w:val="10"/>
                <w:szCs w:val="10"/>
                <w:color w:val="auto"/>
              </w:rPr>
            </w:pP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2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0"/>
                <w:szCs w:val="10"/>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20,569</w:t>
            </w: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14,746</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Issuance of restricted stock awards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31,2023</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21,749</w:t>
            </w: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14,116</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23,241</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13,163</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72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Exercise of stock options and issuance of common stock under the</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Employee Stock Purchase Plan</w:t>
            </w: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0"/>
                <w:szCs w:val="1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Vesting of restricted stock units, net of shares withheld for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 common stock to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Repurchase of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Other comprehensive loss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2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2"/>
                <w:szCs w:val="1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24,335</w:t>
            </w: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11,655</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-1982470</wp:posOffset>
            </wp:positionV>
            <wp:extent cx="7149465"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-1811020</wp:posOffset>
            </wp:positionV>
            <wp:extent cx="7149465"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-1639570</wp:posOffset>
            </wp:positionV>
            <wp:extent cx="7149465"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-1290955</wp:posOffset>
            </wp:positionV>
            <wp:extent cx="7149465"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-1119505</wp:posOffset>
            </wp:positionV>
            <wp:extent cx="7149465"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-948055</wp:posOffset>
            </wp:positionV>
            <wp:extent cx="7149465"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-770890</wp:posOffset>
            </wp:positionV>
            <wp:extent cx="7149465"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-542290</wp:posOffset>
            </wp:positionV>
            <wp:extent cx="7149465"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714946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149465"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-1468120</wp:posOffset>
            </wp:positionV>
            <wp:extent cx="7149465"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-2159635</wp:posOffset>
            </wp:positionV>
            <wp:extent cx="7149465" cy="91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w w:val="92"/>
              </w:rPr>
              <w:t>Additional</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20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(Loss) Income</w:t>
            </w:r>
          </w:p>
        </w:tc>
        <w:tc>
          <w:tcPr>
            <w:tcW w:w="140" w:type="dxa"/>
            <w:vAlign w:val="bottom"/>
          </w:tcPr>
          <w:p>
            <w:pPr>
              <w:spacing w:after="0"/>
              <w:rPr>
                <w:sz w:val="12"/>
                <w:szCs w:val="12"/>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2"/>
                <w:szCs w:val="12"/>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20" w:type="dxa"/>
            <w:vAlign w:val="bottom"/>
          </w:tcPr>
          <w:p>
            <w:pPr>
              <w:spacing w:after="0"/>
              <w:rPr>
                <w:sz w:val="12"/>
                <w:szCs w:val="12"/>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209,704</w:t>
            </w: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83,278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265,546</w:t>
            </w:r>
          </w:p>
        </w:tc>
        <w:tc>
          <w:tcPr>
            <w:tcW w:w="0" w:type="dxa"/>
            <w:vAlign w:val="bottom"/>
          </w:tcPr>
          <w:p>
            <w:pPr>
              <w:spacing w:after="0"/>
              <w:rPr>
                <w:sz w:val="1"/>
                <w:szCs w:val="1"/>
                <w:color w:val="auto"/>
              </w:rPr>
            </w:pPr>
          </w:p>
        </w:tc>
      </w:tr>
      <w:tr>
        <w:trPr>
          <w:trHeight w:val="13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2,595</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2,595</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53,240</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53,240</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(28,554)</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(28,554)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1,783</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2,702</w:t>
            </w:r>
          </w:p>
        </w:tc>
        <w:tc>
          <w:tcPr>
            <w:tcW w:w="0" w:type="dxa"/>
            <w:vAlign w:val="bottom"/>
          </w:tcPr>
          <w:p>
            <w:pPr>
              <w:spacing w:after="0"/>
              <w:rPr>
                <w:sz w:val="1"/>
                <w:szCs w:val="1"/>
                <w:color w:val="auto"/>
              </w:rPr>
            </w:pPr>
          </w:p>
        </w:tc>
      </w:tr>
      <w:tr>
        <w:trPr>
          <w:trHeight w:val="123"/>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236,985</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85,980</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297,312</w:t>
            </w:r>
          </w:p>
        </w:tc>
        <w:tc>
          <w:tcPr>
            <w:tcW w:w="0" w:type="dxa"/>
            <w:vAlign w:val="bottom"/>
          </w:tcPr>
          <w:p>
            <w:pPr>
              <w:spacing w:after="0"/>
              <w:rPr>
                <w:sz w:val="1"/>
                <w:szCs w:val="1"/>
                <w:color w:val="auto"/>
              </w:rPr>
            </w:pPr>
          </w:p>
        </w:tc>
      </w:tr>
      <w:tr>
        <w:trPr>
          <w:trHeight w:val="13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3,924</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61,239</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61,239</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(47,327)</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(47,327)</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204,068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204,068</w:t>
            </w:r>
          </w:p>
        </w:tc>
        <w:tc>
          <w:tcPr>
            <w:tcW w:w="0" w:type="dxa"/>
            <w:vAlign w:val="bottom"/>
          </w:tcPr>
          <w:p>
            <w:pPr>
              <w:spacing w:after="0"/>
              <w:rPr>
                <w:sz w:val="1"/>
                <w:szCs w:val="1"/>
                <w:color w:val="auto"/>
              </w:rPr>
            </w:pPr>
          </w:p>
        </w:tc>
      </w:tr>
      <w:tr>
        <w:trPr>
          <w:trHeight w:val="123"/>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254,821</w:t>
            </w:r>
          </w:p>
        </w:tc>
        <w:tc>
          <w:tcPr>
            <w:tcW w:w="1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(25,756)</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290,048</w:t>
            </w:r>
          </w:p>
        </w:tc>
        <w:tc>
          <w:tcPr>
            <w:tcW w:w="80" w:type="dxa"/>
            <w:vAlign w:val="bottom"/>
          </w:tcPr>
          <w:p>
            <w:pPr>
              <w:spacing w:after="0"/>
              <w:rPr>
                <w:sz w:val="10"/>
                <w:szCs w:val="10"/>
                <w:color w:val="auto"/>
              </w:rPr>
            </w:pPr>
          </w:p>
        </w:tc>
        <w:tc>
          <w:tcPr>
            <w:tcW w:w="2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519,290</w:t>
            </w:r>
          </w:p>
        </w:tc>
        <w:tc>
          <w:tcPr>
            <w:tcW w:w="0" w:type="dxa"/>
            <w:vAlign w:val="bottom"/>
          </w:tcPr>
          <w:p>
            <w:pPr>
              <w:spacing w:after="0"/>
              <w:rPr>
                <w:sz w:val="1"/>
                <w:szCs w:val="1"/>
                <w:color w:val="auto"/>
              </w:rPr>
            </w:pPr>
          </w:p>
        </w:tc>
      </w:tr>
      <w:tr>
        <w:trPr>
          <w:trHeight w:val="220"/>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9"/>
                <w:szCs w:val="19"/>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71,397</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71,397</w:t>
            </w:r>
          </w:p>
        </w:tc>
        <w:tc>
          <w:tcPr>
            <w:tcW w:w="0" w:type="dxa"/>
            <w:vAlign w:val="bottom"/>
          </w:tcPr>
          <w:p>
            <w:pPr>
              <w:spacing w:after="0"/>
              <w:rPr>
                <w:sz w:val="1"/>
                <w:szCs w:val="1"/>
                <w:color w:val="auto"/>
              </w:rPr>
            </w:pPr>
          </w:p>
        </w:tc>
      </w:tr>
      <w:tr>
        <w:trPr>
          <w:trHeight w:val="135"/>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(43,248)</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(43,248)</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(146,724)</w:t>
            </w:r>
          </w:p>
        </w:tc>
        <w:tc>
          <w:tcPr>
            <w:tcW w:w="0" w:type="dxa"/>
            <w:vAlign w:val="bottom"/>
          </w:tcPr>
          <w:p>
            <w:pPr>
              <w:spacing w:after="0"/>
              <w:rPr>
                <w:sz w:val="1"/>
                <w:szCs w:val="1"/>
                <w:color w:val="auto"/>
              </w:rPr>
            </w:pPr>
          </w:p>
        </w:tc>
      </w:tr>
      <w:tr>
        <w:trPr>
          <w:trHeight w:val="135"/>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0" w:type="dxa"/>
            <w:vAlign w:val="bottom"/>
          </w:tcPr>
          <w:p>
            <w:pPr>
              <w:spacing w:after="0"/>
              <w:rPr>
                <w:sz w:val="1"/>
                <w:szCs w:val="1"/>
                <w:color w:val="auto"/>
              </w:rPr>
            </w:pPr>
          </w:p>
        </w:tc>
      </w:tr>
      <w:tr>
        <w:trPr>
          <w:trHeight w:val="141"/>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140,923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140,923</w:t>
            </w:r>
          </w:p>
        </w:tc>
        <w:tc>
          <w:tcPr>
            <w:tcW w:w="0" w:type="dxa"/>
            <w:vAlign w:val="bottom"/>
          </w:tcPr>
          <w:p>
            <w:pPr>
              <w:spacing w:after="0"/>
              <w:rPr>
                <w:sz w:val="1"/>
                <w:szCs w:val="1"/>
                <w:color w:val="auto"/>
              </w:rPr>
            </w:pPr>
          </w:p>
        </w:tc>
      </w:tr>
      <w:tr>
        <w:trPr>
          <w:trHeight w:val="129"/>
        </w:trPr>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284,054</w:t>
            </w: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(172,480)</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430,971</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542,579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-22225</wp:posOffset>
            </wp:positionV>
            <wp:extent cx="5772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-5080</wp:posOffset>
            </wp:positionV>
            <wp:extent cx="5772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-113665</wp:posOffset>
            </wp:positionV>
            <wp:extent cx="5772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-862330</wp:posOffset>
            </wp:positionV>
            <wp:extent cx="5772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215" cy="571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-2251075</wp:posOffset>
            </wp:positionV>
            <wp:extent cx="5772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215" cy="571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5940" w:space="180"/>
            <w:col w:w="5140"/>
          </w:cols>
          <w:pgMar w:left="320" w:top="854"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854" w:right="319" w:bottom="1440" w:gutter="0" w:footer="0" w:header="0"/>
          <w:type w:val="continuous"/>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APPFOLIO, INC.</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34"/>
        </w:trPr>
        <w:tc>
          <w:tcPr>
            <w:tcW w:w="72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25"/>
        </w:trPr>
        <w:tc>
          <w:tcPr>
            <w:tcW w:w="72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from operating activities</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140,923</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204,068</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22,651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28,989</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operating lease right-of-use assets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costs capitalized to obtain revenue contracts, net</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9,515</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Gain on lease modification</w:t>
            </w:r>
          </w:p>
        </w:tc>
        <w:tc>
          <w:tcPr>
            <w:tcW w:w="8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(4,281)</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Deferred income taxes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18,139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Stock-based compensation, including as amortized</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70,790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52,363</w:t>
            </w:r>
          </w:p>
        </w:tc>
      </w:tr>
      <w:tr>
        <w:trPr>
          <w:trHeight w:val="142"/>
        </w:trPr>
        <w:tc>
          <w:tcPr>
            <w:tcW w:w="72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(3,108)</w:t>
            </w:r>
          </w:p>
        </w:tc>
      </w:tr>
      <w:tr>
        <w:trPr>
          <w:trHeight w:val="146"/>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2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Accounts receivable</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(4,206)</w:t>
            </w:r>
          </w:p>
        </w:tc>
      </w:tr>
      <w:tr>
        <w:trPr>
          <w:trHeight w:val="1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(23,008)</w:t>
            </w:r>
          </w:p>
        </w:tc>
      </w:tr>
      <w:tr>
        <w:trPr>
          <w:trHeight w:val="142"/>
        </w:trPr>
        <w:tc>
          <w:tcPr>
            <w:tcW w:w="720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Accounts payable</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w:t>
            </w:r>
          </w:p>
        </w:tc>
      </w:tr>
      <w:tr>
        <w:trPr>
          <w:trHeight w:val="146"/>
        </w:trPr>
        <w:tc>
          <w:tcPr>
            <w:tcW w:w="7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(2,504)</w:t>
            </w:r>
          </w:p>
        </w:tc>
      </w:tr>
      <w:tr>
        <w:trPr>
          <w:trHeight w:val="142"/>
        </w:trPr>
        <w:tc>
          <w:tcPr>
            <w:tcW w:w="7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(11,812)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3,744</w:t>
            </w:r>
          </w:p>
        </w:tc>
      </w:tr>
      <w:tr>
        <w:trPr>
          <w:trHeight w:val="135"/>
        </w:trPr>
        <w:tc>
          <w:tcPr>
            <w:tcW w:w="7200" w:type="dxa"/>
            <w:vAlign w:val="bottom"/>
            <w:shd w:val="clear" w:color="auto" w:fill="CCEEFF"/>
          </w:tcPr>
          <w:p>
            <w:pPr>
              <w:ind w:left="740"/>
              <w:spacing w:after="0" w:line="122"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242,105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188,159</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60,283</w:t>
            </w:r>
          </w:p>
        </w:tc>
      </w:tr>
      <w:tr>
        <w:trPr>
          <w:trHeight w:val="143"/>
        </w:trPr>
        <w:tc>
          <w:tcPr>
            <w:tcW w:w="7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from investing activities</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Purchases of available-for-sale investments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(228,887)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(317,173)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(195,740)</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sales of available-for-sale investments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202,662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maturities of available-for-sale investments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152,382</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(9,041)</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Capitalization of software development costs</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(4,825)</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Purchases of long-term investments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in business acquisition, net of cash acquired</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7200" w:type="dxa"/>
            <w:vAlign w:val="bottom"/>
            <w:tcBorders>
              <w:bottom w:val="single" w:sz="8" w:color="CCEEFF"/>
            </w:tcBorders>
          </w:tcPr>
          <w:p>
            <w:pPr>
              <w:ind w:left="740"/>
              <w:spacing w:after="0" w:line="121" w:lineRule="exact"/>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10,244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(151,761)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(55,582)</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Cash from financing activities</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stock option exercises</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Tax withholding for net share settlement</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(43,248)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(28,556)</w:t>
            </w: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the issuance of common stock under the employee stock purchase plan</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of common stock</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(145,723)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7200" w:type="dxa"/>
            <w:vAlign w:val="bottom"/>
            <w:tcBorders>
              <w:bottom w:val="single" w:sz="8" w:color="CCEEFF"/>
            </w:tcBorders>
          </w:tcPr>
          <w:p>
            <w:pPr>
              <w:ind w:left="74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(187,886)</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(43,403)</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(25,961)</w:t>
            </w:r>
          </w:p>
        </w:tc>
      </w:tr>
      <w:tr>
        <w:trPr>
          <w:trHeight w:val="135"/>
        </w:trPr>
        <w:tc>
          <w:tcPr>
            <w:tcW w:w="7200" w:type="dxa"/>
            <w:vAlign w:val="bottom"/>
            <w:shd w:val="clear" w:color="auto" w:fill="CCEEFF"/>
          </w:tcPr>
          <w:p>
            <w:pPr>
              <w:ind w:left="740"/>
              <w:spacing w:after="0" w:line="122" w:lineRule="exact"/>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64,463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(21,260)</w:t>
            </w:r>
          </w:p>
        </w:tc>
      </w:tr>
      <w:tr>
        <w:trPr>
          <w:trHeight w:val="143"/>
        </w:trPr>
        <w:tc>
          <w:tcPr>
            <w:tcW w:w="7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Beginning of period</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42,754</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49,759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71,019</w:t>
            </w:r>
          </w:p>
        </w:tc>
      </w:tr>
      <w:tr>
        <w:trPr>
          <w:trHeight w:val="131"/>
        </w:trPr>
        <w:tc>
          <w:tcPr>
            <w:tcW w:w="72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End of period</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107,217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42,754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49,759</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106,967</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42,504</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49,509</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 included in prepaid expenses and other current assets</w:t>
            </w:r>
          </w:p>
        </w:tc>
        <w:tc>
          <w:tcPr>
            <w:tcW w:w="8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131"/>
        </w:trPr>
        <w:tc>
          <w:tcPr>
            <w:tcW w:w="72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cash, cash equivalents and restricted cash shown in the consolidated statements of cash flows</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107,217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42,754</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49,759</w:t>
            </w:r>
          </w:p>
        </w:tc>
      </w:tr>
      <w:tr>
        <w:trPr>
          <w:trHeight w:val="126"/>
        </w:trPr>
        <w:tc>
          <w:tcPr>
            <w:tcW w:w="7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2"/>
        </w:trPr>
        <w:tc>
          <w:tcPr>
            <w:tcW w:w="720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28,840</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8,086</w:t>
            </w:r>
          </w:p>
        </w:tc>
      </w:tr>
      <w:tr>
        <w:trPr>
          <w:trHeight w:val="14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for amounts included in the measurement of lease liabilities included in operating cash flows</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r>
    </w:tbl>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to the Consolidated Financial Statements are an integral part of these statements.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2" w:right="2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2"/>
          <w:szCs w:val="12"/>
          <w:b w:val="1"/>
          <w:bCs w:val="1"/>
          <w:color w:val="auto"/>
        </w:rPr>
        <w:t>APPFOLIO,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AUDITED FINANCIAL STATEMENTS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Nature of Business</w:t>
      </w:r>
    </w:p>
    <w:p>
      <w:pPr>
        <w:spacing w:after="0" w:line="8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AppFolio, Inc. ("we," "us" or "our") is a technology leader powering the future of real estate.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pacing w:after="0" w:line="107" w:lineRule="exact"/>
        <w:rPr>
          <w:sz w:val="20"/>
          <w:szCs w:val="20"/>
          <w:color w:val="auto"/>
        </w:rPr>
      </w:pPr>
    </w:p>
    <w:p>
      <w:pPr>
        <w:ind w:left="420" w:right="8900" w:hanging="398"/>
        <w:spacing w:after="0" w:line="379" w:lineRule="auto"/>
        <w:tabs>
          <w:tab w:leader="none" w:pos="13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Summary of Significant Accounting Policies </w:t>
      </w:r>
      <w:r>
        <w:rPr>
          <w:rFonts w:ascii="Times New Roman" w:cs="Times New Roman" w:eastAsia="Times New Roman" w:hAnsi="Times New Roman"/>
          <w:sz w:val="12"/>
          <w:szCs w:val="12"/>
          <w:b w:val="1"/>
          <w:bCs w:val="1"/>
          <w:i w:val="1"/>
          <w:iCs w:val="1"/>
          <w:color w:val="auto"/>
        </w:rPr>
        <w:t>Basis of Presentation</w:t>
      </w: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accompanying Consolidated Financial Statements were prepared in accordance with accounting principles generally accepted in the United States of America (“GAAP”).</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Reclassification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reclassified certain amounts in our Consolidated Statements of Cash Flows within the cash flows from operating activities section in the prior year to conform to the current year's presentation. We also reclassified long-term investments from other long-term assets in our Consolidated Balance Sheets in the prior year to conform to the current year's presentation.</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accompanying Consolidated Financial Statements include the operations of AppFolio, Inc. and its wholly-owned subsidiaries. All intercompany balances and transactions have been eliminated in consolidation.</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the fair value of financial instruments, useful lives of property and equipment and intangible assets, capitalized software development costs, incremental borrowing rate applied in lease accounting, impairment of goodwill and long-lived assets, the period of benefit associated with deferred costs, stock-based compensation, income taxes, and contingencies. Actual results could differ from those estimates and any such differences may have a material impact on our Consolidated Financial Statements.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Segment Information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years ended December 31, 2025, 2024 and 2023, refer to our Consolidated Statements of Operations. Stock-based compensation expense is also recognized as a significant segment expense. Details regarding this expense for the years ended December 31, 2025, 2024 and 2023 was included in the parenthetical note to the respective Consolidated Statements of Operations.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Concentrations of Credit Risk</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subject us to credit risk consist principally of cash, cash equivalents, restricted cash, accounts receivable, and investment securities.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Concentrations of credit risk with respect to accounts receivable and revenue are limited due to a large, diverse customer base. As of December 31, 2025, (i) no individual customer exceeded 10% of our total revenues in any of the periods presented, and (ii) 22% of our accounts receivable balance was attributable to amounts due from a risk mitigation provider. For purposes of assessing concentration of credit risk and significant customers, a group of residents that are receiving services from a third party that controls and transfers the specified services are regarded as one single customer.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6" w:name="page47"/>
    <w:bookmarkEnd w:id="46"/>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results of a business acquired in a business combination are included in our Consolidated Financial Statements from the date of acquisition. We allocate the purchase price to the identifiable assets and liabilities of the acquired business at their acquisition date fair values. The excess of the purchase price over the amount allocated to the identifiable assets and liabilities, if any, is recorded as goodwill.</w:t>
      </w:r>
    </w:p>
    <w:p>
      <w:pPr>
        <w:spacing w:after="0" w:line="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Determining the fair value of assets acquired and liabilities assumed requires management to make significant judgments and estimates, including the selection of valuation methodologies and assumptions. Critical estimates used in valuing certain intangible assets include, but are not limited to, development costs, the time required to recreate the assets and profit margin a market participant would receive, and rate of return. These estimates are based on information obtained from the management of the acquired companies, our assessment of the information, and historical experience. Our estimates of fair value are based upon assumptions believed to be reasonable, but which are inherently uncertain and unpredictable and, as a result, actual results may differ from estimates. During the measurement period of up to one year from the acquisition date, we may record adjustments to the preliminary fair value of the assets acquired and liabilities assumed with a corresponding offset to goodwill for these business combinations.</w:t>
      </w:r>
    </w:p>
    <w:p>
      <w:pPr>
        <w:spacing w:after="0" w:line="53" w:lineRule="exact"/>
        <w:rPr>
          <w:sz w:val="20"/>
          <w:szCs w:val="20"/>
          <w:color w:val="auto"/>
        </w:rPr>
      </w:pPr>
    </w:p>
    <w:p>
      <w:pPr>
        <w:ind w:left="420" w:right="1780"/>
        <w:spacing w:after="0" w:line="375" w:lineRule="auto"/>
        <w:rPr>
          <w:sz w:val="20"/>
          <w:szCs w:val="20"/>
          <w:color w:val="auto"/>
        </w:rPr>
      </w:pPr>
      <w:r>
        <w:rPr>
          <w:rFonts w:ascii="Times New Roman" w:cs="Times New Roman" w:eastAsia="Times New Roman" w:hAnsi="Times New Roman"/>
          <w:sz w:val="12"/>
          <w:szCs w:val="12"/>
          <w:color w:val="auto"/>
        </w:rPr>
        <w:t xml:space="preserve">Acquisition-related transaction costs are not included as a component of consideration transferred, but are accounted for as an operating expense in the period in which the costs are incurred. </w:t>
      </w:r>
      <w:r>
        <w:rPr>
          <w:rFonts w:ascii="Times New Roman" w:cs="Times New Roman" w:eastAsia="Times New Roman" w:hAnsi="Times New Roman"/>
          <w:sz w:val="12"/>
          <w:szCs w:val="12"/>
          <w:b w:val="1"/>
          <w:bCs w:val="1"/>
          <w:i w:val="1"/>
          <w:iCs w:val="1"/>
          <w:color w:val="auto"/>
        </w:rPr>
        <w:t>Fair Value Measurements</w:t>
      </w:r>
    </w:p>
    <w:p>
      <w:pPr>
        <w:spacing w:after="0" w:line="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We use a fair value hierarchy based on three levels of inputs, of which the first two are considered observable and the last unobservable, that may be used to measure fair value, which are the following:</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1 </w:t>
      </w:r>
      <w:r>
        <w:rPr>
          <w:rFonts w:ascii="Times New Roman" w:cs="Times New Roman" w:eastAsia="Times New Roman" w:hAnsi="Times New Roman"/>
          <w:sz w:val="12"/>
          <w:szCs w:val="12"/>
          <w:color w:val="auto"/>
        </w:rPr>
        <w:t>- Quoted prices in active markets for identical assets or liabilities.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2 </w:t>
      </w:r>
      <w:r>
        <w:rPr>
          <w:rFonts w:ascii="Times New Roman" w:cs="Times New Roman" w:eastAsia="Times New Roman" w:hAnsi="Times New Roman"/>
          <w:sz w:val="12"/>
          <w:szCs w:val="12"/>
          <w:color w:val="auto"/>
        </w:rPr>
        <w:t>- Inputs other than Level 1 that are observable, either directly or indirectly, in the marketplace.</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 xml:space="preserve">Level 3 </w:t>
      </w:r>
      <w:r>
        <w:rPr>
          <w:rFonts w:ascii="Times New Roman" w:cs="Times New Roman" w:eastAsia="Times New Roman" w:hAnsi="Times New Roman"/>
          <w:sz w:val="12"/>
          <w:szCs w:val="12"/>
          <w:color w:val="auto"/>
        </w:rPr>
        <w:t>- Unobservable inputs that are supported by little or no market activity.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Investment Securities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investment securities currently consist of United States government and agency securities. We classify investment securities as available-for-sale at the time of purchase and reevaluate such classification at each balance sheet date. All investments are recorded at estimated fair value and investments with original maturities of less than one year at the time of purchase are classified as short-term. Unrealized gains and losses for available-for-sale investment securities are included in accumulated other comprehensive income, a component of stockholders' equity.</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2025 and 2024.</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Strategic Investments</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Our strategic investments consist of non-marketable equity investments in privately-held companies in which we do not have a controlling interest or significant influence. We record these strategic investments as </w:t>
      </w:r>
      <w:r>
        <w:rPr>
          <w:rFonts w:ascii="Times New Roman" w:cs="Times New Roman" w:eastAsia="Times New Roman" w:hAnsi="Times New Roman"/>
          <w:sz w:val="12"/>
          <w:szCs w:val="12"/>
          <w:i w:val="1"/>
          <w:iCs w:val="1"/>
          <w:color w:val="auto"/>
        </w:rPr>
        <w:t>long-term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investments </w:t>
      </w:r>
      <w:r>
        <w:rPr>
          <w:rFonts w:ascii="Times New Roman" w:cs="Times New Roman" w:eastAsia="Times New Roman" w:hAnsi="Times New Roman"/>
          <w:sz w:val="12"/>
          <w:szCs w:val="12"/>
          <w:color w:val="auto"/>
        </w:rPr>
        <w:t>in our Consolidated Balance Sheets. We have elected to apply the measurement alternative for equity investments in privately-held companies that do not have readily determinable fair values, measuring them at cost, less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determining the estimated fair value of our strategic investments in privately held companies, we use the most recent and available data. Valuations of privately held securities are inherently complex due to the lack of readily available market data and require the use of judgment. The determination of whether an orderly transaction is for an identical or similar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47" w:name="page48"/>
    <w:bookmarkEnd w:id="47"/>
    <w:p>
      <w:pPr>
        <w:jc w:val="both"/>
        <w:spacing w:after="0" w:line="265" w:lineRule="auto"/>
        <w:rPr>
          <w:sz w:val="20"/>
          <w:szCs w:val="20"/>
          <w:color w:val="auto"/>
        </w:rPr>
      </w:pPr>
      <w:r>
        <w:rPr>
          <w:rFonts w:ascii="Times New Roman" w:cs="Times New Roman" w:eastAsia="Times New Roman" w:hAnsi="Times New Roman"/>
          <w:sz w:val="12"/>
          <w:szCs w:val="12"/>
          <w:color w:val="auto"/>
        </w:rPr>
        <w:t>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 acceptance of the investee's product or technology, general market conditions and liquidity considerations.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Accounts Receivable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As of December 31, 2025 and 2024, our allowance for credit losses was not material.</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Property and equipment is stated at cost net of accumulated depreciation. Depreciation is calculated using the straight-line method over the estimated useful lives of assets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20" w:type="dxa"/>
            <w:vAlign w:val="bottom"/>
            <w:gridSpan w:val="2"/>
          </w:tcPr>
          <w:p>
            <w:pPr>
              <w:ind w:left="2460"/>
              <w:spacing w:after="0"/>
              <w:rPr>
                <w:sz w:val="20"/>
                <w:szCs w:val="20"/>
                <w:color w:val="auto"/>
              </w:rPr>
            </w:pPr>
            <w:r>
              <w:rPr>
                <w:rFonts w:ascii="Times New Roman" w:cs="Times New Roman" w:eastAsia="Times New Roman" w:hAnsi="Times New Roman"/>
                <w:sz w:val="12"/>
                <w:szCs w:val="12"/>
                <w:b w:val="1"/>
                <w:bCs w:val="1"/>
                <w:color w:val="auto"/>
              </w:rPr>
              <w:t>Asset Type</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Depreciation Period</w:t>
            </w:r>
          </w:p>
        </w:tc>
      </w:tr>
      <w:tr>
        <w:trPr>
          <w:trHeight w:val="142"/>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340" w:type="dxa"/>
            <w:vAlign w:val="bottom"/>
            <w:tcBorders>
              <w:top w:val="single" w:sz="8" w:color="CCEEFF"/>
            </w:tcBorders>
            <w:shd w:val="clear" w:color="auto" w:fill="CCEEFF"/>
          </w:tcPr>
          <w:p>
            <w:pPr>
              <w:spacing w:after="0"/>
              <w:rPr>
                <w:sz w:val="12"/>
                <w:szCs w:val="12"/>
                <w:color w:val="auto"/>
              </w:rPr>
            </w:pPr>
          </w:p>
        </w:tc>
        <w:tc>
          <w:tcPr>
            <w:tcW w:w="5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r>
      <w:tr>
        <w:trPr>
          <w:trHeight w:val="153"/>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 years</w:t>
            </w:r>
          </w:p>
        </w:tc>
      </w:tr>
      <w:tr>
        <w:trPr>
          <w:trHeight w:val="153"/>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equipment</w:t>
            </w:r>
          </w:p>
        </w:tc>
        <w:tc>
          <w:tcPr>
            <w:tcW w:w="5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 to 5 years</w:t>
            </w:r>
          </w:p>
        </w:tc>
      </w:tr>
      <w:tr>
        <w:trPr>
          <w:trHeight w:val="155"/>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Shorter of remaining life of lease or asset life</w:t>
            </w:r>
          </w:p>
        </w:tc>
      </w:tr>
    </w:tbl>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determine if an arrangement is a lease at inception. Operating lease right-of-use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Capitalized Software Development Costs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Software development costs consist of certain payroll and stock-based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Intangible Assets, Net</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Goodwill is tested for impairment at least annually at the reporting unit level or at other times whenever events or changes in circumstances indicate that goodwill might be impaired. A qualitative assessment is performed to determine whether it is more likely than not that the fair value of its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spacing w:after="0" w:line="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test for goodwill impairment annually during the fourth quarter of the calendar year. Based on the annual assessment performed at November 1, 2025, we determined it was not more likely than not that our reporting unit fair value was less than its carrying value and no quantitative impairment test assessment was required. No impairment losses were recorded for goodwill during the years ended December 31, 2025, 2024 and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8" w:name="page49"/>
    <w:bookmarkEnd w:id="48"/>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Intangible assets primarily consist of customer relationships, developed technology, acquired database,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assess the recoverability of our long-lived assets when events or changes in circumstances indicate that the carrying value of an asset may not be recoverable. Recoverability is measured by comparing the carrying amount of the asset or asset group to the future undiscounted cash flows we expect the asset or asset group to generate. Any excess of the carrying value of the asset or asset group above its fair value is recognized as an impairment loss. There were no impairment charges related to the identified long-lived assets for the years ended December 31, 2025, 2024 and 2023.</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We generate revenue from our customers primarily from our Subscription Services and Value Added Services.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within the context of the contract and accounted for as separate performance obligations. Revenue is recognized net of any taxes collected from customers, which are subsequently remitted to governmental authorities. We recognize revenue in proportion to the amount that we have the right to invoice for certain Subscription Services and Value Added Services, as that amount corresponds directly with our performance completed to date. Refer to Note 3, </w:t>
      </w:r>
      <w:r>
        <w:rPr>
          <w:rFonts w:ascii="Times New Roman" w:cs="Times New Roman" w:eastAsia="Times New Roman" w:hAnsi="Times New Roman"/>
          <w:sz w:val="12"/>
          <w:szCs w:val="12"/>
          <w:i w:val="1"/>
          <w:iCs w:val="1"/>
          <w:color w:val="auto"/>
        </w:rPr>
        <w:t>Revenue and Other Information</w:t>
      </w:r>
      <w:r>
        <w:rPr>
          <w:rFonts w:ascii="Times New Roman" w:cs="Times New Roman" w:eastAsia="Times New Roman" w:hAnsi="Times New Roman"/>
          <w:sz w:val="12"/>
          <w:szCs w:val="12"/>
          <w:color w:val="auto"/>
        </w:rPr>
        <w:t xml:space="preserve"> for the disaggregated breakdown of revenue between Subscription Services, Value Added Services and Other revenue.</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Subscription Services, implementation services, and customer support. Access and use of our Subscription Services and implementation services are considered distinct.</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Subscription Services</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charge our customers on a subscription basis for our Subscription Services. Our customers do not have rights to the underlying software code of our products and services, and, accordingly, we recognize subscription revenue over time on a straight-line basis over the contract term beginning on the date that our service is made available to the customer. The terms of our subscription agreements are monthly, annual, and multiyear and we typically invoice our customers for subscription services in monthly or annual installments, in advance of the subscription period.</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Value Added Services</w:t>
      </w:r>
    </w:p>
    <w:p>
      <w:pPr>
        <w:spacing w:after="0" w:line="8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primarily charge our customers on a usage basis for our Value Added Services.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interchange and payment processing related fees. We generally invoice our customers for usage-based services on a monthly basis or collect the fee at the time of service. We also have certain Value Added Services which are charged on a subscription basis. Revenue from these services is recognized in a similar manner as the above-described Subscription Services. Some subscription or usage-based Value Added Services, such as fees for electronic payment services, are paid by either our customers or our customers' stakeholders at the time the services are rendered.</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work with third-party partners to provide certain of our Value Added Services. For these Value Added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2"/>
          <w:szCs w:val="12"/>
          <w:i w:val="1"/>
          <w:iCs w:val="1"/>
          <w:color w:val="auto"/>
        </w:rPr>
        <w:t>Other Revenue</w:t>
      </w:r>
    </w:p>
    <w:p>
      <w:pPr>
        <w:spacing w:after="0" w:line="8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Other revenue include fees from one-time services related to the implementation of our software solutions and other recurring or one-time fees related to our customers who are not otherwise using our Subscription Services. This includes legacy customers of businesses we have acquired where the customers haven't migrated to our Subscription Services.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Deferred Costs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deferred costs is included within sales and marketing expense in the accompanying Consolidated Statements of Operations.</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(Exclusive of Depreciation and Amortization)</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products and services, creating sales leads, establishing and promoting our brands, and cultivating an educated community of successful and vocal customers. Advertising expenses were $14.3 million, $10.6 million and $8.6 million for each of the years ended December 31, 2025, 2024 and 2023, respectively, and are expensed as incurred.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Research and Product Development</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products and services by adding new core functionality, Value Added Services and other improvements, as well as developing new products and services. We capitalize our software development costs which meet the criteria for capitalization. Amortization of capitalized software development costs is included in depreciation and amortization expense.</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transaction costs related to business combination, sales of subsidiary businesses, regulatory fines and penalties, other corporate expenses, impairment of long-lived assets, and allocated shared costs.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recognize stock-based compensation expense for restricted stock awards ("RSAs") and restricted stock units ("RSUs") with only service conditions on a straight-line basis over the requisite service period. For RSUs with both service and performance conditions ("PSUs"), compensation cost is recorded on a graded-vesting method, if it is probable that the performance condition will be achieved. Adjustments to compensation expense are made each period based on changes in our estimate of the number of PSUs that are probable of vesting. PSUs will vest on the vesting date and upon achievement of the relevant performance metric once such calculation is finalized in accordance with our internal policies. We estimate a forfeiture rate to calculate our stock-based compensation expense for our stock-based awards.</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recognize deferred tax liabilities and assets for the expected future tax consequences of temporary differences between the carrying amounts and the tax basis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Adopted</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In December 2023, the Financial Accounting Standards Board ("FASB") issued Accounting Standards Update ("ASU") 2023-09,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xml:space="preserve">, which requires that an entity, on an annual basis, disclose additional income tax information, including more detailed breakdowns of the effective tax rate to the statutory rate and income taxes paid. The amendment in the ASU is intended to enhance the transparency and decision usefulness of income tax disclosures. The guidance will be applied on a prospective basis with the option to apply the standard retrospectively and is effective for calendar year-end public business entities in the 2025 annual period and in 2026 for interim periods with early adoption permitted. We adopted the standard in our fiscal year 2025 annual financial statements prospectively. For additional information, refer to Note 14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in our Consolidated Financial Statements.</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 Not Yet Adopted</w:t>
      </w:r>
    </w:p>
    <w:p>
      <w:pPr>
        <w:spacing w:after="0" w:line="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In November 2024, FASB issued ASU 2024-03, </w:t>
      </w:r>
      <w:r>
        <w:rPr>
          <w:rFonts w:ascii="Times New Roman" w:cs="Times New Roman" w:eastAsia="Times New Roman" w:hAnsi="Times New Roman"/>
          <w:sz w:val="12"/>
          <w:szCs w:val="12"/>
          <w:i w:val="1"/>
          <w:iCs w:val="1"/>
          <w:color w:val="auto"/>
        </w:rPr>
        <w:t>Disaggregation of Income Statement Expense.</w:t>
      </w:r>
      <w:r>
        <w:rPr>
          <w:rFonts w:ascii="Times New Roman" w:cs="Times New Roman" w:eastAsia="Times New Roman" w:hAnsi="Times New Roman"/>
          <w:sz w:val="12"/>
          <w:szCs w:val="12"/>
          <w:color w:val="auto"/>
        </w:rPr>
        <w:t xml:space="preserve"> 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this ASU on our Consolidated Financial Statements.</w:t>
      </w:r>
    </w:p>
    <w:p>
      <w:pPr>
        <w:spacing w:after="0" w:line="4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July 2025, the FASB issued ASU 2025-05, Measurement of Credit Losses for Accounts Receivable and Contract Assets, which amends ASC 326-202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guidance will be applied on a prospective basis and is effective for calendar year-end public business entities in the 2026 annual period and its interim periods, with early adoption permitted. We plan to adopt the standard from January 1, 2026, and we expect the adoption of the standard will not have any material impact on our financial statements.</w:t>
      </w:r>
    </w:p>
    <w:p>
      <w:pPr>
        <w:spacing w:after="0" w:line="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September 2025, the FASB issued ASU 2025-06,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calendar year-end public business entities in the 2028 annual period. The guidance can be applied on a fully prospective basis, a modified basis for in-process projects, or a full retrospective basis. We are currently evaluating the impact of this ASU on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color w:val="auto"/>
        </w:rPr>
        <w:t>3. Revenue and Deferred Costs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our revenue categories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33"/>
        </w:trPr>
        <w:tc>
          <w:tcPr>
            <w:tcW w:w="73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2025</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Subscription Services</w:t>
            </w:r>
          </w:p>
        </w:tc>
        <w:tc>
          <w:tcPr>
            <w:tcW w:w="78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180,605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156,692</w:t>
            </w:r>
          </w:p>
        </w:tc>
      </w:tr>
      <w:tr>
        <w:trPr>
          <w:trHeight w:val="153"/>
        </w:trPr>
        <w:tc>
          <w:tcPr>
            <w:tcW w:w="7320" w:type="dxa"/>
            <w:vAlign w:val="bottom"/>
          </w:tcPr>
          <w:p>
            <w:pPr>
              <w:spacing w:after="0"/>
              <w:rPr>
                <w:sz w:val="20"/>
                <w:szCs w:val="20"/>
                <w:color w:val="auto"/>
              </w:rPr>
            </w:pPr>
            <w:r>
              <w:rPr>
                <w:rFonts w:ascii="Times New Roman" w:cs="Times New Roman" w:eastAsia="Times New Roman" w:hAnsi="Times New Roman"/>
                <w:sz w:val="12"/>
                <w:szCs w:val="12"/>
                <w:color w:val="auto"/>
              </w:rPr>
              <w:t>Value Added Services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721,549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605,011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454,098</w:t>
            </w:r>
          </w:p>
        </w:tc>
      </w:tr>
      <w:tr>
        <w:trPr>
          <w:trHeight w:val="15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7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17,816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9,655</w:t>
            </w:r>
          </w:p>
        </w:tc>
      </w:tr>
      <w:tr>
        <w:trPr>
          <w:trHeight w:val="142"/>
        </w:trPr>
        <w:tc>
          <w:tcPr>
            <w:tcW w:w="7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revenue</w:t>
            </w:r>
          </w:p>
        </w:tc>
        <w:tc>
          <w:tcPr>
            <w:tcW w:w="78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950,822</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794,202</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620,445</w:t>
            </w:r>
          </w:p>
        </w:tc>
      </w:tr>
      <w:tr>
        <w:trPr>
          <w:trHeight w:val="20"/>
        </w:trPr>
        <w:tc>
          <w:tcPr>
            <w:tcW w:w="7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revenue is generated primarily from United States customers.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Deferred Costs</w:t>
      </w:r>
    </w:p>
    <w:p>
      <w:pPr>
        <w:spacing w:after="0" w:line="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Deferred costs were $22.8 million and $16.8 million as of December 31, 2025 and 2024, respectively, of which $11.2 million and $9.9 million, respectively, are included in </w:t>
      </w:r>
      <w:r>
        <w:rPr>
          <w:rFonts w:ascii="Times New Roman" w:cs="Times New Roman" w:eastAsia="Times New Roman" w:hAnsi="Times New Roman"/>
          <w:sz w:val="12"/>
          <w:szCs w:val="12"/>
          <w:i w:val="1"/>
          <w:iCs w:val="1"/>
          <w:color w:val="auto"/>
        </w:rPr>
        <w:t>Prepaid expenses and other current assets</w:t>
      </w:r>
      <w:r>
        <w:rPr>
          <w:rFonts w:ascii="Times New Roman" w:cs="Times New Roman" w:eastAsia="Times New Roman" w:hAnsi="Times New Roman"/>
          <w:sz w:val="12"/>
          <w:szCs w:val="12"/>
          <w:color w:val="auto"/>
        </w:rPr>
        <w:t xml:space="preserve"> and $11.6 million and $6.9 million, respectively, are included in </w:t>
      </w:r>
      <w:r>
        <w:rPr>
          <w:rFonts w:ascii="Times New Roman" w:cs="Times New Roman" w:eastAsia="Times New Roman" w:hAnsi="Times New Roman"/>
          <w:sz w:val="12"/>
          <w:szCs w:val="12"/>
          <w:i w:val="1"/>
          <w:iCs w:val="1"/>
          <w:color w:val="auto"/>
        </w:rPr>
        <w:t>Other long-term assets</w:t>
      </w:r>
      <w:r>
        <w:rPr>
          <w:rFonts w:ascii="Times New Roman" w:cs="Times New Roman" w:eastAsia="Times New Roman" w:hAnsi="Times New Roman"/>
          <w:sz w:val="12"/>
          <w:szCs w:val="12"/>
          <w:color w:val="auto"/>
        </w:rPr>
        <w:t xml:space="preserve"> in the accompanying Consolidated Balance Sheets. Amortization expense for deferred costs was $11.1 million, $10.0 million, and $9.5 million for the years ended December 31, 2025, 2024, and 2023, respectively. For the years ended December 31, 2025 and 2024, no impairments were identified in relation to the costs capitalized for the periods presented.</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Remaining Performance Obligations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Transaction price allocated to remaining performance obligations (“RPO”) represents contracted revenue that has not been recognized, which includes deferred revenue and non-cancelable amounts that will be invoiced and recognized as revenue in future periods. RPO does not include revenue related to performance obligations that are part of a contract whose original expected duration is one year or less or related to usage-based Value Added Services that are billed in arrears.</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the total non-cancelable RPO under our contracts with customers was $93.9 million, and we expect to recognize revenue on approximately 38.4% of these RPO over the following 12 months, with the balance to be recognized thereafter. This RPO balance grew significantly during 2025 as we began selling more multi-year revenue contracts.</w:t>
      </w:r>
    </w:p>
    <w:p>
      <w:pPr>
        <w:spacing w:after="0" w:line="107" w:lineRule="exact"/>
        <w:rPr>
          <w:sz w:val="20"/>
          <w:szCs w:val="20"/>
          <w:color w:val="auto"/>
        </w:rPr>
      </w:pPr>
    </w:p>
    <w:p>
      <w:pPr>
        <w:ind w:left="420" w:right="8480" w:hanging="398"/>
        <w:spacing w:after="0" w:line="379" w:lineRule="auto"/>
        <w:tabs>
          <w:tab w:leader="none" w:pos="13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Investment Securities and Fair Value Measurements </w:t>
      </w:r>
      <w:r>
        <w:rPr>
          <w:rFonts w:ascii="Times New Roman" w:cs="Times New Roman" w:eastAsia="Times New Roman" w:hAnsi="Times New Roman"/>
          <w:sz w:val="12"/>
          <w:szCs w:val="12"/>
          <w:b w:val="1"/>
          <w:bCs w:val="1"/>
          <w:i w:val="1"/>
          <w:iCs w:val="1"/>
          <w:color w:val="auto"/>
        </w:rPr>
        <w:t>Investment Securities</w:t>
      </w:r>
    </w:p>
    <w:p>
      <w:pPr>
        <w:ind w:left="4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Investment securities classified as available-for-sale consisted of the following as of December 31, 2025 and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4"/>
          </w:tcPr>
          <w:p>
            <w:pPr>
              <w:jc w:val="right"/>
              <w:ind w:right="885"/>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28"/>
        </w:trPr>
        <w:tc>
          <w:tcPr>
            <w:tcW w:w="49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Gains</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80" w:type="dxa"/>
            <w:vAlign w:val="bottom"/>
            <w:tcBorders>
              <w:bottom w:val="single" w:sz="8" w:color="auto"/>
            </w:tcBorders>
            <w:shd w:val="clear" w:color="auto" w:fill="CCEEFF"/>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144,216</w:t>
            </w:r>
          </w:p>
        </w:tc>
        <w:tc>
          <w:tcPr>
            <w:tcW w:w="1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144,256</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144,216</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144,256</w:t>
            </w:r>
          </w:p>
        </w:tc>
      </w:tr>
      <w:tr>
        <w:trPr>
          <w:trHeight w:val="20"/>
        </w:trPr>
        <w:tc>
          <w:tcPr>
            <w:tcW w:w="4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91"/>
        </w:trPr>
        <w:tc>
          <w:tcPr>
            <w:tcW w:w="49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85"/>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28"/>
        </w:trPr>
        <w:tc>
          <w:tcPr>
            <w:tcW w:w="49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Gains</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261</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235,509</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4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261</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20"/>
        </w:trPr>
        <w:tc>
          <w:tcPr>
            <w:tcW w:w="4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December 31, 2025 or 2024.</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fair values of available-for-sale investment securities, by remaining contractual maturity, are as follows (in thousands):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34"/>
        </w:trPr>
        <w:tc>
          <w:tcPr>
            <w:tcW w:w="4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60" w:type="dxa"/>
            <w:vAlign w:val="bottom"/>
          </w:tcPr>
          <w:p>
            <w:pPr>
              <w:spacing w:after="0"/>
              <w:rPr>
                <w:sz w:val="11"/>
                <w:szCs w:val="11"/>
                <w:color w:val="auto"/>
              </w:rPr>
            </w:pPr>
          </w:p>
        </w:tc>
        <w:tc>
          <w:tcPr>
            <w:tcW w:w="2880" w:type="dxa"/>
            <w:vAlign w:val="bottom"/>
            <w:gridSpan w:val="4"/>
          </w:tcPr>
          <w:p>
            <w:pPr>
              <w:jc w:val="right"/>
              <w:ind w:right="1124"/>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128"/>
        </w:trPr>
        <w:tc>
          <w:tcPr>
            <w:tcW w:w="4920" w:type="dxa"/>
            <w:vAlign w:val="bottom"/>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47"/>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in one year or less</w:t>
            </w:r>
          </w:p>
        </w:tc>
        <w:tc>
          <w:tcPr>
            <w:tcW w:w="108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144,216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144,256</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235,509</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142"/>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Total available-for-sale investment securities</w:t>
            </w:r>
          </w:p>
        </w:tc>
        <w:tc>
          <w:tcPr>
            <w:tcW w:w="108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144,216</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144,256</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235,509</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235,745</w:t>
            </w:r>
          </w:p>
        </w:tc>
      </w:tr>
      <w:tr>
        <w:trPr>
          <w:trHeight w:val="20"/>
        </w:trPr>
        <w:tc>
          <w:tcPr>
            <w:tcW w:w="4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During the years ended December 31, 2025 and 2024, we had sales and maturities (which include calls) of investment securities,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0"/>
                <w:szCs w:val="10"/>
                <w:b w:val="1"/>
                <w:bCs w:val="1"/>
                <w:color w:val="auto"/>
              </w:rPr>
              <w:t>Year Ended December 31, 2025</w:t>
            </w: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128"/>
        </w:trPr>
        <w:tc>
          <w:tcPr>
            <w:tcW w:w="4940" w:type="dxa"/>
            <w:vAlign w:val="bottom"/>
          </w:tcPr>
          <w:p>
            <w:pPr>
              <w:spacing w:after="0"/>
              <w:rPr>
                <w:sz w:val="11"/>
                <w:szCs w:val="11"/>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Gross Realized Gains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Gross Realized Losses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Gross Proceeds from Sales</w:t>
            </w:r>
          </w:p>
        </w:tc>
        <w:tc>
          <w:tcPr>
            <w:tcW w:w="80" w:type="dxa"/>
            <w:vAlign w:val="bottom"/>
          </w:tcPr>
          <w:p>
            <w:pPr>
              <w:spacing w:after="0"/>
              <w:rPr>
                <w:sz w:val="11"/>
                <w:szCs w:val="11"/>
                <w:color w:val="auto"/>
              </w:rPr>
            </w:pPr>
          </w:p>
        </w:tc>
        <w:tc>
          <w:tcPr>
            <w:tcW w:w="144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w w:val="94"/>
              </w:rPr>
              <w:t>Gross Proceeds from Maturities</w:t>
            </w:r>
          </w:p>
        </w:tc>
      </w:tr>
      <w:tr>
        <w:trPr>
          <w:trHeight w:val="14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202,662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118,970</w:t>
            </w:r>
          </w:p>
        </w:tc>
      </w:tr>
      <w:tr>
        <w:trPr>
          <w:trHeight w:val="142"/>
        </w:trPr>
        <w:tc>
          <w:tcPr>
            <w:tcW w:w="4940" w:type="dxa"/>
            <w:vAlign w:val="bottom"/>
          </w:tcPr>
          <w:p>
            <w:pPr>
              <w:spacing w:after="0"/>
              <w:rPr>
                <w:sz w:val="12"/>
                <w:szCs w:val="12"/>
                <w:color w:val="auto"/>
              </w:rPr>
            </w:pPr>
          </w:p>
        </w:tc>
        <w:tc>
          <w:tcPr>
            <w:tcW w:w="1280" w:type="dxa"/>
            <w:vAlign w:val="bottom"/>
            <w:tcBorders>
              <w:bottom w:val="single" w:sz="8" w:color="auto"/>
            </w:tcBorders>
          </w:tcPr>
          <w:p>
            <w:pPr>
              <w:jc w:val="right"/>
              <w:ind w:right="1146"/>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202,662</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118,970</w:t>
            </w: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5"/>
        </w:trPr>
        <w:tc>
          <w:tcPr>
            <w:tcW w:w="494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0"/>
                <w:szCs w:val="10"/>
                <w:b w:val="1"/>
                <w:bCs w:val="1"/>
                <w:color w:val="auto"/>
              </w:rPr>
              <w:t>Year Ended December 31, 2024</w:t>
            </w: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128"/>
        </w:trPr>
        <w:tc>
          <w:tcPr>
            <w:tcW w:w="4940" w:type="dxa"/>
            <w:vAlign w:val="bottom"/>
          </w:tcPr>
          <w:p>
            <w:pPr>
              <w:spacing w:after="0"/>
              <w:rPr>
                <w:sz w:val="11"/>
                <w:szCs w:val="11"/>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Gross Realized Gains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Gross Realized Losses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Gross Proceeds from Sales</w:t>
            </w:r>
          </w:p>
        </w:tc>
        <w:tc>
          <w:tcPr>
            <w:tcW w:w="80" w:type="dxa"/>
            <w:vAlign w:val="bottom"/>
          </w:tcPr>
          <w:p>
            <w:pPr>
              <w:spacing w:after="0"/>
              <w:rPr>
                <w:sz w:val="11"/>
                <w:szCs w:val="11"/>
                <w:color w:val="auto"/>
              </w:rPr>
            </w:pPr>
          </w:p>
        </w:tc>
        <w:tc>
          <w:tcPr>
            <w:tcW w:w="144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w w:val="94"/>
              </w:rPr>
              <w:t>Gross Proceeds from Maturities</w:t>
            </w:r>
          </w:p>
        </w:tc>
      </w:tr>
      <w:tr>
        <w:trPr>
          <w:trHeight w:val="147"/>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240,035</w:t>
            </w:r>
          </w:p>
        </w:tc>
      </w:tr>
      <w:tr>
        <w:trPr>
          <w:trHeight w:val="142"/>
        </w:trPr>
        <w:tc>
          <w:tcPr>
            <w:tcW w:w="4940" w:type="dxa"/>
            <w:vAlign w:val="bottom"/>
          </w:tcPr>
          <w:p>
            <w:pPr>
              <w:spacing w:after="0"/>
              <w:rPr>
                <w:sz w:val="12"/>
                <w:szCs w:val="12"/>
                <w:color w:val="auto"/>
              </w:rPr>
            </w:pPr>
          </w:p>
        </w:tc>
        <w:tc>
          <w:tcPr>
            <w:tcW w:w="1280" w:type="dxa"/>
            <w:vAlign w:val="bottom"/>
            <w:tcBorders>
              <w:bottom w:val="single" w:sz="8" w:color="auto"/>
            </w:tcBorders>
          </w:tcPr>
          <w:p>
            <w:pPr>
              <w:jc w:val="right"/>
              <w:ind w:right="1146"/>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9,984</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240,035</w:t>
            </w: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color w:val="auto"/>
        </w:rPr>
        <w:t xml:space="preserve">The tables above do not include our strategic investments of non-marketable equity investments in privately-held companies, which are recorded in </w:t>
      </w:r>
      <w:r>
        <w:rPr>
          <w:rFonts w:ascii="Times New Roman" w:cs="Times New Roman" w:eastAsia="Times New Roman" w:hAnsi="Times New Roman"/>
          <w:sz w:val="12"/>
          <w:szCs w:val="12"/>
          <w:i w:val="1"/>
          <w:iCs w:val="1"/>
          <w:color w:val="auto"/>
        </w:rPr>
        <w:t>long-term investments</w:t>
      </w:r>
      <w:r>
        <w:rPr>
          <w:rFonts w:ascii="Times New Roman" w:cs="Times New Roman" w:eastAsia="Times New Roman" w:hAnsi="Times New Roman"/>
          <w:sz w:val="12"/>
          <w:szCs w:val="12"/>
          <w:color w:val="auto"/>
        </w:rPr>
        <w:t xml:space="preserve"> in our Consolidated Balance Sheets. These strategic investments consist of the following as of December 31, 2025 and December 31, 2024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80" w:type="dxa"/>
            <w:vAlign w:val="bottom"/>
          </w:tcPr>
          <w:p>
            <w:pPr>
              <w:spacing w:after="0"/>
              <w:rPr>
                <w:sz w:val="10"/>
                <w:szCs w:val="10"/>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445"/>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0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Nature</w:t>
            </w:r>
          </w:p>
        </w:tc>
        <w:tc>
          <w:tcPr>
            <w:tcW w:w="110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Others</w:t>
            </w: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2,033</w:t>
            </w:r>
          </w:p>
        </w:tc>
      </w:tr>
      <w:tr>
        <w:trPr>
          <w:trHeight w:val="158"/>
        </w:trPr>
        <w:tc>
          <w:tcPr>
            <w:tcW w:w="8080" w:type="dxa"/>
            <w:vAlign w:val="bottom"/>
            <w:tcBorders>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long-term investments</w:t>
            </w:r>
          </w:p>
        </w:tc>
        <w:tc>
          <w:tcPr>
            <w:tcW w:w="110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77,033</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w:t>
            </w:r>
          </w:p>
        </w:tc>
      </w:tr>
    </w:tbl>
    <w:p>
      <w:pPr>
        <w:spacing w:after="0" w:line="16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April 2025, we purchased a minority, non-controlling equity interest in Second Nature Holdings, L.P. (“Second Nature”) for $75.0 million, paid with cash on hand. We determined that we do not have significant influence over Second Nature, and our investment in Second Nature has been classified as an investment in equity securities without readily determinable fair value.</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were no realized or unrealized gains or losses from remeasurement of investments in equity securities under the measurement alternative for the years ended December 31, 2025 and 2024.</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Recurring Fair Value Measurements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tables present our financial assets and liabilities measured at fair value on a recurring basis as of December 31, 2025 and 2024 by level within the fair value hierarchy (in thousands):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86" w:right="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4"/>
        </w:trPr>
        <w:tc>
          <w:tcPr>
            <w:tcW w:w="61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December 31, 2025</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160" w:type="dxa"/>
            <w:vAlign w:val="bottom"/>
          </w:tcPr>
          <w:p>
            <w:pPr>
              <w:spacing w:after="0"/>
              <w:rPr>
                <w:sz w:val="7"/>
                <w:szCs w:val="7"/>
                <w:color w:val="auto"/>
              </w:rPr>
            </w:pP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320" w:type="dxa"/>
            <w:vAlign w:val="bottom"/>
          </w:tcPr>
          <w:p>
            <w:pPr>
              <w:spacing w:after="0"/>
              <w:rPr>
                <w:sz w:val="7"/>
                <w:szCs w:val="7"/>
                <w:color w:val="auto"/>
              </w:rPr>
            </w:pPr>
          </w:p>
        </w:tc>
        <w:tc>
          <w:tcPr>
            <w:tcW w:w="1220" w:type="dxa"/>
            <w:vAlign w:val="bottom"/>
          </w:tcPr>
          <w:p>
            <w:pPr>
              <w:jc w:val="right"/>
              <w:ind w:right="505"/>
              <w:spacing w:after="0" w:line="89" w:lineRule="exact"/>
              <w:rPr>
                <w:sz w:val="20"/>
                <w:szCs w:val="20"/>
                <w:color w:val="auto"/>
              </w:rPr>
            </w:pPr>
            <w:r>
              <w:rPr>
                <w:rFonts w:ascii="Times New Roman" w:cs="Times New Roman" w:eastAsia="Times New Roman" w:hAnsi="Times New Roman"/>
                <w:sz w:val="10"/>
                <w:szCs w:val="10"/>
                <w:b w:val="1"/>
                <w:bCs w:val="1"/>
                <w:color w:val="auto"/>
              </w:rPr>
              <w:t>Total Fair</w:t>
            </w: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605"/>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7"/>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10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Money market funds</w:t>
            </w:r>
          </w:p>
        </w:tc>
        <w:tc>
          <w:tcPr>
            <w:tcW w:w="1040" w:type="dxa"/>
            <w:vAlign w:val="bottom"/>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89,365</w:t>
            </w:r>
          </w:p>
        </w:tc>
        <w:tc>
          <w:tcPr>
            <w:tcW w:w="100" w:type="dxa"/>
            <w:vAlign w:val="bottom"/>
          </w:tcPr>
          <w:p>
            <w:pPr>
              <w:spacing w:after="0"/>
              <w:rPr>
                <w:sz w:val="13"/>
                <w:szCs w:val="13"/>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89,365</w:t>
            </w:r>
          </w:p>
        </w:tc>
        <w:tc>
          <w:tcPr>
            <w:tcW w:w="0" w:type="dxa"/>
            <w:vAlign w:val="bottom"/>
          </w:tcPr>
          <w:p>
            <w:pPr>
              <w:spacing w:after="0"/>
              <w:rPr>
                <w:sz w:val="1"/>
                <w:szCs w:val="1"/>
                <w:color w:val="auto"/>
              </w:rPr>
            </w:pPr>
          </w:p>
        </w:tc>
      </w:tr>
      <w:tr>
        <w:trPr>
          <w:trHeight w:val="15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Available-for-sale investment securities:</w:t>
            </w: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144,256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144,256</w:t>
            </w:r>
          </w:p>
        </w:tc>
        <w:tc>
          <w:tcPr>
            <w:tcW w:w="0" w:type="dxa"/>
            <w:vAlign w:val="bottom"/>
          </w:tcPr>
          <w:p>
            <w:pPr>
              <w:spacing w:after="0"/>
              <w:rPr>
                <w:sz w:val="1"/>
                <w:szCs w:val="1"/>
                <w:color w:val="auto"/>
              </w:rPr>
            </w:pPr>
          </w:p>
        </w:tc>
      </w:tr>
      <w:tr>
        <w:trPr>
          <w:trHeight w:val="158"/>
        </w:trPr>
        <w:tc>
          <w:tcPr>
            <w:tcW w:w="61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04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144,256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233,621</w:t>
            </w:r>
          </w:p>
        </w:tc>
        <w:tc>
          <w:tcPr>
            <w:tcW w:w="0" w:type="dxa"/>
            <w:vAlign w:val="bottom"/>
          </w:tcPr>
          <w:p>
            <w:pPr>
              <w:spacing w:after="0"/>
              <w:rPr>
                <w:sz w:val="1"/>
                <w:szCs w:val="1"/>
                <w:color w:val="auto"/>
              </w:rPr>
            </w:pPr>
          </w:p>
        </w:tc>
      </w:tr>
    </w:tbl>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134"/>
        </w:trPr>
        <w:tc>
          <w:tcPr>
            <w:tcW w:w="62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200" w:type="dxa"/>
            <w:vAlign w:val="bottom"/>
          </w:tcPr>
          <w:p>
            <w:pPr>
              <w:spacing w:after="0"/>
              <w:rPr>
                <w:sz w:val="7"/>
                <w:szCs w:val="7"/>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300" w:type="dxa"/>
            <w:vAlign w:val="bottom"/>
          </w:tcPr>
          <w:p>
            <w:pPr>
              <w:spacing w:after="0"/>
              <w:rPr>
                <w:sz w:val="7"/>
                <w:szCs w:val="7"/>
                <w:color w:val="auto"/>
              </w:rPr>
            </w:pPr>
          </w:p>
        </w:tc>
        <w:tc>
          <w:tcPr>
            <w:tcW w:w="1200" w:type="dxa"/>
            <w:vAlign w:val="bottom"/>
          </w:tcPr>
          <w:p>
            <w:pPr>
              <w:jc w:val="right"/>
              <w:ind w:right="485"/>
              <w:spacing w:after="0" w:line="89" w:lineRule="exact"/>
              <w:rPr>
                <w:sz w:val="20"/>
                <w:szCs w:val="20"/>
                <w:color w:val="auto"/>
              </w:rPr>
            </w:pPr>
            <w:r>
              <w:rPr>
                <w:rFonts w:ascii="Times New Roman" w:cs="Times New Roman" w:eastAsia="Times New Roman" w:hAnsi="Times New Roman"/>
                <w:sz w:val="10"/>
                <w:szCs w:val="10"/>
                <w:b w:val="1"/>
                <w:bCs w:val="1"/>
                <w:color w:val="auto"/>
              </w:rPr>
              <w:t>Total Fair</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7"/>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10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Money market funds</w:t>
            </w:r>
          </w:p>
        </w:tc>
        <w:tc>
          <w:tcPr>
            <w:tcW w:w="1060" w:type="dxa"/>
            <w:vAlign w:val="bottom"/>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10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0" w:type="dxa"/>
            <w:vAlign w:val="bottom"/>
          </w:tcPr>
          <w:p>
            <w:pPr>
              <w:spacing w:after="0"/>
              <w:rPr>
                <w:sz w:val="1"/>
                <w:szCs w:val="1"/>
                <w:color w:val="auto"/>
              </w:rPr>
            </w:pPr>
          </w:p>
        </w:tc>
      </w:tr>
      <w:tr>
        <w:trPr>
          <w:trHeight w:val="15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Available-for-sale investment securities:</w:t>
            </w: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U.S. government and agency securities</w:t>
            </w:r>
          </w:p>
        </w:tc>
        <w:tc>
          <w:tcPr>
            <w:tcW w:w="10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0" w:type="dxa"/>
            <w:vAlign w:val="bottom"/>
          </w:tcPr>
          <w:p>
            <w:pPr>
              <w:spacing w:after="0"/>
              <w:rPr>
                <w:sz w:val="1"/>
                <w:szCs w:val="1"/>
                <w:color w:val="auto"/>
              </w:rPr>
            </w:pPr>
          </w:p>
        </w:tc>
      </w:tr>
      <w:tr>
        <w:trPr>
          <w:trHeight w:val="158"/>
        </w:trPr>
        <w:tc>
          <w:tcPr>
            <w:tcW w:w="62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060" w:type="dxa"/>
            <w:vAlign w:val="bottom"/>
            <w:tcBorders>
              <w:top w:val="single" w:sz="8" w:color="auto"/>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260,912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carrying amounts of cash and cash equivalents, restricted cash, accounts receivable, accounts payable and accrued liabilities approximate their fair value because of the short maturity of these items.</w:t>
      </w:r>
    </w:p>
    <w:p>
      <w:pPr>
        <w:spacing w:after="0" w:line="7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to our valuation techniques used to measure asset and liability fair values on a recurring basis during the year ended December 31, 2025. The valuation techniques for the financial assets in the tables above are as follows: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Cash Equivalents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2025 and 2024, cash equivalents include cash invested in money market funds with a maturity of three months or less. Fair value is based on market prices for identical assets.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Available-for-Sale Investment Securities</w:t>
      </w:r>
    </w:p>
    <w:p>
      <w:pPr>
        <w:spacing w:after="0" w:line="8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Our Level 2 investment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Strategic Investments Measured and Recorded at Fair Value on a Non-Recurring Basis</w:t>
      </w:r>
    </w:p>
    <w:p>
      <w:pPr>
        <w:spacing w:after="0" w:line="8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December 31, 2025 and December 31, 2024, the balance of strategic investments was $77.0 million and $2.0 million, respectively.</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Property and Equipment, net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of our property and equipment is located in the United States. Property and equipment, net consists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20" w:type="dxa"/>
            <w:vAlign w:val="bottom"/>
            <w:tcBorders>
              <w:bottom w:val="single" w:sz="8" w:color="CCEEFF"/>
            </w:tcBorders>
          </w:tcPr>
          <w:p>
            <w:pPr>
              <w:spacing w:after="0"/>
              <w:rPr>
                <w:sz w:val="11"/>
                <w:szCs w:val="11"/>
                <w:color w:val="auto"/>
              </w:rPr>
            </w:pPr>
          </w:p>
        </w:tc>
        <w:tc>
          <w:tcPr>
            <w:tcW w:w="43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equipment</w:t>
            </w:r>
          </w:p>
        </w:tc>
        <w:tc>
          <w:tcPr>
            <w:tcW w:w="4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 equipment</w:t>
            </w:r>
          </w:p>
        </w:tc>
        <w:tc>
          <w:tcPr>
            <w:tcW w:w="4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process</w:t>
            </w:r>
          </w:p>
        </w:tc>
        <w:tc>
          <w:tcPr>
            <w:tcW w:w="43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Gross property and equipment</w:t>
            </w:r>
          </w:p>
        </w:tc>
        <w:tc>
          <w:tcPr>
            <w:tcW w:w="4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43,384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434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(20,156)</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Total property and equipment, net</w:t>
            </w:r>
          </w:p>
        </w:tc>
        <w:tc>
          <w:tcPr>
            <w:tcW w:w="4340" w:type="dxa"/>
            <w:vAlign w:val="bottom"/>
          </w:tcPr>
          <w:p>
            <w:pPr>
              <w:spacing w:after="0"/>
              <w:rPr>
                <w:sz w:val="12"/>
                <w:szCs w:val="12"/>
                <w:color w:val="auto"/>
              </w:rPr>
            </w:pPr>
          </w:p>
        </w:tc>
        <w:tc>
          <w:tcPr>
            <w:tcW w:w="10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23,228</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34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52</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7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2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97" w:right="299" w:bottom="1440" w:gutter="0" w:footer="0" w:header="0"/>
        </w:sectPr>
      </w:pPr>
    </w:p>
    <w:bookmarkStart w:id="54" w:name="page55"/>
    <w:bookmarkEnd w:id="54"/>
    <w:p>
      <w:pPr>
        <w:ind w:left="428"/>
        <w:spacing w:after="0"/>
        <w:rPr>
          <w:sz w:val="20"/>
          <w:szCs w:val="20"/>
          <w:color w:val="auto"/>
        </w:rPr>
      </w:pPr>
      <w:r>
        <w:rPr>
          <w:rFonts w:ascii="Times New Roman" w:cs="Times New Roman" w:eastAsia="Times New Roman" w:hAnsi="Times New Roman"/>
          <w:sz w:val="12"/>
          <w:szCs w:val="12"/>
          <w:color w:val="auto"/>
        </w:rPr>
        <w:t>Depreciation expense for property and equipment totaled $4.3 million, $5.2 million, and $7.3 million for the years ended December 31, 2025, 2024 and 2023, respectively.</w:t>
      </w:r>
    </w:p>
    <w:p>
      <w:pPr>
        <w:spacing w:after="0" w:line="146"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color w:val="auto"/>
        </w:rPr>
        <w:t>6. Capitalized Software Development Costs, net</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Capitalized software development costs, net were as follows (in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0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6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software development costs, gross</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112,108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117,480</w:t>
            </w:r>
          </w:p>
        </w:tc>
      </w:tr>
      <w:tr>
        <w:trPr>
          <w:trHeight w:val="153"/>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(100,784)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(102,051)</w:t>
            </w:r>
          </w:p>
        </w:tc>
      </w:tr>
      <w:tr>
        <w:trPr>
          <w:trHeight w:val="158"/>
        </w:trPr>
        <w:tc>
          <w:tcPr>
            <w:tcW w:w="80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Capitalized software development costs, net</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11,324</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15,429</w:t>
            </w:r>
          </w:p>
        </w:tc>
      </w:tr>
    </w:tbl>
    <w:p>
      <w:pPr>
        <w:spacing w:after="0" w:line="12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Capitalized software development costs were $4.0 million, $6.1 million and $5.5 million for the years ended December 31, 2025, 2024 and 2023, respectively. Amortization expense with respect to software development costs totaled $8.2 million, $12.2 million and $19.2 million for the years ended December 31, 2025, 2024 and 2023, respectively. During the years ended December 31, 2025 and 2024, we disposed of $9.4 million and $15.2 million, respectively, of fully amortized capitalized software development costs.</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9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Future amortization expense with respect to capitalized software development costs is estimated as follows (in thousands):</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5,808</w:t>
            </w:r>
          </w:p>
        </w:tc>
      </w:tr>
      <w:tr>
        <w:trPr>
          <w:trHeight w:val="15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w:t>
            </w:r>
          </w:p>
        </w:tc>
      </w:tr>
      <w:tr>
        <w:trPr>
          <w:trHeight w:val="153"/>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6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1,274</w:t>
            </w:r>
          </w:p>
        </w:tc>
      </w:tr>
      <w:tr>
        <w:trPr>
          <w:trHeight w:val="142"/>
        </w:trPr>
        <w:tc>
          <w:tcPr>
            <w:tcW w:w="9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amortization expense</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11,324</w:t>
            </w:r>
          </w:p>
        </w:tc>
      </w:tr>
      <w:tr>
        <w:trPr>
          <w:trHeight w:val="20"/>
        </w:trPr>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428" w:right="9440" w:hanging="428"/>
        <w:spacing w:after="0" w:line="379" w:lineRule="auto"/>
        <w:tabs>
          <w:tab w:leader="none" w:pos="116"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Business Combination </w:t>
      </w:r>
      <w:r>
        <w:rPr>
          <w:rFonts w:ascii="Times New Roman" w:cs="Times New Roman" w:eastAsia="Times New Roman" w:hAnsi="Times New Roman"/>
          <w:sz w:val="12"/>
          <w:szCs w:val="12"/>
          <w:b w:val="1"/>
          <w:bCs w:val="1"/>
          <w:i w:val="1"/>
          <w:iCs w:val="1"/>
          <w:color w:val="auto"/>
        </w:rPr>
        <w:t>Acquisition of Move EZ, Inc.</w:t>
      </w: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On October 22, 2024, we acquired all of the outstanding shares of Move EZ, Inc., d/b/a LiveEasy (“LiveEasy”) for a total cash purchase consideration of $78.5 million. LiveEasy is a concierge platform providing moving and home services throughout the resident onboarding process.</w:t>
      </w:r>
    </w:p>
    <w:p>
      <w:pPr>
        <w:spacing w:after="0" w:line="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transaction was accounted for using the acquisition method, and as a result, assets acquired and liabilities assumed were recorded at their estimated fair values as of the acquisition date.</w:t>
      </w:r>
    </w:p>
    <w:p>
      <w:pPr>
        <w:spacing w:after="0" w:line="78"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84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Useful Life (in years)</w:t>
            </w:r>
          </w:p>
        </w:tc>
      </w:tr>
      <w:tr>
        <w:trPr>
          <w:trHeight w:val="142"/>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Identified intangible assets:</w:t>
            </w:r>
          </w:p>
        </w:tc>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Customer relationships</w:t>
            </w: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53"/>
        </w:trPr>
        <w:tc>
          <w:tcPr>
            <w:tcW w:w="6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Developed technology</w:t>
            </w: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9,800</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7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40,350</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53"/>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7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(8,874)</w:t>
            </w: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5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net tangible liabilities</w:t>
            </w:r>
          </w:p>
        </w:tc>
        <w:tc>
          <w:tcPr>
            <w:tcW w:w="17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Net assets acquired</w:t>
            </w:r>
          </w:p>
        </w:tc>
        <w:tc>
          <w:tcPr>
            <w:tcW w:w="1720" w:type="dxa"/>
            <w:vAlign w:val="bottom"/>
            <w:tcBorders>
              <w:bottom w:val="single" w:sz="8" w:color="auto"/>
            </w:tcBorders>
          </w:tcPr>
          <w:p>
            <w:pPr>
              <w:jc w:val="right"/>
              <w:ind w:right="160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78,501</w:t>
            </w: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0"/>
        </w:trPr>
        <w:tc>
          <w:tcPr>
            <w:tcW w:w="68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Customer relationships represent the fair value of the underlying contracts and related relationships with LiveEasy's customers and service providers. Developed technology represents the fair value of the technologies that pertain to a customer-facing concierge platform that provides moving and home services. We used a replacement cost method to determine the fair value of both intangible assets. The assumptions used are development costs, the time required to recreate the assets and profit margin a market participant would receive, and rate of return.</w:t>
      </w: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58" w:right="299" w:bottom="1440" w:gutter="0" w:footer="0" w:header="0"/>
        </w:sectPr>
      </w:pPr>
    </w:p>
    <w:bookmarkStart w:id="55" w:name="page56"/>
    <w:bookmarkEnd w:id="5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excess of purchase consideration over the fair value of net tangible and identifiable intangible assets acquired was recorded as goodwill, which is not deductible for tax purposes. Goodwill is primarily attributed to the assembled workforce of LiveEasy and anticipated operational synergies.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Goodwill and Intangible Assets, Net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Intangible assets, net consisted of the following (in thousands, except years):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vMerge w:val="restart"/>
          </w:tcPr>
          <w:p>
            <w:pPr>
              <w:jc w:val="center"/>
              <w:ind w:left="430"/>
              <w:spacing w:after="0"/>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4"/>
              </w:rPr>
              <w:t>Average Useful</w:t>
            </w:r>
          </w:p>
        </w:tc>
        <w:tc>
          <w:tcPr>
            <w:tcW w:w="0" w:type="dxa"/>
            <w:vAlign w:val="bottom"/>
          </w:tcPr>
          <w:p>
            <w:pPr>
              <w:spacing w:after="0"/>
              <w:rPr>
                <w:sz w:val="1"/>
                <w:szCs w:val="1"/>
                <w:color w:val="auto"/>
              </w:rPr>
            </w:pPr>
          </w:p>
        </w:tc>
      </w:tr>
      <w:tr>
        <w:trPr>
          <w:trHeight w:val="131"/>
        </w:trPr>
        <w:tc>
          <w:tcPr>
            <w:tcW w:w="37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in Years</w:t>
            </w:r>
          </w:p>
        </w:tc>
        <w:tc>
          <w:tcPr>
            <w:tcW w:w="0" w:type="dxa"/>
            <w:vAlign w:val="bottom"/>
          </w:tcPr>
          <w:p>
            <w:pPr>
              <w:spacing w:after="0"/>
              <w:rPr>
                <w:sz w:val="1"/>
                <w:szCs w:val="1"/>
                <w:color w:val="auto"/>
              </w:rPr>
            </w:pPr>
          </w:p>
        </w:tc>
      </w:tr>
      <w:tr>
        <w:trPr>
          <w:trHeight w:val="14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Developed technology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7,513</w:t>
            </w:r>
          </w:p>
        </w:tc>
        <w:tc>
          <w:tcPr>
            <w:tcW w:w="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Database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w:t>
            </w:r>
          </w:p>
        </w:tc>
        <w:tc>
          <w:tcPr>
            <w:tcW w:w="2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Domain names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2"/>
        </w:trPr>
        <w:tc>
          <w:tcPr>
            <w:tcW w:w="3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intangible assets, net</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53,852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(15,026)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38,826</w:t>
            </w:r>
          </w:p>
        </w:tc>
        <w:tc>
          <w:tcPr>
            <w:tcW w:w="20" w:type="dxa"/>
            <w:vAlign w:val="bottom"/>
            <w:tcBorders>
              <w:bottom w:val="single" w:sz="8" w:color="auto"/>
            </w:tcBorders>
          </w:tcPr>
          <w:p>
            <w:pPr>
              <w:spacing w:after="0"/>
              <w:rPr>
                <w:sz w:val="12"/>
                <w:szCs w:val="12"/>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vMerge w:val="restart"/>
          </w:tcPr>
          <w:p>
            <w:pPr>
              <w:jc w:val="center"/>
              <w:ind w:left="390"/>
              <w:spacing w:after="0"/>
              <w:rPr>
                <w:sz w:val="20"/>
                <w:szCs w:val="20"/>
                <w:color w:val="auto"/>
              </w:rPr>
            </w:pPr>
            <w:r>
              <w:rPr>
                <w:rFonts w:ascii="Times New Roman" w:cs="Times New Roman" w:eastAsia="Times New Roman" w:hAnsi="Times New Roman"/>
                <w:sz w:val="10"/>
                <w:szCs w:val="10"/>
                <w:b w:val="1"/>
                <w:bCs w:val="1"/>
                <w:color w:val="auto"/>
                <w:w w:val="95"/>
              </w:rPr>
              <w:t>Gross Carrying</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4"/>
              </w:rPr>
              <w:t>Average Useful</w:t>
            </w: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in Years</w:t>
            </w:r>
          </w:p>
        </w:tc>
        <w:tc>
          <w:tcPr>
            <w:tcW w:w="0" w:type="dxa"/>
            <w:vAlign w:val="bottom"/>
          </w:tcPr>
          <w:p>
            <w:pPr>
              <w:spacing w:after="0"/>
              <w:rPr>
                <w:sz w:val="1"/>
                <w:szCs w:val="1"/>
                <w:color w:val="auto"/>
              </w:rPr>
            </w:pPr>
          </w:p>
        </w:tc>
      </w:tr>
      <w:tr>
        <w:trPr>
          <w:trHeight w:val="14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Developed technology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9,473</w:t>
            </w:r>
          </w:p>
        </w:tc>
        <w:tc>
          <w:tcPr>
            <w:tcW w:w="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Database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w:t>
            </w:r>
          </w:p>
        </w:tc>
        <w:tc>
          <w:tcPr>
            <w:tcW w:w="2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Domain names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Patents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2"/>
        </w:trPr>
        <w:tc>
          <w:tcPr>
            <w:tcW w:w="37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intangible assets, net</w:t>
            </w:r>
          </w:p>
        </w:tc>
        <w:tc>
          <w:tcPr>
            <w:tcW w:w="60" w:type="dxa"/>
            <w:vAlign w:val="bottom"/>
          </w:tcPr>
          <w:p>
            <w:pPr>
              <w:spacing w:after="0"/>
              <w:rPr>
                <w:sz w:val="12"/>
                <w:szCs w:val="12"/>
                <w:color w:val="auto"/>
              </w:rPr>
            </w:pPr>
          </w:p>
        </w:tc>
        <w:tc>
          <w:tcPr>
            <w:tcW w:w="1340" w:type="dxa"/>
            <w:vAlign w:val="bottom"/>
            <w:tcBorders>
              <w:top w:val="single" w:sz="8" w:color="auto"/>
              <w:bottom w:val="single" w:sz="8" w:color="auto"/>
            </w:tcBorders>
            <w:gridSpan w:val="2"/>
          </w:tcPr>
          <w:p>
            <w:pPr>
              <w:jc w:val="right"/>
              <w:ind w:right="121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53,852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26"/>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49,057</w:t>
            </w:r>
          </w:p>
        </w:tc>
        <w:tc>
          <w:tcPr>
            <w:tcW w:w="20" w:type="dxa"/>
            <w:vAlign w:val="bottom"/>
          </w:tcPr>
          <w:p>
            <w:pPr>
              <w:spacing w:after="0"/>
              <w:rPr>
                <w:sz w:val="12"/>
                <w:szCs w:val="12"/>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Amortization expense with respect to intangible assets totaled $10.2 million, $2.1 million and $2.5 million for the years ended December 31, 2025, 2024 and 2023, respectively. Future amortization expense with respect to intangible assets is estimated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60" w:type="dxa"/>
            <w:vAlign w:val="bottom"/>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8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10,231</w:t>
            </w:r>
          </w:p>
        </w:tc>
        <w:tc>
          <w:tcPr>
            <w:tcW w:w="20" w:type="dxa"/>
            <w:vAlign w:val="bottom"/>
            <w:shd w:val="clear" w:color="auto" w:fill="CCEEFF"/>
          </w:tcPr>
          <w:p>
            <w:pPr>
              <w:spacing w:after="0"/>
              <w:rPr>
                <w:sz w:val="13"/>
                <w:szCs w:val="13"/>
                <w:color w:val="auto"/>
              </w:rPr>
            </w:pPr>
          </w:p>
        </w:tc>
      </w:tr>
      <w:tr>
        <w:trPr>
          <w:trHeight w:val="153"/>
        </w:trPr>
        <w:tc>
          <w:tcPr>
            <w:tcW w:w="946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10,231</w:t>
            </w:r>
          </w:p>
        </w:tc>
        <w:tc>
          <w:tcPr>
            <w:tcW w:w="20" w:type="dxa"/>
            <w:vAlign w:val="bottom"/>
          </w:tcPr>
          <w:p>
            <w:pPr>
              <w:spacing w:after="0"/>
              <w:rPr>
                <w:sz w:val="13"/>
                <w:szCs w:val="13"/>
                <w:color w:val="auto"/>
              </w:rPr>
            </w:pPr>
          </w:p>
        </w:tc>
      </w:tr>
      <w:tr>
        <w:trPr>
          <w:trHeight w:val="15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10,231</w:t>
            </w:r>
          </w:p>
        </w:tc>
        <w:tc>
          <w:tcPr>
            <w:tcW w:w="20" w:type="dxa"/>
            <w:vAlign w:val="bottom"/>
            <w:shd w:val="clear" w:color="auto" w:fill="CCEEFF"/>
          </w:tcPr>
          <w:p>
            <w:pPr>
              <w:spacing w:after="0"/>
              <w:rPr>
                <w:sz w:val="13"/>
                <w:szCs w:val="13"/>
                <w:color w:val="auto"/>
              </w:rPr>
            </w:pPr>
          </w:p>
        </w:tc>
      </w:tr>
      <w:tr>
        <w:trPr>
          <w:trHeight w:val="153"/>
        </w:trPr>
        <w:tc>
          <w:tcPr>
            <w:tcW w:w="946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8,133</w:t>
            </w:r>
          </w:p>
        </w:tc>
        <w:tc>
          <w:tcPr>
            <w:tcW w:w="20" w:type="dxa"/>
            <w:vAlign w:val="bottom"/>
          </w:tcPr>
          <w:p>
            <w:pPr>
              <w:spacing w:after="0"/>
              <w:rPr>
                <w:sz w:val="13"/>
                <w:szCs w:val="13"/>
                <w:color w:val="auto"/>
              </w:rPr>
            </w:pPr>
          </w:p>
        </w:tc>
      </w:tr>
      <w:tr>
        <w:trPr>
          <w:trHeight w:val="180"/>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20" w:type="dxa"/>
            <w:vAlign w:val="bottom"/>
            <w:tcBorders>
              <w:bottom w:val="single" w:sz="8" w:color="auto"/>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38,826</w:t>
            </w:r>
          </w:p>
        </w:tc>
        <w:tc>
          <w:tcPr>
            <w:tcW w:w="20" w:type="dxa"/>
            <w:vAlign w:val="bottom"/>
            <w:tcBorders>
              <w:bottom w:val="single" w:sz="8" w:color="auto"/>
            </w:tcBorders>
            <w:shd w:val="clear" w:color="auto" w:fill="CCEEFF"/>
          </w:tcPr>
          <w:p>
            <w:pPr>
              <w:spacing w:after="0"/>
              <w:rPr>
                <w:sz w:val="15"/>
                <w:szCs w:val="15"/>
                <w:color w:val="auto"/>
              </w:rPr>
            </w:pPr>
          </w:p>
        </w:tc>
      </w:tr>
      <w:tr>
        <w:trPr>
          <w:trHeight w:val="259"/>
        </w:trPr>
        <w:tc>
          <w:tcPr>
            <w:tcW w:w="102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Our goodwill balance is solely attributed to acquisitions. The change in the carrying amount of goodwill during the years ended December 31, 2025, 2024 and 2023 is as follows (in thousands):</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8"/>
        </w:trPr>
        <w:tc>
          <w:tcPr>
            <w:tcW w:w="9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at December 31, 2023</w:t>
            </w:r>
          </w:p>
        </w:tc>
        <w:tc>
          <w:tcPr>
            <w:tcW w:w="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56,060</w:t>
            </w:r>
          </w:p>
        </w:tc>
        <w:tc>
          <w:tcPr>
            <w:tcW w:w="20" w:type="dxa"/>
            <w:vAlign w:val="bottom"/>
          </w:tcPr>
          <w:p>
            <w:pPr>
              <w:spacing w:after="0"/>
              <w:rPr>
                <w:sz w:val="13"/>
                <w:szCs w:val="13"/>
                <w:color w:val="auto"/>
              </w:rPr>
            </w:pPr>
          </w:p>
        </w:tc>
      </w:tr>
      <w:tr>
        <w:trPr>
          <w:trHeight w:val="153"/>
        </w:trPr>
        <w:tc>
          <w:tcPr>
            <w:tcW w:w="94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LiveEasy</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40,350</w:t>
            </w:r>
          </w:p>
        </w:tc>
        <w:tc>
          <w:tcPr>
            <w:tcW w:w="20" w:type="dxa"/>
            <w:vAlign w:val="bottom"/>
          </w:tcPr>
          <w:p>
            <w:pPr>
              <w:spacing w:after="0"/>
              <w:rPr>
                <w:sz w:val="13"/>
                <w:szCs w:val="13"/>
                <w:color w:val="auto"/>
              </w:rPr>
            </w:pPr>
          </w:p>
        </w:tc>
      </w:tr>
      <w:tr>
        <w:trPr>
          <w:trHeight w:val="153"/>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 at December 31, 2024</w:t>
            </w:r>
          </w:p>
        </w:tc>
        <w:tc>
          <w:tcPr>
            <w:tcW w:w="2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96,410</w:t>
            </w:r>
          </w:p>
        </w:tc>
        <w:tc>
          <w:tcPr>
            <w:tcW w:w="20" w:type="dxa"/>
            <w:vAlign w:val="bottom"/>
          </w:tcPr>
          <w:p>
            <w:pPr>
              <w:spacing w:after="0"/>
              <w:rPr>
                <w:sz w:val="13"/>
                <w:szCs w:val="13"/>
                <w:color w:val="auto"/>
              </w:rPr>
            </w:pPr>
          </w:p>
        </w:tc>
      </w:tr>
      <w:tr>
        <w:trPr>
          <w:trHeight w:val="142"/>
        </w:trPr>
        <w:tc>
          <w:tcPr>
            <w:tcW w:w="9460" w:type="dxa"/>
            <w:vAlign w:val="bottom"/>
          </w:tcPr>
          <w:p>
            <w:pPr>
              <w:spacing w:after="0"/>
              <w:rPr>
                <w:sz w:val="20"/>
                <w:szCs w:val="20"/>
                <w:color w:val="auto"/>
              </w:rPr>
            </w:pPr>
            <w:r>
              <w:rPr>
                <w:rFonts w:ascii="Times New Roman" w:cs="Times New Roman" w:eastAsia="Times New Roman" w:hAnsi="Times New Roman"/>
                <w:sz w:val="12"/>
                <w:szCs w:val="12"/>
                <w:color w:val="auto"/>
              </w:rPr>
              <w:t>Goodwill at December 31, 2025</w:t>
            </w: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96,410</w:t>
            </w:r>
          </w:p>
        </w:tc>
        <w:tc>
          <w:tcPr>
            <w:tcW w:w="20" w:type="dxa"/>
            <w:vAlign w:val="bottom"/>
          </w:tcPr>
          <w:p>
            <w:pPr>
              <w:spacing w:after="0"/>
              <w:rPr>
                <w:sz w:val="12"/>
                <w:szCs w:val="12"/>
                <w:color w:val="auto"/>
              </w:rPr>
            </w:pPr>
          </w:p>
        </w:tc>
      </w:tr>
      <w:tr>
        <w:trPr>
          <w:trHeight w:val="20"/>
        </w:trPr>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9. Leases</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Operating leases for our corporate offices have remaining lease terms ranging from 1.6 years to 7.1 years, some of which include options to extend the leases for up to ten years. These options to extend have not been recognized as part of our operating lease ROU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2"/>
          <w:szCs w:val="12"/>
          <w:color w:val="auto"/>
        </w:rPr>
        <w:t>The components of lease expense recognized in the Consolidated Statements of Operations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28"/>
        </w:trPr>
        <w:tc>
          <w:tcPr>
            <w:tcW w:w="71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88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4,362</w:t>
            </w:r>
          </w:p>
        </w:tc>
      </w:tr>
      <w:tr>
        <w:trPr>
          <w:trHeight w:val="153"/>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Variable lease cost</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1,737</w:t>
            </w:r>
          </w:p>
        </w:tc>
      </w:tr>
      <w:tr>
        <w:trPr>
          <w:trHeight w:val="158"/>
        </w:trPr>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lease cost</w:t>
            </w: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6,099</w:t>
            </w: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Lease-related assets and liabilities were as follows (in thousands, except years and %):</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00" w:type="dxa"/>
            <w:vAlign w:val="bottom"/>
            <w:tcBorders>
              <w:bottom w:val="single" w:sz="8" w:color="auto"/>
            </w:tcBorders>
          </w:tcPr>
          <w:p>
            <w:pPr>
              <w:spacing w:after="0"/>
              <w:rPr>
                <w:sz w:val="11"/>
                <w:szCs w:val="11"/>
                <w:color w:val="auto"/>
              </w:rPr>
            </w:pPr>
          </w:p>
        </w:tc>
      </w:tr>
      <w:tr>
        <w:trPr>
          <w:trHeight w:val="128"/>
        </w:trPr>
        <w:tc>
          <w:tcPr>
            <w:tcW w:w="83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80" w:type="dxa"/>
            <w:vAlign w:val="bottom"/>
          </w:tcPr>
          <w:p>
            <w:pPr>
              <w:spacing w:after="0"/>
              <w:rPr>
                <w:sz w:val="13"/>
                <w:szCs w:val="13"/>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15,924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17,472</w:t>
            </w:r>
          </w:p>
        </w:tc>
      </w:tr>
      <w:tr>
        <w:trPr>
          <w:trHeight w:val="180"/>
        </w:trPr>
        <w:tc>
          <w:tcPr>
            <w:tcW w:w="8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8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88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4,873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4,273</w:t>
            </w:r>
          </w:p>
        </w:tc>
      </w:tr>
      <w:tr>
        <w:trPr>
          <w:trHeight w:val="153"/>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33,287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37,476</w:t>
            </w:r>
          </w:p>
        </w:tc>
      </w:tr>
      <w:tr>
        <w:trPr>
          <w:trHeight w:val="15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lease liabilities</w:t>
            </w: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38,160</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41,749</w:t>
            </w:r>
          </w:p>
        </w:tc>
      </w:tr>
      <w:tr>
        <w:trPr>
          <w:trHeight w:val="162"/>
        </w:trPr>
        <w:tc>
          <w:tcPr>
            <w:tcW w:w="8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lease term (years)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55"/>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discount rate</w:t>
            </w:r>
          </w:p>
        </w:tc>
        <w:tc>
          <w:tcPr>
            <w:tcW w:w="8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5.2 %</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5.1 %</w:t>
            </w:r>
          </w:p>
        </w:tc>
      </w:tr>
    </w:tbl>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January 2023, we entered into an amendment to the lease agreement for our San Diego facility (the "San Diego Lease"). We remeasured the lease liability and recorded a reduction to the lease liability and ROU asset using the discount rate at the modification date, which resulted in a gain of $2.4 million in the Consolidated Statements of Operations.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June 2023, we entered into a second amendment to reduce the rentable square footage and our future rental payment obligations under the San Diego Lease pursuant to which we made a one-time payment of $2.9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again remeasured the lease liability and recorded a reduction to the lease liability using the discount rate at the modification date. As a result, we recorded a gain of $1.9 million in the Consolidated Statements of Operations.</w:t>
      </w:r>
    </w:p>
    <w:p>
      <w:pPr>
        <w:spacing w:after="0" w:line="6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July 2023, we entered into an agreement to sublet one of our office spaces in Santa Barbara through December 31, 2031 (the "Santa Barbara 90 Sublease"). The total rental commitment over the term of the Santa Barbara 90 Sublease is $6.1 million. We performed impairment testing in accordance with ASC 360, and no impairment related to the ROU assets was recorded for the year ended December 31, 2023.</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Future minimum lease payments under non-cancellable leases as of December 31, 2025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Years ending December 31,</w:t>
            </w:r>
          </w:p>
        </w:tc>
        <w:tc>
          <w:tcPr>
            <w:tcW w:w="5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6120" w:type="dxa"/>
            <w:vAlign w:val="bottom"/>
            <w:gridSpan w:val="2"/>
          </w:tcPr>
          <w:p>
            <w:pPr>
              <w:jc w:val="right"/>
              <w:ind w:right="666"/>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5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5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5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2030</w:t>
            </w:r>
          </w:p>
        </w:tc>
        <w:tc>
          <w:tcPr>
            <w:tcW w:w="5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Thereafter</w:t>
            </w:r>
          </w:p>
        </w:tc>
        <w:tc>
          <w:tcPr>
            <w:tcW w:w="534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future minimum lease payments</w:t>
            </w:r>
          </w:p>
        </w:tc>
        <w:tc>
          <w:tcPr>
            <w:tcW w:w="5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44,841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534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5340" w:type="dxa"/>
            <w:vAlign w:val="bottom"/>
          </w:tcPr>
          <w:p>
            <w:pPr>
              <w:spacing w:after="0"/>
              <w:rPr>
                <w:sz w:val="12"/>
                <w:szCs w:val="12"/>
                <w:color w:val="auto"/>
              </w:rPr>
            </w:pPr>
          </w:p>
        </w:tc>
        <w:tc>
          <w:tcPr>
            <w:tcW w:w="78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38,160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340" w:type="dxa"/>
            <w:vAlign w:val="bottom"/>
            <w:vMerge w:val="restart"/>
          </w:tcPr>
          <w:p>
            <w:pPr>
              <w:jc w:val="right"/>
              <w:ind w:right="3460"/>
              <w:spacing w:after="0"/>
              <w:rPr>
                <w:sz w:val="20"/>
                <w:szCs w:val="20"/>
                <w:color w:val="auto"/>
              </w:rPr>
            </w:pPr>
            <w:r>
              <w:rPr>
                <w:rFonts w:ascii="Times New Roman" w:cs="Times New Roman" w:eastAsia="Times New Roman" w:hAnsi="Times New Roman"/>
                <w:sz w:val="12"/>
                <w:szCs w:val="12"/>
                <w:color w:val="auto"/>
              </w:rPr>
              <w:t>55</w:t>
            </w: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2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53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color w:val="auto"/>
        </w:rPr>
        <w:t>10. Other Balance Sheet Components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Prepaid expenses and other current assets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Prepaid expenses and other current assets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Income tax receivable</w:t>
            </w:r>
            <w:r>
              <w:rPr>
                <w:rFonts w:ascii="Times New Roman" w:cs="Times New Roman" w:eastAsia="Times New Roman" w:hAnsi="Times New Roman"/>
                <w:sz w:val="15"/>
                <w:szCs w:val="15"/>
                <w:color w:val="auto"/>
                <w:vertAlign w:val="superscript"/>
              </w:rPr>
              <w:t>(1)</w:t>
            </w:r>
          </w:p>
        </w:tc>
        <w:tc>
          <w:tcPr>
            <w:tcW w:w="100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27,133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w:t>
            </w:r>
          </w:p>
        </w:tc>
      </w:tr>
      <w:tr>
        <w:trPr>
          <w:trHeight w:val="153"/>
        </w:trPr>
        <w:tc>
          <w:tcPr>
            <w:tcW w:w="808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12,430</w:t>
            </w:r>
          </w:p>
        </w:tc>
      </w:tr>
      <w:tr>
        <w:trPr>
          <w:trHeight w:val="153"/>
        </w:trPr>
        <w:tc>
          <w:tcPr>
            <w:tcW w:w="80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Deferred commissions</w:t>
            </w:r>
            <w:r>
              <w:rPr>
                <w:rFonts w:ascii="Times New Roman" w:cs="Times New Roman" w:eastAsia="Times New Roman" w:hAnsi="Times New Roman"/>
                <w:sz w:val="15"/>
                <w:szCs w:val="15"/>
                <w:color w:val="auto"/>
                <w:vertAlign w:val="superscript"/>
              </w:rPr>
              <w:t>(2)</w:t>
            </w: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9,898</w:t>
            </w:r>
          </w:p>
        </w:tc>
      </w:tr>
      <w:tr>
        <w:trPr>
          <w:trHeight w:val="153"/>
        </w:trPr>
        <w:tc>
          <w:tcPr>
            <w:tcW w:w="80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Deposits for insurance services</w:t>
            </w:r>
            <w:r>
              <w:rPr>
                <w:rFonts w:ascii="Times New Roman" w:cs="Times New Roman" w:eastAsia="Times New Roman" w:hAnsi="Times New Roman"/>
                <w:sz w:val="15"/>
                <w:szCs w:val="15"/>
                <w:color w:val="auto"/>
                <w:vertAlign w:val="superscript"/>
              </w:rPr>
              <w:t>(3)</w:t>
            </w:r>
          </w:p>
        </w:tc>
        <w:tc>
          <w:tcPr>
            <w:tcW w:w="10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6,668</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0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3,447</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2,722</w:t>
            </w:r>
          </w:p>
        </w:tc>
      </w:tr>
      <w:tr>
        <w:trPr>
          <w:trHeight w:val="142"/>
        </w:trPr>
        <w:tc>
          <w:tcPr>
            <w:tcW w:w="808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auto"/>
              </w:rPr>
              <w:t>Total Prepaid expenses and other current assets</w:t>
            </w:r>
          </w:p>
        </w:tc>
        <w:tc>
          <w:tcPr>
            <w:tcW w:w="1000" w:type="dxa"/>
            <w:vAlign w:val="bottom"/>
            <w:tcBorders>
              <w:bottom w:val="single" w:sz="8" w:color="auto"/>
            </w:tcBorders>
          </w:tcPr>
          <w:p>
            <w:pPr>
              <w:jc w:val="right"/>
              <w:ind w:right="88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65,218</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32,807</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For additional information on income tax, refer to Note 14, </w:t>
      </w:r>
      <w:r>
        <w:rPr>
          <w:rFonts w:ascii="Times New Roman" w:cs="Times New Roman" w:eastAsia="Times New Roman" w:hAnsi="Times New Roman"/>
          <w:sz w:val="12"/>
          <w:szCs w:val="12"/>
          <w:i w:val="1"/>
          <w:iCs w:val="1"/>
          <w:color w:val="auto"/>
        </w:rPr>
        <w:t>Income Taxes.</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For additional information on deferred commissions, refer to Deferred Costs in Note 2, </w:t>
      </w:r>
      <w:r>
        <w:rPr>
          <w:rFonts w:ascii="Times New Roman" w:cs="Times New Roman" w:eastAsia="Times New Roman" w:hAnsi="Times New Roman"/>
          <w:sz w:val="12"/>
          <w:szCs w:val="12"/>
          <w:i w:val="1"/>
          <w:iCs w:val="1"/>
          <w:color w:val="auto"/>
        </w:rPr>
        <w:t>Summary of Significant Accounting Policies.</w:t>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xml:space="preserve">For additional information on deposits held with a third party related to requirements to maintain collateral for insurance services, refer to "Liability to Landlord Insurance" in Note 11, </w:t>
      </w:r>
      <w:r>
        <w:rPr>
          <w:rFonts w:ascii="Times New Roman" w:cs="Times New Roman" w:eastAsia="Times New Roman" w:hAnsi="Times New Roman"/>
          <w:sz w:val="12"/>
          <w:szCs w:val="12"/>
          <w:i w:val="1"/>
          <w:iCs w:val="1"/>
          <w:color w:val="auto"/>
        </w:rPr>
        <w:t>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Accrued Employee Expenses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Accrued employee expenses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Accrued bonuses</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43,298</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17,092</w:t>
            </w:r>
          </w:p>
        </w:tc>
      </w:tr>
      <w:tr>
        <w:trPr>
          <w:trHeight w:val="15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payroll and other</w:t>
            </w: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16,476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13,065</w:t>
            </w:r>
          </w:p>
        </w:tc>
      </w:tr>
      <w:tr>
        <w:trPr>
          <w:trHeight w:val="158"/>
        </w:trPr>
        <w:tc>
          <w:tcPr>
            <w:tcW w:w="8080" w:type="dxa"/>
            <w:vAlign w:val="bottom"/>
            <w:tcBorders>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accrued employee expenses</w:t>
            </w:r>
          </w:p>
        </w:tc>
        <w:tc>
          <w:tcPr>
            <w:tcW w:w="102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59,774</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30,157</w:t>
            </w:r>
          </w:p>
        </w:tc>
      </w:tr>
    </w:tbl>
    <w:p>
      <w:pPr>
        <w:spacing w:after="0" w:line="121" w:lineRule="exact"/>
        <w:rPr>
          <w:sz w:val="20"/>
          <w:szCs w:val="20"/>
          <w:color w:val="auto"/>
        </w:rPr>
      </w:pPr>
    </w:p>
    <w:p>
      <w:pPr>
        <w:jc w:val="both"/>
        <w:ind w:right="20" w:firstLine="432"/>
        <w:spacing w:after="0" w:line="233" w:lineRule="auto"/>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Accrued bonuses increased significantly as of December 31, 2025, due to the shift from a semi-annual to an annual payment cycle. Whereas a portion of the prior year’s bonus was paid mid-year, the 2025 fiscal year accrual represents the total annual incentive to be paid in the first quarter of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Current Liabilities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Current Liabilities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tcBorders>
              <w:bottom w:val="single" w:sz="8" w:color="auto"/>
            </w:tcBorders>
          </w:tcPr>
          <w:p>
            <w:pPr>
              <w:spacing w:after="0"/>
              <w:rPr>
                <w:sz w:val="11"/>
                <w:szCs w:val="11"/>
                <w:color w:val="auto"/>
              </w:rPr>
            </w:pPr>
          </w:p>
        </w:tc>
      </w:tr>
      <w:tr>
        <w:trPr>
          <w:trHeight w:val="128"/>
        </w:trPr>
        <w:tc>
          <w:tcPr>
            <w:tcW w:w="80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Unearned premium liabilities</w:t>
            </w:r>
            <w:r>
              <w:rPr>
                <w:rFonts w:ascii="Times New Roman" w:cs="Times New Roman" w:eastAsia="Times New Roman" w:hAnsi="Times New Roman"/>
                <w:sz w:val="15"/>
                <w:szCs w:val="15"/>
                <w:color w:val="auto"/>
                <w:vertAlign w:val="superscript"/>
              </w:rPr>
              <w:t>(1)</w:t>
            </w:r>
          </w:p>
        </w:tc>
        <w:tc>
          <w:tcPr>
            <w:tcW w:w="102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5,455</w:t>
            </w:r>
          </w:p>
        </w:tc>
      </w:tr>
      <w:tr>
        <w:trPr>
          <w:trHeight w:val="153"/>
        </w:trPr>
        <w:tc>
          <w:tcPr>
            <w:tcW w:w="80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Insurance reserves</w:t>
            </w:r>
            <w:r>
              <w:rPr>
                <w:rFonts w:ascii="Times New Roman" w:cs="Times New Roman" w:eastAsia="Times New Roman" w:hAnsi="Times New Roman"/>
                <w:sz w:val="15"/>
                <w:szCs w:val="15"/>
                <w:color w:val="auto"/>
                <w:vertAlign w:val="superscript"/>
              </w:rPr>
              <w:t>(2)</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3,908</w:t>
            </w:r>
          </w:p>
        </w:tc>
      </w:tr>
      <w:tr>
        <w:trPr>
          <w:trHeight w:val="15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liabilities-current</w:t>
            </w: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4,873</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4,273</w:t>
            </w:r>
          </w:p>
        </w:tc>
      </w:tr>
      <w:tr>
        <w:trPr>
          <w:trHeight w:val="153"/>
        </w:trPr>
        <w:tc>
          <w:tcPr>
            <w:tcW w:w="8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Others</w:t>
            </w: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2,451</w:t>
            </w:r>
          </w:p>
        </w:tc>
      </w:tr>
      <w:tr>
        <w:trPr>
          <w:trHeight w:val="158"/>
        </w:trPr>
        <w:tc>
          <w:tcPr>
            <w:tcW w:w="8080" w:type="dxa"/>
            <w:vAlign w:val="bottom"/>
            <w:tcBorders>
              <w:bottom w:val="single" w:sz="8" w:color="CCEEFF"/>
            </w:tcBorders>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other current liabilities</w:t>
            </w:r>
          </w:p>
        </w:tc>
        <w:tc>
          <w:tcPr>
            <w:tcW w:w="102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22,121</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16,087</w:t>
            </w:r>
          </w:p>
        </w:tc>
      </w:tr>
    </w:tbl>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Unearned premium liabilities are the refundable portion of commissions received in connection with the sale of renters insurance policies to residents through AppFolio Insurance Services, Inc., our wholly-owned subsidiary.</w:t>
      </w:r>
    </w:p>
    <w:p>
      <w:pPr>
        <w:spacing w:after="0"/>
        <w:rPr>
          <w:sz w:val="20"/>
          <w:szCs w:val="20"/>
          <w:color w:val="auto"/>
        </w:rPr>
      </w:pPr>
      <w:r>
        <w:rPr>
          <w:rFonts w:ascii="Times New Roman" w:cs="Times New Roman" w:eastAsia="Times New Roman" w:hAnsi="Times New Roman"/>
          <w:sz w:val="12"/>
          <w:szCs w:val="12"/>
          <w:color w:val="auto"/>
        </w:rPr>
        <w:t>In the event a resident cancels their renters insurance policy prior to the end of such policy, we may be required to refund a pro rata portion of the commission paid on such policy.</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xml:space="preserve">For additional information on insurance reserves, refer to "Legal Liability to Landlord Insurance" in Note 11, </w:t>
      </w:r>
      <w:r>
        <w:rPr>
          <w:rFonts w:ascii="Times New Roman" w:cs="Times New Roman" w:eastAsia="Times New Roman" w:hAnsi="Times New Roman"/>
          <w:sz w:val="12"/>
          <w:szCs w:val="12"/>
          <w:i w:val="1"/>
          <w:iCs w:val="1"/>
          <w:color w:val="auto"/>
        </w:rPr>
        <w:t>Commitments and Contingencies.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58" w:name="page59"/>
    <w:bookmarkEnd w:id="58"/>
    <w:p>
      <w:pPr>
        <w:ind w:left="428" w:right="9440" w:hanging="428"/>
        <w:spacing w:after="0" w:line="379" w:lineRule="auto"/>
        <w:tabs>
          <w:tab w:leader="none" w:pos="169"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Contingencies </w:t>
      </w:r>
      <w:r>
        <w:rPr>
          <w:rFonts w:ascii="Times New Roman" w:cs="Times New Roman" w:eastAsia="Times New Roman" w:hAnsi="Times New Roman"/>
          <w:sz w:val="12"/>
          <w:szCs w:val="12"/>
          <w:b w:val="1"/>
          <w:bCs w:val="1"/>
          <w:i w:val="1"/>
          <w:iCs w:val="1"/>
          <w:color w:val="auto"/>
        </w:rPr>
        <w:t>Commitments</w:t>
      </w: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our non-cancelable purchase commitments for business operations totaled $31.3 million, which are due primarily over the next three years. Operating lease obligations associated with lease facilities totaled $38.2 million as of December 31, 2025 and have varying maturities with $44.8 million due over the next five years.</w:t>
      </w:r>
    </w:p>
    <w:p>
      <w:pPr>
        <w:spacing w:after="0" w:line="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Liability to Landlord Insurance</w:t>
      </w:r>
    </w:p>
    <w:p>
      <w:pPr>
        <w:spacing w:after="0" w:line="8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 xml:space="preserve">We have a wholly-owned subsidiary, Terra Mar Insurance Company, Inc., which was established in connection with reinsuring liability to landlord insurance policies offered to our customers by a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December 31, 2025 and 2024 was $6.6 million and $3.9 million, respectively, and is included in </w:t>
      </w:r>
      <w:r>
        <w:rPr>
          <w:rFonts w:ascii="Times New Roman" w:cs="Times New Roman" w:eastAsia="Times New Roman" w:hAnsi="Times New Roman"/>
          <w:sz w:val="12"/>
          <w:szCs w:val="12"/>
          <w:i w:val="1"/>
          <w:iCs w:val="1"/>
          <w:color w:val="auto"/>
        </w:rPr>
        <w:t>Other current liabilities</w:t>
      </w:r>
      <w:r>
        <w:rPr>
          <w:rFonts w:ascii="Times New Roman" w:cs="Times New Roman" w:eastAsia="Times New Roman" w:hAnsi="Times New Roman"/>
          <w:sz w:val="12"/>
          <w:szCs w:val="12"/>
          <w:color w:val="auto"/>
        </w:rPr>
        <w:t xml:space="preserve"> on our Consolidated Balance Sheets.</w:t>
      </w:r>
    </w:p>
    <w:p>
      <w:pPr>
        <w:spacing w:after="0" w:line="48" w:lineRule="exact"/>
        <w:rPr>
          <w:sz w:val="20"/>
          <w:szCs w:val="20"/>
          <w:color w:val="auto"/>
        </w:rPr>
      </w:pPr>
    </w:p>
    <w:p>
      <w:pPr>
        <w:jc w:val="both"/>
        <w:ind w:left="8" w:firstLine="432"/>
        <w:spacing w:after="0" w:line="283" w:lineRule="auto"/>
        <w:rPr>
          <w:sz w:val="20"/>
          <w:szCs w:val="20"/>
          <w:color w:val="auto"/>
        </w:rPr>
      </w:pPr>
      <w:r>
        <w:rPr>
          <w:rFonts w:ascii="Times New Roman" w:cs="Times New Roman" w:eastAsia="Times New Roman" w:hAnsi="Times New Roman"/>
          <w:sz w:val="12"/>
          <w:szCs w:val="12"/>
          <w:color w:val="auto"/>
        </w:rPr>
        <w:t xml:space="preserve">Included in </w:t>
      </w:r>
      <w:r>
        <w:rPr>
          <w:rFonts w:ascii="Times New Roman" w:cs="Times New Roman" w:eastAsia="Times New Roman" w:hAnsi="Times New Roman"/>
          <w:sz w:val="12"/>
          <w:szCs w:val="12"/>
          <w:i w:val="1"/>
          <w:iCs w:val="1"/>
          <w:color w:val="auto"/>
        </w:rPr>
        <w:t>Prepaid expenses and other current assets</w:t>
      </w:r>
      <w:r>
        <w:rPr>
          <w:rFonts w:ascii="Times New Roman" w:cs="Times New Roman" w:eastAsia="Times New Roman" w:hAnsi="Times New Roman"/>
          <w:sz w:val="12"/>
          <w:szCs w:val="12"/>
          <w:color w:val="auto"/>
        </w:rPr>
        <w:t xml:space="preserve"> as of December 31, 2025 and 2024 are $7.8 million and $6.7 million, respectively, of deposits held with a third party related to requirements to maintain collateral for this risk mitigation service.</w:t>
      </w:r>
    </w:p>
    <w:p>
      <w:pPr>
        <w:spacing w:after="0" w:line="3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Credit Facility</w:t>
      </w:r>
    </w:p>
    <w:p>
      <w:pPr>
        <w:spacing w:after="0" w:line="82"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On September 30, 2025, we entered into the Credit Facility which provides for a $150.0 million senior secured revolving credit facility, including sublimits of $25.0 million for letters of credit and $25.0 million for swingline loans, and is scheduled to mature on September 30, 2030. We may, subject to customary conditions and consent of the applicable lenders, increase the revolving commitment or incur term loans thereunder (capped at amounts specified in the Credit Facility) or extend the maturity date of the Credit Facility.</w:t>
      </w:r>
    </w:p>
    <w:p>
      <w:pPr>
        <w:spacing w:after="0" w:line="43"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Borrowings under the Credit Facility bear interest at variable rates based, at our option, on Term Secured Overnight Financing Rate Data ("SOFR"), Daily Simple SOFR, or a Base Rate, plus an applicable margin (ranging from 125.0 to 200.00 basis points in the case of Term SOFR and Daily Simple SOFR and 25.0 to 100.00 basis points in the case of the Base Rate) determined by our Consolidated Net Leverage Ratio, all as defined in the Credit Facility. We also pay a quarterly commitment fee (ranging from 15.0 to 30.0 basis points depending on our Consolidated Net Leverage Ratio) on unused amounts, as well as customary letter of credit and agency fees.</w:t>
      </w:r>
    </w:p>
    <w:p>
      <w:pPr>
        <w:spacing w:after="0" w:line="47"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The obligations under the Credit Facility are guaranteed by certain of our subsidiaries and secured by a first-priority security interest in substantially all of our and our guarantors' personal property, subject to customary exclusions and exceptions. The Credit Facility includes customary representations, warranties, affirmative and negative covenants, including a financial covenant requiring maintenance of a Consolidated Net Leverage Ratio, and events of default. The negative covenants include, among other things, restrictions on our and our subsidiaries' ability to incur indebtedness and liens, make investments, pay dividends or distributions or repurchase equity interests, merge, consolidate or otherwise dispose of assets, enter into transactions with affiliates, and prepay, redeem, purchase or otherwise retire junior indebtedness, all subject to certain exceptions.</w:t>
      </w:r>
    </w:p>
    <w:p>
      <w:pPr>
        <w:spacing w:after="0" w:line="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As of December 31, 2025, there were no outstanding borrowings under the Credit Facility, and we were in compliance with the covenants under the Credit Facility.</w:t>
      </w:r>
    </w:p>
    <w:p>
      <w:pPr>
        <w:spacing w:after="0" w:line="7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8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From time to time, we are involved in various other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spacing w:after="0" w:line="200" w:lineRule="exact"/>
        <w:rPr>
          <w:sz w:val="20"/>
          <w:szCs w:val="20"/>
          <w:color w:val="auto"/>
        </w:rPr>
      </w:pPr>
    </w:p>
    <w:p>
      <w:pPr>
        <w:spacing w:after="0" w:line="2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26" w:right="29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Indemnification</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Stockholders' Equity</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Amended and Restated Certificate of Incorporation</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Under our Amended and Restated Certificate of Incorporation, we are authorized to issue 250,000,000 shares of Class A common stock, 50,000,000 shares of Class B common stock and 25,000,000 shares of undesignated preferred stock, each with a par value of $0.0001 per share.</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Class A Common Stock and Class B Common Stock</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Holders of our Class A common stock and Class B common stock are entitled to dividends when, as, and if declared by our Board of Directors, subject to the rights of the holders of all classes of stock outstanding having priority rights to dividends. As of December 31, 2025, we have not declared any dividends. The holder of each share of Class A common stock is entitled to one vote, while the holder of each share of Class B common stock is entitled to ten votes. Each share of our Class B common stock is convertible at any time at the option of the holder into one share of our Class A common stock and generally converts into a share of our Class A common stock upon transfer. Class A common stock and Class B common stock are collectively referred to as common stock throughout the notes to these financial statements, unless otherwise noted.</w:t>
      </w:r>
    </w:p>
    <w:p>
      <w:pPr>
        <w:spacing w:after="0" w:line="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Board of Directors, subject to the limitations prescribed by Delaware law, has the authority to issue up to 25,000,000 shares of preferred stock and to determine the price, rights, preferences, privileges and restrictions, including voting rights, of those shares without any further vote or action by the stockholders.</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Share Repurchase Program</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February 20, 2019, our Board of Directors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the repurchases, we substantially exhausted the remaining shares available for purchase under the 2019 Stock Repurchase Program, and it has terminated.</w:t>
      </w:r>
    </w:p>
    <w:p>
      <w:pPr>
        <w:spacing w:after="0" w:line="4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second quarter of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 We did not repurchase any shares of our Class A common stock during the third or fourth quarter of 2025.</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2025, the amount remaining available for repurchases under the 2025 Stock Repurchase Program was $250.0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b w:val="1"/>
          <w:bCs w:val="1"/>
          <w:color w:val="auto"/>
        </w:rPr>
        <w:t>13. Stock-Based Compensation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currently have two stock incentive plans: the 2015 Stock Incentive Plan (the "2015 Plan") and, the 2025 Omnibus Incentive Plan (the "2025 Plan"), which was approved by our stockholders at our 2024 annual meeting of stockholders.</w:t>
      </w:r>
    </w:p>
    <w:p>
      <w:pPr>
        <w:spacing w:after="0" w:line="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did not grant any awards under the 2025 Plan in 2024. On January 1, 2025, the 2025 Plan superseded and replaced the 2015 Plan and no further awards will be granted under the 2015 Plan, but the 2015 Plan will continue to govern outstanding awards granted under the 2015 Plan.</w:t>
      </w:r>
    </w:p>
    <w:p>
      <w:pPr>
        <w:spacing w:after="0" w:line="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the 2025 Plan, 1,500,000 shares of our Class A common stock were initially reserved and available for grant and issuance subject to adjustment in accordance with the terms of the 2025 Plan. In addition, the number of shares of Class A common stock authorized for issuance under the 2025 Plan will be subject to an annual increase on January 31 of each calendar year during the term of the 2025 Plan, equal to the lesser of (a) the total number of shares of Class A common stock underlying awards granted under the 2025 Plan in the immediately preceding calendar year, less the sum of (i) the number of shares of Class A common stock subject to an award granted under the 2025 Plan that expired, or was canceled, forfeited or terminated, and (ii) the number of shares of Class A common stock withheld by the Company to satisfy any tax withholding obligation, in the case of each of (i) and (ii), during the immediately preceding calendar year, and (b) such smaller number of shares of Class A common stock as is determined by the Board of Directors. We granted RSUs and PSUs during 2025 pursuant to the 2025 Plan.</w:t>
      </w:r>
    </w:p>
    <w:p>
      <w:pPr>
        <w:spacing w:after="0" w:line="5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RSUs and PSUs represent the right on the part of the holder to receive shares of our Class A common stock at a specified date in the future and/or upon the achievement of performance conditions at the discretion of our compensation committee, subject to forfeiture of that right due to termination of employment.</w:t>
      </w:r>
    </w:p>
    <w:p>
      <w:pPr>
        <w:spacing w:after="0" w:line="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Our 2025 Employee Stock Purchase Plan (the “ESPP”) authorizes the issuance of shares of our Class A common stock pursuant to purchase rights granted to our employees. The purchase price for shares purchased under the 2025 ESPP with respect to any offering period is an amount equal to 85% of the fair market value of a share of our Class A common stock on the applicable purchase date (i.e., the last trading day of the applicable offering period). Offering periods are six months long and begin on February 16 and August 16 of each year. The first offering period under the ESPP began on Monday, February 17, 2025. 1,250,000 shares of Class A common stock are authorized for issuance under the ESPP, subject to adjustment in accordance with the terms of the ESPP. In addition, commencing on January 31, 2026 and on each January 31st thereafter during the term of the ESPP, the number of shares of Class A common stock authorized for issuance under the ESPP will be increased by the lesser of (a) the number of shares of Class A common stock issued or transferred pursuant to rights granted under the ESPP during the preceding calendar year, (b) such lesser number of shares of Class A common stock as determined by our compensation committee, or (c) 1,250,000 shares of Class A common stock. For the year ended December 31, 2025, our stock-based compensation expense for the ESPP was not material.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summary of activity in connection with our stock options for the year ended December 31, 2025 is as follows (number of shares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280" w:type="dxa"/>
            <w:vAlign w:val="bottom"/>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Weighted Average Exercise</w:t>
            </w:r>
          </w:p>
        </w:tc>
        <w:tc>
          <w:tcPr>
            <w:tcW w:w="172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Weighted Average Remaining</w:t>
            </w:r>
          </w:p>
        </w:tc>
        <w:tc>
          <w:tcPr>
            <w:tcW w:w="0" w:type="dxa"/>
            <w:vAlign w:val="bottom"/>
          </w:tcPr>
          <w:p>
            <w:pPr>
              <w:spacing w:after="0"/>
              <w:rPr>
                <w:sz w:val="1"/>
                <w:szCs w:val="1"/>
                <w:color w:val="auto"/>
              </w:rPr>
            </w:pPr>
          </w:p>
        </w:tc>
      </w:tr>
      <w:tr>
        <w:trPr>
          <w:trHeight w:val="129"/>
        </w:trPr>
        <w:tc>
          <w:tcPr>
            <w:tcW w:w="62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Price per Share</w:t>
            </w:r>
          </w:p>
        </w:tc>
        <w:tc>
          <w:tcPr>
            <w:tcW w:w="440" w:type="dxa"/>
            <w:vAlign w:val="bottom"/>
            <w:tcBorders>
              <w:bottom w:val="single" w:sz="8" w:color="auto"/>
            </w:tcBorders>
          </w:tcPr>
          <w:p>
            <w:pPr>
              <w:spacing w:after="0"/>
              <w:rPr>
                <w:sz w:val="11"/>
                <w:szCs w:val="11"/>
                <w:color w:val="auto"/>
              </w:rPr>
            </w:pPr>
          </w:p>
        </w:tc>
        <w:tc>
          <w:tcPr>
            <w:tcW w:w="1720" w:type="dxa"/>
            <w:vAlign w:val="bottom"/>
            <w:tcBorders>
              <w:bottom w:val="single" w:sz="8" w:color="CCEEFF"/>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Contractual Life in Years</w:t>
            </w:r>
          </w:p>
        </w:tc>
        <w:tc>
          <w:tcPr>
            <w:tcW w:w="0" w:type="dxa"/>
            <w:vAlign w:val="bottom"/>
          </w:tcPr>
          <w:p>
            <w:pPr>
              <w:spacing w:after="0"/>
              <w:rPr>
                <w:sz w:val="1"/>
                <w:szCs w:val="1"/>
                <w:color w:val="auto"/>
              </w:rPr>
            </w:pPr>
          </w:p>
        </w:tc>
      </w:tr>
      <w:tr>
        <w:trPr>
          <w:trHeight w:val="14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outstanding as of December 31, 2024</w:t>
            </w: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w:t>
            </w: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cancelled/forfeited</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Options outstanding as of December 31, 2025</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280" w:type="dxa"/>
            <w:vAlign w:val="bottom"/>
            <w:tcBorders>
              <w:top w:val="single" w:sz="8" w:color="CCEEFF"/>
              <w:bottom w:val="single" w:sz="8" w:color="CCEEFF"/>
            </w:tcBorders>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129.74</w:t>
            </w: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90"/>
        </w:trPr>
        <w:tc>
          <w:tcPr>
            <w:tcW w:w="6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 December 31, 2025: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Options vested and expected to vest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280" w:type="dxa"/>
            <w:vAlign w:val="bottom"/>
            <w:gridSpan w:val="2"/>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129.74</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53"/>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280" w:type="dxa"/>
            <w:vAlign w:val="bottom"/>
            <w:gridSpan w:val="2"/>
            <w:shd w:val="clear" w:color="auto" w:fill="CCEEFF"/>
          </w:tcPr>
          <w:p>
            <w:pPr>
              <w:jc w:val="right"/>
              <w:ind w:right="1068"/>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stock-based compensation expense for stock options was not material for the periods presented.</w:t>
      </w:r>
    </w:p>
    <w:p>
      <w:pPr>
        <w:spacing w:after="0" w:line="7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total intrinsic value of options exercised in 2025, 2024 and 2023 was $1.9 million, $52.2 million and $36.4 million, respectively. This intrinsic value represents the difference between the fair value of our Class A common stock on the date of exercise and the exercise price of each option. Based on the fair value of our Class A common stock as of December 31, 2025, the total intrinsic value of all outstanding options, exercisable options, and options vested and expected to vest was $17.5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6" w:right="299"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summary of activity in connection with our RSUs for the year ended December 31, 2025 is as follows (number of shares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Weighted Average Grant Date</w:t>
            </w:r>
          </w:p>
        </w:tc>
        <w:tc>
          <w:tcPr>
            <w:tcW w:w="0" w:type="dxa"/>
            <w:vAlign w:val="bottom"/>
          </w:tcPr>
          <w:p>
            <w:pPr>
              <w:spacing w:after="0"/>
              <w:rPr>
                <w:sz w:val="1"/>
                <w:szCs w:val="1"/>
                <w:color w:val="auto"/>
              </w:rPr>
            </w:pPr>
          </w:p>
        </w:tc>
      </w:tr>
      <w:tr>
        <w:trPr>
          <w:trHeight w:val="130"/>
        </w:trPr>
        <w:tc>
          <w:tcPr>
            <w:tcW w:w="74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Fair Value per Share</w:t>
            </w:r>
          </w:p>
        </w:tc>
        <w:tc>
          <w:tcPr>
            <w:tcW w:w="0" w:type="dxa"/>
            <w:vAlign w:val="bottom"/>
          </w:tcPr>
          <w:p>
            <w:pPr>
              <w:spacing w:after="0"/>
              <w:rPr>
                <w:sz w:val="1"/>
                <w:szCs w:val="1"/>
                <w:color w:val="auto"/>
              </w:rPr>
            </w:pPr>
          </w:p>
        </w:tc>
      </w:tr>
      <w:tr>
        <w:trPr>
          <w:trHeight w:val="147"/>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as of December 31, 2024</w:t>
            </w:r>
          </w:p>
        </w:tc>
        <w:tc>
          <w:tcPr>
            <w:tcW w:w="144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9"/>
              </w:rPr>
              <w:t>785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159.98</w:t>
            </w:r>
          </w:p>
        </w:tc>
        <w:tc>
          <w:tcPr>
            <w:tcW w:w="0" w:type="dxa"/>
            <w:vAlign w:val="bottom"/>
          </w:tcPr>
          <w:p>
            <w:pPr>
              <w:spacing w:after="0"/>
              <w:rPr>
                <w:sz w:val="1"/>
                <w:szCs w:val="1"/>
                <w:color w:val="auto"/>
              </w:rPr>
            </w:pPr>
          </w:p>
        </w:tc>
      </w:tr>
      <w:tr>
        <w:trPr>
          <w:trHeight w:val="153"/>
        </w:trPr>
        <w:tc>
          <w:tcPr>
            <w:tcW w:w="8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0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393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226.81</w:t>
            </w:r>
          </w:p>
        </w:tc>
        <w:tc>
          <w:tcPr>
            <w:tcW w:w="0" w:type="dxa"/>
            <w:vAlign w:val="bottom"/>
          </w:tcPr>
          <w:p>
            <w:pPr>
              <w:spacing w:after="0"/>
              <w:rPr>
                <w:sz w:val="1"/>
                <w:szCs w:val="1"/>
                <w:color w:val="auto"/>
              </w:rPr>
            </w:pPr>
          </w:p>
        </w:tc>
      </w:tr>
      <w:tr>
        <w:trPr>
          <w:trHeight w:val="153"/>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40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(439)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156.35</w:t>
            </w:r>
          </w:p>
        </w:tc>
        <w:tc>
          <w:tcPr>
            <w:tcW w:w="0" w:type="dxa"/>
            <w:vAlign w:val="bottom"/>
          </w:tcPr>
          <w:p>
            <w:pPr>
              <w:spacing w:after="0"/>
              <w:rPr>
                <w:sz w:val="1"/>
                <w:szCs w:val="1"/>
                <w:color w:val="auto"/>
              </w:rPr>
            </w:pPr>
          </w:p>
        </w:tc>
      </w:tr>
      <w:tr>
        <w:trPr>
          <w:trHeight w:val="153"/>
        </w:trPr>
        <w:tc>
          <w:tcPr>
            <w:tcW w:w="8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w:t>
            </w:r>
          </w:p>
        </w:tc>
        <w:tc>
          <w:tcPr>
            <w:tcW w:w="40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2"/>
              </w:rPr>
              <w:t>(112)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180.07</w:t>
            </w:r>
          </w:p>
        </w:tc>
        <w:tc>
          <w:tcPr>
            <w:tcW w:w="0" w:type="dxa"/>
            <w:vAlign w:val="bottom"/>
          </w:tcPr>
          <w:p>
            <w:pPr>
              <w:spacing w:after="0"/>
              <w:rPr>
                <w:sz w:val="1"/>
                <w:szCs w:val="1"/>
                <w:color w:val="auto"/>
              </w:rPr>
            </w:pPr>
          </w:p>
        </w:tc>
      </w:tr>
      <w:tr>
        <w:trPr>
          <w:trHeight w:val="158"/>
        </w:trPr>
        <w:tc>
          <w:tcPr>
            <w:tcW w:w="746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Unvested as of December 31, 2025</w:t>
            </w:r>
          </w:p>
        </w:tc>
        <w:tc>
          <w:tcPr>
            <w:tcW w:w="144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9"/>
              </w:rPr>
              <w:t>627</w:t>
            </w:r>
          </w:p>
        </w:tc>
        <w:tc>
          <w:tcPr>
            <w:tcW w:w="280" w:type="dxa"/>
            <w:vAlign w:val="bottom"/>
            <w:tcBorders>
              <w:top w:val="single" w:sz="8" w:color="CCEEFF"/>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200.81</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Unvested RSUs as of December 31, 2025 were composed of 0.6 million RSUs with only service conditions and 0.1 million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 at 100% of the performance target. The unvested PSUs as of December 31, 2025, are subject to vesting based on the achievement of pre-established performance metrics for the year ending December 31, 2025 and will vest over a three year period, assuming continued employment through each applicable vesting date. The actual number of shares to be granted at the end of the performance period will range from 0% to 171% of the target number of shares depending on achievement relative to the performance metric over the applicable period.</w:t>
      </w:r>
    </w:p>
    <w:p>
      <w:pPr>
        <w:spacing w:after="0" w:line="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recognized stock-based compensation expense for the RSUs and PSUs of $69.4 million, $59.2 million and $51.0 million for the years ended December 31, 2025, 2024 and 2023, respectively. As of December 31, 2025, the total estimated remaining stock-based compensation expense for the aforementioned RSUs and PSUs was $100.2 million, which is expected to be recognized over a weighted average period of 2.2 years. The total fair value of RSUs and PSUs vested during the years ended December 31, 2025, 2024 and 2023 was approximately $107.1 million, $111.8 million and $82.2 million, respectively.</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14. Income Taxes</w:t>
      </w:r>
    </w:p>
    <w:p>
      <w:pPr>
        <w:spacing w:after="0" w:line="8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described in Note 2, Summary of Significant Accounting Policies, we have elected to prospectively adopt the guidance in ASU 2023-09, Improvements to Income Taxes Disclosures. The following table is a reconciliation of the U.S. federal statutory rate of 21% to our effective tax rate for the year ended December 31, 2025 in accordance with the guidance in ASU 2023-09: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center"/>
              <w:ind w:left="322"/>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920" w:type="dxa"/>
            <w:vAlign w:val="bottom"/>
            <w:tcBorders>
              <w:bottom w:val="single" w:sz="8" w:color="auto"/>
            </w:tcBorders>
          </w:tcPr>
          <w:p>
            <w:pPr>
              <w:spacing w:after="0"/>
              <w:rPr>
                <w:sz w:val="11"/>
                <w:szCs w:val="11"/>
                <w:color w:val="auto"/>
              </w:rPr>
            </w:pPr>
          </w:p>
        </w:tc>
      </w:tr>
      <w:tr>
        <w:trPr>
          <w:trHeight w:val="133"/>
        </w:trPr>
        <w:tc>
          <w:tcPr>
            <w:tcW w:w="7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right"/>
              <w:ind w:right="10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920" w:type="dxa"/>
            <w:vAlign w:val="bottom"/>
            <w:tcBorders>
              <w:bottom w:val="single" w:sz="8" w:color="auto"/>
            </w:tcBorders>
          </w:tcPr>
          <w:p>
            <w:pPr>
              <w:spacing w:after="0"/>
              <w:rPr>
                <w:sz w:val="11"/>
                <w:szCs w:val="11"/>
                <w:color w:val="auto"/>
              </w:rPr>
            </w:pPr>
          </w:p>
        </w:tc>
      </w:tr>
      <w:tr>
        <w:trPr>
          <w:trHeight w:val="151"/>
        </w:trPr>
        <w:tc>
          <w:tcPr>
            <w:tcW w:w="7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7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(dollars in thousands)</w:t>
            </w:r>
          </w:p>
        </w:tc>
        <w:tc>
          <w:tcPr>
            <w:tcW w:w="920" w:type="dxa"/>
            <w:vAlign w:val="bottom"/>
            <w:shd w:val="clear" w:color="auto" w:fill="CCEEFF"/>
          </w:tcPr>
          <w:p>
            <w:pPr>
              <w:spacing w:after="0"/>
              <w:rPr>
                <w:sz w:val="13"/>
                <w:szCs w:val="13"/>
                <w:color w:val="auto"/>
              </w:rPr>
            </w:pPr>
          </w:p>
        </w:tc>
      </w:tr>
      <w:tr>
        <w:trPr>
          <w:trHeight w:val="153"/>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U.S. federal statutory income tax rate</w:t>
            </w: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33,833</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21 %</w:t>
            </w:r>
          </w:p>
        </w:tc>
      </w:tr>
      <w:tr>
        <w:trPr>
          <w:trHeight w:val="153"/>
        </w:trPr>
        <w:tc>
          <w:tcPr>
            <w:tcW w:w="71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2"/>
                <w:szCs w:val="12"/>
                <w:color w:val="auto"/>
              </w:rPr>
              <w:t>State and local income taxes, net of federal benefit</w:t>
            </w:r>
            <w:r>
              <w:rPr>
                <w:rFonts w:ascii="Times New Roman" w:cs="Times New Roman" w:eastAsia="Times New Roman" w:hAnsi="Times New Roman"/>
                <w:sz w:val="15"/>
                <w:szCs w:val="15"/>
                <w:color w:val="auto"/>
                <w:vertAlign w:val="superscript"/>
              </w:rPr>
              <w:t>(1)</w:t>
            </w:r>
          </w:p>
        </w:tc>
        <w:tc>
          <w:tcPr>
            <w:tcW w:w="5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7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5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Nontaxable or nondeductible items</w:t>
            </w:r>
          </w:p>
        </w:tc>
        <w:tc>
          <w:tcPr>
            <w:tcW w:w="5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7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Excess tax benefits from stock-based compensation</w:t>
            </w:r>
          </w:p>
        </w:tc>
        <w:tc>
          <w:tcPr>
            <w:tcW w:w="5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(10,340)</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Non-deductible officers' compensation</w:t>
            </w:r>
          </w:p>
        </w:tc>
        <w:tc>
          <w:tcPr>
            <w:tcW w:w="5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4,559</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71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nondeductible items</w:t>
            </w:r>
          </w:p>
        </w:tc>
        <w:tc>
          <w:tcPr>
            <w:tcW w:w="5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Changes in unrecognized tax benefits</w:t>
            </w:r>
          </w:p>
        </w:tc>
        <w:tc>
          <w:tcPr>
            <w:tcW w:w="5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w:t>
            </w: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r>
      <w:tr>
        <w:trPr>
          <w:trHeight w:val="142"/>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20,189</w:t>
            </w:r>
          </w:p>
        </w:tc>
        <w:tc>
          <w:tcPr>
            <w:tcW w:w="8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13 %</w:t>
            </w:r>
          </w:p>
        </w:tc>
      </w:tr>
      <w:tr>
        <w:trPr>
          <w:trHeight w:val="20"/>
        </w:trPr>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(1)The state(s) that contribute to the majority (greater than 50%) of the tax effect in this category is California</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is a reconciliation of the U.S. federal statutory rate of 21% to our effective tax rate for the years ended December 31, 2024 and 2023 in accordance with the guidance prior to the adoption of ASU 2023-09: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7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U.S. federal statutory income tax rate</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21 %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State and local income taxes, net of federal benefit</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Federal research and development tax credits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Non-deductible officers' compensation</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permanent differences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7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1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The (benefit from) provision for income tax consists of the following (in thousands):</w:t>
            </w: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0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2"/>
              </w:rPr>
              <w:t>Year Ended 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 w:type="dxa"/>
            <w:vAlign w:val="bottom"/>
            <w:tcBorders>
              <w:bottom w:val="single" w:sz="8" w:color="CCEEFF"/>
            </w:tcBorders>
          </w:tcPr>
          <w:p>
            <w:pPr>
              <w:spacing w:after="0"/>
              <w:rPr>
                <w:sz w:val="11"/>
                <w:szCs w:val="11"/>
                <w:color w:val="auto"/>
              </w:rPr>
            </w:pPr>
          </w:p>
        </w:tc>
        <w:tc>
          <w:tcPr>
            <w:tcW w:w="71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w:t>
            </w: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Federal</w:t>
            </w:r>
          </w:p>
        </w:tc>
        <w:tc>
          <w:tcPr>
            <w:tcW w:w="860" w:type="dxa"/>
            <w:vAlign w:val="bottom"/>
            <w:gridSpan w:val="2"/>
          </w:tcPr>
          <w:p>
            <w:pPr>
              <w:jc w:val="right"/>
              <w:ind w:right="8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26,452</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CEEFF"/>
          </w:tcPr>
          <w:p>
            <w:pPr>
              <w:spacing w:after="0"/>
              <w:rPr>
                <w:sz w:val="13"/>
                <w:szCs w:val="13"/>
                <w:color w:val="auto"/>
              </w:rPr>
            </w:pPr>
          </w:p>
        </w:tc>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State and local</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6,280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2,299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Borders>
              <w:bottom w:val="single" w:sz="8" w:color="CCEEFF"/>
            </w:tcBorders>
          </w:tcPr>
          <w:p>
            <w:pPr>
              <w:spacing w:after="0"/>
              <w:rPr>
                <w:sz w:val="13"/>
                <w:szCs w:val="13"/>
                <w:color w:val="auto"/>
              </w:rPr>
            </w:pPr>
          </w:p>
        </w:tc>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Foreign</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w:t>
            </w:r>
          </w:p>
        </w:tc>
        <w:tc>
          <w:tcPr>
            <w:tcW w:w="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32,762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5,784</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Deferred</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CCEEFF"/>
          </w:tcPr>
          <w:p>
            <w:pPr>
              <w:spacing w:after="0"/>
              <w:rPr>
                <w:sz w:val="13"/>
                <w:szCs w:val="13"/>
                <w:color w:val="auto"/>
              </w:rPr>
            </w:pPr>
          </w:p>
        </w:tc>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Federal</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(46,578)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(477)</w:t>
            </w:r>
          </w:p>
        </w:tc>
        <w:tc>
          <w:tcPr>
            <w:tcW w:w="0" w:type="dxa"/>
            <w:vAlign w:val="bottom"/>
          </w:tcPr>
          <w:p>
            <w:pPr>
              <w:spacing w:after="0"/>
              <w:rPr>
                <w:sz w:val="1"/>
                <w:szCs w:val="1"/>
                <w:color w:val="auto"/>
              </w:rPr>
            </w:pPr>
          </w:p>
        </w:tc>
      </w:tr>
      <w:tr>
        <w:trPr>
          <w:trHeight w:val="153"/>
        </w:trPr>
        <w:tc>
          <w:tcPr>
            <w:tcW w:w="100" w:type="dxa"/>
            <w:vAlign w:val="bottom"/>
            <w:tcBorders>
              <w:bottom w:val="single" w:sz="8" w:color="CCEEFF"/>
            </w:tcBorders>
          </w:tcPr>
          <w:p>
            <w:pPr>
              <w:spacing w:after="0"/>
              <w:rPr>
                <w:sz w:val="13"/>
                <w:szCs w:val="13"/>
                <w:color w:val="auto"/>
              </w:rPr>
            </w:pPr>
          </w:p>
        </w:tc>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State and local</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(1,994)</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(39,930)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w:t>
            </w:r>
          </w:p>
        </w:tc>
        <w:tc>
          <w:tcPr>
            <w:tcW w:w="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17,459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(86,508)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(489)</w:t>
            </w:r>
          </w:p>
        </w:tc>
        <w:tc>
          <w:tcPr>
            <w:tcW w:w="0" w:type="dxa"/>
            <w:vAlign w:val="bottom"/>
          </w:tcPr>
          <w:p>
            <w:pPr>
              <w:spacing w:after="0"/>
              <w:rPr>
                <w:sz w:val="1"/>
                <w:szCs w:val="1"/>
                <w:color w:val="auto"/>
              </w:rPr>
            </w:pPr>
          </w:p>
        </w:tc>
      </w:tr>
      <w:tr>
        <w:trPr>
          <w:trHeight w:val="142"/>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(benefit from) provision for income taxes</w:t>
            </w:r>
          </w:p>
        </w:tc>
        <w:tc>
          <w:tcPr>
            <w:tcW w:w="86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20,189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(53,746)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5,295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1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auto"/>
              </w:rPr>
              <w:t>The components of deferred tax assets (liabilities) were as follows (in thousands):</w:t>
            </w: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00" w:type="dxa"/>
            <w:vAlign w:val="bottom"/>
          </w:tcPr>
          <w:p>
            <w:pPr>
              <w:spacing w:after="0"/>
              <w:rPr>
                <w:sz w:val="21"/>
                <w:szCs w:val="21"/>
                <w:color w:val="auto"/>
              </w:rPr>
            </w:pPr>
          </w:p>
        </w:tc>
        <w:tc>
          <w:tcPr>
            <w:tcW w:w="71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 w:type="dxa"/>
            <w:vAlign w:val="bottom"/>
            <w:tcBorders>
              <w:bottom w:val="single" w:sz="8" w:color="CCEEFF"/>
            </w:tcBorders>
          </w:tcPr>
          <w:p>
            <w:pPr>
              <w:spacing w:after="0"/>
              <w:rPr>
                <w:sz w:val="11"/>
                <w:szCs w:val="11"/>
                <w:color w:val="auto"/>
              </w:rPr>
            </w:pPr>
          </w:p>
        </w:tc>
        <w:tc>
          <w:tcPr>
            <w:tcW w:w="7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assets: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39,660</w:t>
            </w:r>
          </w:p>
        </w:tc>
        <w:tc>
          <w:tcPr>
            <w:tcW w:w="8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tax credits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36,205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24,326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Capitalized research and software costs</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66,090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 liability</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9,939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92,125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8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(15,387)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Capitalized commissions</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(5,927)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taxes</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 asset</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(4,148)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(4,695)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(33,302)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deferred tax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58,823</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76,910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evaluating the need for a valuation allowance at each reporting period, we consider the weighting of all available positive and negative evidence, which includes, among other things, the nature, frequency and severity of current and cumulative taxable income or losses, future projections of profitability, timing of the future reversal of existing temporary differences, and the duration of statutory carryforward periods. In assessing all available evidence, we determined that there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97" w:right="299" w:bottom="1440" w:gutter="0" w:footer="0" w:header="0"/>
        </w:sectPr>
      </w:pPr>
    </w:p>
    <w:bookmarkStart w:id="63" w:name="page64"/>
    <w:bookmarkEnd w:id="63"/>
    <w:p>
      <w:pPr>
        <w:jc w:val="both"/>
        <w:spacing w:after="0" w:line="279" w:lineRule="auto"/>
        <w:rPr>
          <w:sz w:val="20"/>
          <w:szCs w:val="20"/>
          <w:color w:val="auto"/>
        </w:rPr>
      </w:pPr>
      <w:r>
        <w:rPr>
          <w:rFonts w:ascii="Times New Roman" w:cs="Times New Roman" w:eastAsia="Times New Roman" w:hAnsi="Times New Roman"/>
          <w:sz w:val="12"/>
          <w:szCs w:val="12"/>
          <w:color w:val="auto"/>
        </w:rPr>
        <w:t>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of December 31, 2025, we had federal and state net operating loss carryforwards $146.8 million and $112.5 million, respectively. The federal net operating loss carryforwards do not expire and state net operating losses will begin to expire in 2028. As of December 31, 2025, we also had federal and state research and development credit carryforwards of $11.8 million and $36.9 million, respectively. The federal credit carryforwards will begin to expire in 2044, while the state credit carryforwards apply indefinitely. Utilization of our net operating loss and credit carryforwards may be subject to annual limitation due to the ownership change limitations provided by the Internal Revenue Code and similar state provisions.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is a reconciliation of the total amounts of reserves for unrecognized tax benefits from uncertain tax positions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33"/>
        </w:trPr>
        <w:tc>
          <w:tcPr>
            <w:tcW w:w="73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tax benefit beginning of year</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12,315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9,455</w:t>
            </w: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Increases-tax positions in prior year</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1,203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Increases-tax positions in current year</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3,732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2,860</w:t>
            </w: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Statute of limitation expiration</w:t>
            </w:r>
          </w:p>
        </w:tc>
        <w:tc>
          <w:tcPr>
            <w:tcW w:w="800" w:type="dxa"/>
            <w:vAlign w:val="bottom"/>
          </w:tcPr>
          <w:p>
            <w:pPr>
              <w:jc w:val="right"/>
              <w:ind w:right="663"/>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tax benefit end of year</w:t>
            </w:r>
          </w:p>
        </w:tc>
        <w:tc>
          <w:tcPr>
            <w:tcW w:w="80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18,769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14,935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12,315</w:t>
            </w:r>
          </w:p>
        </w:tc>
      </w:tr>
    </w:tbl>
    <w:p>
      <w:pPr>
        <w:spacing w:after="0" w:line="11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2025, we recorded gross uncertain tax benefits of $18.8 million a majority of which would impact our effective tax rate, if recognized. We accrued interest and penalties related to our uncertain income tax positions in our income tax expense, and the amount of interest and penalties accrued for the year ended December 31, 2025 and 2024 are immaterial.</w:t>
      </w:r>
    </w:p>
    <w:p>
      <w:pPr>
        <w:spacing w:after="0" w:line="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file income tax returns in the U.S. federal jurisdiction and various state and local jurisdictions. While the applicable statute of limitations are generally open for three to four years for the jurisdictions we file in, we remain subject to income tax examinations for years ended after December 31, 2019 for federal taxes and all years for most state jurisdictions due to the usage of carryforward attributes, such as net operating losses and research and development credits. As of December 31, 2025, we have not been notified for audit by the Internal Revenue Service or any significant state jurisdiction.</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income taxes paid (net of refunds received) for the year ended December 31, 2025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128"/>
        </w:trPr>
        <w:tc>
          <w:tcPr>
            <w:tcW w:w="3840" w:type="dxa"/>
            <w:vAlign w:val="bottom"/>
            <w:tcBorders>
              <w:bottom w:val="single" w:sz="8" w:color="CCEEFF"/>
            </w:tcBorders>
          </w:tcPr>
          <w:p>
            <w:pPr>
              <w:spacing w:after="0"/>
              <w:rPr>
                <w:sz w:val="11"/>
                <w:szCs w:val="11"/>
                <w:color w:val="auto"/>
              </w:rPr>
            </w:pPr>
          </w:p>
        </w:tc>
        <w:tc>
          <w:tcPr>
            <w:tcW w:w="48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1144"/>
              <w:spacing w:after="0"/>
              <w:rPr>
                <w:sz w:val="20"/>
                <w:szCs w:val="20"/>
                <w:color w:val="auto"/>
              </w:rPr>
            </w:pPr>
            <w:r>
              <w:rPr>
                <w:rFonts w:ascii="Times New Roman" w:cs="Times New Roman" w:eastAsia="Times New Roman" w:hAnsi="Times New Roman"/>
                <w:sz w:val="10"/>
                <w:szCs w:val="10"/>
                <w:b w:val="1"/>
                <w:bCs w:val="1"/>
                <w:color w:val="auto"/>
              </w:rPr>
              <w:t>2025</w:t>
            </w:r>
          </w:p>
        </w:tc>
        <w:tc>
          <w:tcPr>
            <w:tcW w:w="0" w:type="dxa"/>
            <w:vAlign w:val="bottom"/>
          </w:tcPr>
          <w:p>
            <w:pPr>
              <w:spacing w:after="0"/>
              <w:rPr>
                <w:sz w:val="1"/>
                <w:szCs w:val="1"/>
                <w:color w:val="auto"/>
              </w:rPr>
            </w:pPr>
          </w:p>
        </w:tc>
      </w:tr>
      <w:tr>
        <w:trPr>
          <w:trHeight w:val="14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taxes</w:t>
            </w:r>
          </w:p>
        </w:tc>
        <w:tc>
          <w:tcPr>
            <w:tcW w:w="4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22,390</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State taxes</w:t>
            </w:r>
          </w:p>
        </w:tc>
        <w:tc>
          <w:tcPr>
            <w:tcW w:w="4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6,450</w:t>
            </w:r>
          </w:p>
        </w:tc>
        <w:tc>
          <w:tcPr>
            <w:tcW w:w="0" w:type="dxa"/>
            <w:vAlign w:val="bottom"/>
          </w:tcPr>
          <w:p>
            <w:pPr>
              <w:spacing w:after="0"/>
              <w:rPr>
                <w:sz w:val="1"/>
                <w:szCs w:val="1"/>
                <w:color w:val="auto"/>
              </w:rPr>
            </w:pP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International taxes</w:t>
            </w:r>
          </w:p>
        </w:tc>
        <w:tc>
          <w:tcPr>
            <w:tcW w:w="48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income taxes (net of refunds)</w:t>
            </w:r>
          </w:p>
        </w:tc>
        <w:tc>
          <w:tcPr>
            <w:tcW w:w="4860" w:type="dxa"/>
            <w:vAlign w:val="bottom"/>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28,840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Times New Roman" w:cs="Times New Roman" w:eastAsia="Times New Roman" w:hAnsi="Times New Roman"/>
                <w:sz w:val="12"/>
                <w:szCs w:val="12"/>
                <w:color w:val="auto"/>
              </w:rPr>
              <w:t>62</w:t>
            </w:r>
          </w:p>
        </w:tc>
        <w:tc>
          <w:tcPr>
            <w:tcW w:w="4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38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840" w:type="dxa"/>
            <w:vAlign w:val="bottom"/>
            <w:tcBorders>
              <w:bottom w:val="single" w:sz="8" w:color="9A9A9A"/>
            </w:tcBorders>
          </w:tcPr>
          <w:p>
            <w:pPr>
              <w:spacing w:after="0"/>
              <w:rPr>
                <w:sz w:val="6"/>
                <w:szCs w:val="6"/>
                <w:color w:val="auto"/>
              </w:rPr>
            </w:pPr>
          </w:p>
        </w:tc>
        <w:tc>
          <w:tcPr>
            <w:tcW w:w="48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8"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color w:val="auto"/>
        </w:rPr>
        <w:t>15. Net Income Per Share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Basic net income per share includes no dilution and is computed by dividing net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spacing w:after="0" w:line="4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28"/>
        </w:trPr>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18"/>
        </w:trPr>
        <w:tc>
          <w:tcPr>
            <w:tcW w:w="1420" w:type="dxa"/>
            <w:vAlign w:val="bottom"/>
            <w:tcBorders>
              <w:bottom w:val="single" w:sz="8" w:color="auto"/>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w w:val="99"/>
              </w:rPr>
              <w:t>Basic net income per share:</w:t>
            </w:r>
          </w:p>
        </w:tc>
        <w:tc>
          <w:tcPr>
            <w:tcW w:w="6540" w:type="dxa"/>
            <w:vAlign w:val="bottom"/>
            <w:tcBorders>
              <w:bottom w:val="single" w:sz="8" w:color="CCEEFF"/>
            </w:tcBorders>
            <w:gridSpan w:val="2"/>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r>
      <w:tr>
        <w:trPr>
          <w:trHeight w:val="153"/>
        </w:trPr>
        <w:tc>
          <w:tcPr>
            <w:tcW w:w="7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140,923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204,068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r>
      <w:tr>
        <w:trPr>
          <w:trHeight w:val="153"/>
        </w:trPr>
        <w:tc>
          <w:tcPr>
            <w:tcW w:w="7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Less: undistributed earnings to participating securities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7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140,923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204,056</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r>
      <w:tr>
        <w:trPr>
          <w:trHeight w:val="131"/>
        </w:trPr>
        <w:tc>
          <w:tcPr>
            <w:tcW w:w="796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Denominator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36,254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35,636</w:t>
            </w:r>
          </w:p>
        </w:tc>
      </w:tr>
      <w:tr>
        <w:trPr>
          <w:trHeight w:val="153"/>
        </w:trPr>
        <w:tc>
          <w:tcPr>
            <w:tcW w:w="7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Less: Weighted average unvested restricted shares subject to repurchase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36,252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35,629</w:t>
            </w:r>
          </w:p>
        </w:tc>
      </w:tr>
      <w:tr>
        <w:trPr>
          <w:trHeight w:val="158"/>
        </w:trPr>
        <w:tc>
          <w:tcPr>
            <w:tcW w:w="7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Net income per common share; basic</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0.08</w:t>
            </w:r>
          </w:p>
        </w:tc>
      </w:tr>
      <w:tr>
        <w:trPr>
          <w:trHeight w:val="115"/>
        </w:trPr>
        <w:tc>
          <w:tcPr>
            <w:tcW w:w="796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Diluted net income per share:</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53"/>
        </w:trPr>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64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140,923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204,056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2,702</w:t>
            </w:r>
          </w:p>
        </w:tc>
      </w:tr>
      <w:tr>
        <w:trPr>
          <w:trHeight w:val="153"/>
        </w:trPr>
        <w:tc>
          <w:tcPr>
            <w:tcW w:w="7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36,252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35,629</w:t>
            </w:r>
          </w:p>
        </w:tc>
      </w:tr>
      <w:tr>
        <w:trPr>
          <w:trHeight w:val="153"/>
        </w:trPr>
        <w:tc>
          <w:tcPr>
            <w:tcW w:w="7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Add: Weighted average dilutive options outstanding</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333</w:t>
            </w: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Weighted average dilutive RSUs outstanding</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455</w:t>
            </w:r>
          </w:p>
        </w:tc>
      </w:tr>
      <w:tr>
        <w:trPr>
          <w:trHeight w:val="142"/>
        </w:trPr>
        <w:tc>
          <w:tcPr>
            <w:tcW w:w="79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diluted</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36,327</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36,782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36,417</w:t>
            </w:r>
          </w:p>
        </w:tc>
      </w:tr>
      <w:tr>
        <w:trPr>
          <w:trHeight w:val="149"/>
        </w:trPr>
        <w:tc>
          <w:tcPr>
            <w:tcW w:w="7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per common share; diluted</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0.07</w:t>
            </w: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68"/>
        </w:trPr>
        <w:tc>
          <w:tcPr>
            <w:tcW w:w="9000" w:type="dxa"/>
            <w:vAlign w:val="bottom"/>
            <w:gridSpan w:val="5"/>
          </w:tcPr>
          <w:p>
            <w:pPr>
              <w:ind w:left="420"/>
              <w:spacing w:after="0"/>
              <w:rPr>
                <w:sz w:val="20"/>
                <w:szCs w:val="20"/>
                <w:color w:val="auto"/>
              </w:rPr>
            </w:pPr>
            <w:r>
              <w:rPr>
                <w:rFonts w:ascii="Times New Roman" w:cs="Times New Roman" w:eastAsia="Times New Roman" w:hAnsi="Times New Roman"/>
                <w:sz w:val="12"/>
                <w:szCs w:val="12"/>
                <w:color w:val="auto"/>
              </w:rPr>
              <w:t>Potentially dilutive securities that are not included in the calculation of diluted net income per share because doing so would be antidilutive are as follows (in thousands):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7"/>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28"/>
        </w:trPr>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Unvested Restricted Stock Awards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7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Options</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120</w:t>
            </w:r>
          </w:p>
        </w:tc>
      </w:tr>
      <w:tr>
        <w:trPr>
          <w:trHeight w:val="153"/>
        </w:trPr>
        <w:tc>
          <w:tcPr>
            <w:tcW w:w="7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Units</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r>
      <w:tr>
        <w:trPr>
          <w:trHeight w:val="142"/>
        </w:trPr>
        <w:tc>
          <w:tcPr>
            <w:tcW w:w="7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potentially dilutive securities</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146</w:t>
            </w: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Workforce Reduction</w:t>
      </w:r>
    </w:p>
    <w:p>
      <w:pPr>
        <w:spacing w:after="0" w:line="8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2023, we implemented a plan to reduce our workforce by 149 employees in order to scale our business more efficiently. Impacted employees were notified in August 2023. There were no workforce reductions during the years ended December 31, 2025 and 2024.</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presents the total severance and related personnel costs by function, for the year ended December 31, 2023 (in thousands):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65" w:name="page66"/>
    <w:bookmarkEnd w:id="65"/>
    <w:tbl>
      <w:tblPr>
        <w:tblLayout w:type="fixed"/>
        <w:tblInd w:w="8" w:type="dxa"/>
        <w:tblCellMar>
          <w:top w:w="0" w:type="dxa"/>
          <w:left w:w="0" w:type="dxa"/>
          <w:bottom w:w="0" w:type="dxa"/>
          <w:right w:w="0" w:type="dxa"/>
        </w:tblCellMar>
      </w:tblPr>
      <w:tr>
        <w:trPr>
          <w:trHeight w:val="134"/>
        </w:trPr>
        <w:tc>
          <w:tcPr>
            <w:tcW w:w="89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Severance and Related Personnel Cost</w:t>
            </w:r>
          </w:p>
        </w:tc>
      </w:tr>
      <w:tr>
        <w:trPr>
          <w:trHeight w:val="15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2,367</w:t>
            </w:r>
          </w:p>
        </w:tc>
      </w:tr>
      <w:tr>
        <w:trPr>
          <w:trHeight w:val="153"/>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2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3,795</w:t>
            </w:r>
          </w:p>
        </w:tc>
      </w:tr>
      <w:tr>
        <w:trPr>
          <w:trHeight w:val="153"/>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product development</w:t>
            </w:r>
          </w:p>
        </w:tc>
        <w:tc>
          <w:tcPr>
            <w:tcW w:w="220" w:type="dxa"/>
            <w:vAlign w:val="bottom"/>
            <w:shd w:val="clear" w:color="auto" w:fill="CCEEFF"/>
          </w:tcPr>
          <w:p>
            <w:pPr>
              <w:spacing w:after="0"/>
              <w:rPr>
                <w:sz w:val="13"/>
                <w:szCs w:val="13"/>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3,407</w:t>
            </w:r>
          </w:p>
        </w:tc>
      </w:tr>
      <w:tr>
        <w:trPr>
          <w:trHeight w:val="153"/>
        </w:trPr>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2,514</w:t>
            </w:r>
          </w:p>
        </w:tc>
      </w:tr>
      <w:tr>
        <w:trPr>
          <w:trHeight w:val="158"/>
        </w:trPr>
        <w:tc>
          <w:tcPr>
            <w:tcW w:w="890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2"/>
                <w:szCs w:val="12"/>
                <w:color w:val="auto"/>
              </w:rPr>
              <w:t>Total</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12,083</w:t>
            </w:r>
          </w:p>
        </w:tc>
      </w:tr>
    </w:tbl>
    <w:p>
      <w:pPr>
        <w:spacing w:after="0" w:line="95" w:lineRule="exact"/>
        <w:rPr>
          <w:sz w:val="20"/>
          <w:szCs w:val="20"/>
          <w:color w:val="auto"/>
        </w:rPr>
      </w:pPr>
    </w:p>
    <w:p>
      <w:pPr>
        <w:ind w:left="128" w:hanging="128"/>
        <w:spacing w:after="0"/>
        <w:tabs>
          <w:tab w:leader="none" w:pos="128"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severance and related personnel costs include $1.8 million of accelerated stock-based compensation expense recognized during the year ended December 31, 2023.</w:t>
      </w:r>
    </w:p>
    <w:p>
      <w:pPr>
        <w:spacing w:after="0" w:line="6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is a summary of changes in the accrued severance and related personnel cost, within Accrued Employee Expenses on the Consolidated Balance Sheets (in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9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7"/>
              </w:rPr>
              <w:t>Accrued Severance and Related Personnel Cost</w:t>
            </w:r>
          </w:p>
        </w:tc>
      </w:tr>
      <w:tr>
        <w:trPr>
          <w:trHeight w:val="15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Severance and related personnel cost</w:t>
            </w:r>
          </w:p>
        </w:tc>
        <w:tc>
          <w:tcPr>
            <w:tcW w:w="12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10,278</w:t>
            </w:r>
          </w:p>
        </w:tc>
      </w:tr>
      <w:tr>
        <w:trPr>
          <w:trHeight w:val="15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Payments</w:t>
            </w:r>
          </w:p>
        </w:tc>
        <w:tc>
          <w:tcPr>
            <w:tcW w:w="1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(9,425)</w:t>
            </w:r>
          </w:p>
        </w:tc>
      </w:tr>
      <w:tr>
        <w:trPr>
          <w:trHeight w:val="142"/>
        </w:trPr>
        <w:tc>
          <w:tcPr>
            <w:tcW w:w="8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153"/>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Payments</w:t>
            </w:r>
          </w:p>
        </w:tc>
        <w:tc>
          <w:tcPr>
            <w:tcW w:w="12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w:t>
            </w:r>
          </w:p>
        </w:tc>
      </w:tr>
      <w:tr>
        <w:trPr>
          <w:trHeight w:val="142"/>
        </w:trPr>
        <w:tc>
          <w:tcPr>
            <w:tcW w:w="8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17. Retirement Plans</w:t>
      </w:r>
    </w:p>
    <w:p>
      <w:pPr>
        <w:spacing w:after="0" w:line="8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We have a 401(k) retirement and savings plan made available to all employees. We may, at our discretion, make matching contributions to the 401(k) plan. Cash contributions to the plan were $7.7 million, $7.4 million, and $7.3 million for the years ended December 31, 2025, 2024 and 2023, respectively.</w:t>
      </w:r>
    </w:p>
    <w:p>
      <w:pPr>
        <w:spacing w:after="0" w:line="179" w:lineRule="exact"/>
        <w:rPr>
          <w:sz w:val="20"/>
          <w:szCs w:val="20"/>
          <w:color w:val="auto"/>
        </w:rPr>
      </w:pPr>
    </w:p>
    <w:p>
      <w:pPr>
        <w:ind w:left="8"/>
        <w:spacing w:after="0"/>
        <w:tabs>
          <w:tab w:leader="none" w:pos="688"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79" w:right="299" w:bottom="1440" w:gutter="0" w:footer="0" w:header="0"/>
        </w:sectPr>
      </w:pPr>
    </w:p>
    <w:bookmarkStart w:id="66" w:name="page67"/>
    <w:bookmarkEnd w:id="66"/>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82"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Annual Report. Based on this evaluation, our principal executive officer and principal financial officer concluded that, as of the end of the period covered by this Annual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4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Management's Report on Internal Control over Financial Reporting</w:t>
      </w:r>
    </w:p>
    <w:p>
      <w:pPr>
        <w:spacing w:after="0" w:line="82"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left="8" w:hanging="8"/>
        <w:spacing w:after="0" w:line="253" w:lineRule="auto"/>
        <w:tabs>
          <w:tab w:leader="none" w:pos="18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left="8" w:firstLine="432"/>
        <w:spacing w:after="0" w:line="266" w:lineRule="auto"/>
        <w:rPr>
          <w:sz w:val="20"/>
          <w:szCs w:val="20"/>
          <w:color w:val="auto"/>
        </w:rPr>
      </w:pPr>
      <w:r>
        <w:rPr>
          <w:rFonts w:ascii="Times New Roman" w:cs="Times New Roman" w:eastAsia="Times New Roman" w:hAnsi="Times New Roman"/>
          <w:sz w:val="12"/>
          <w:szCs w:val="12"/>
          <w:color w:val="auto"/>
        </w:rPr>
        <w:t xml:space="preserve">As of December 31, 2025, our management assessed the effectiveness of our internal control over financial reporting using the criteria set forth in the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2025.</w:t>
      </w:r>
    </w:p>
    <w:p>
      <w:pPr>
        <w:spacing w:after="0" w:line="47"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2025.</w:t>
      </w:r>
    </w:p>
    <w:p>
      <w:pPr>
        <w:spacing w:after="0" w:line="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identified in connection with the evaluation required by Rules 13(a)-15(d) and 15d-15(d) under the Exchange Act that occurred during the quarter ended December 31, 2025 that have materially affected, or are reasonably likely to materially affect, our internal control over financial reporting.</w:t>
      </w:r>
    </w:p>
    <w:p>
      <w:pPr>
        <w:spacing w:after="0" w:line="179"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9C.</w:t>
        <w:tab/>
        <w:t>DISCLOSURES REGARDING FOREIGN JURISDICTION THAT PREVENT INSPECTIONS</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2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417830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8" w:right="299" w:bottom="1440" w:gutter="0" w:footer="0" w:header="0"/>
        </w:sectPr>
      </w:pPr>
    </w:p>
    <w:bookmarkStart w:id="67" w:name="page68"/>
    <w:bookmarkEnd w:id="67"/>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Except as set forth below in this Item, the information required by this Item will be included in the Proxy Statement under the headings "Election of Directors," “Directors and Corporate Governance,” "Executive Officers," "Additional Information," and, as applicable, “Delinquent Section 16(a) Reports” and is incorporated by reference herein.</w:t>
      </w:r>
    </w:p>
    <w:p>
      <w:pPr>
        <w:spacing w:after="0" w:line="12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We have adopted a Code of Business Conduct and Ethics which applies to all of our employees, officers and directors. A copy of our Code of Business Conduct and Ethics is posted on our website, https://ethics.appfolio.com. We intend to satisfy the requirements under Item 5.05 of Form 8-K regarding disclosure of amendments to, or waivers from, provisions of our Code of Business Conduct and Ethics by posting such information on our investor relations website, http://ir.appfolioinc.com.</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adopted an Insider Trading Policy governing the purchase, sale and/or other dispositions of our securities by directors, officers, employees and the Company.</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EXECUTIVE COMPENSATION</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"Executive Compensation," "Directors and Corporate Governance," and "Summary Compensation Table" and is incorporated by reference herein.</w:t>
      </w:r>
    </w:p>
    <w:p>
      <w:pPr>
        <w:spacing w:after="0" w:line="17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7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"Security Ownership of Certain Beneficial Owners and Management" and "Equity Compensation Plan Information" and is incorporated by reference herein.</w:t>
      </w:r>
    </w:p>
    <w:p>
      <w:pPr>
        <w:spacing w:after="0" w:line="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headings "Directors and Corporate Governance" and “Related Party Transactions” and is incorporated by reference herein.</w:t>
      </w:r>
    </w:p>
    <w:p>
      <w:pPr>
        <w:spacing w:after="0" w:line="2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included in the Proxy Statement under the heading "Ratification of the Appointment of Our Independent Registered Public Accounting Firm."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200" w:lineRule="exact"/>
        <w:rPr>
          <w:sz w:val="20"/>
          <w:szCs w:val="20"/>
          <w:color w:val="auto"/>
        </w:rPr>
      </w:pP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EXHIBITS AND FINANCIAL STATEMENTS SCHEDULES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documents are filed as part of this Annual Report:</w:t>
      </w:r>
    </w:p>
    <w:p>
      <w:pPr>
        <w:spacing w:after="0" w:line="78" w:lineRule="exact"/>
        <w:rPr>
          <w:sz w:val="20"/>
          <w:szCs w:val="20"/>
          <w:color w:val="auto"/>
        </w:rPr>
      </w:pPr>
    </w:p>
    <w:p>
      <w:pPr>
        <w:ind w:left="1120" w:hanging="264"/>
        <w:spacing w:after="0"/>
        <w:tabs>
          <w:tab w:leader="none" w:pos="11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Financial Statements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consolidated financial statements are listed in the “Index to Consolidated Financial Statements” under Part II, Item 8, of this Annual Report.</w:t>
      </w:r>
    </w:p>
    <w:p>
      <w:pPr>
        <w:spacing w:after="0" w:line="78"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 Schedules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financial statement schedules have been omitted because they are not required or are not applicable, or the required information is shown in our Consolidated Financial Statements or the notes thereto.</w:t>
      </w:r>
    </w:p>
    <w:p>
      <w:pPr>
        <w:spacing w:after="0" w:line="78"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78"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documents listed in the Exhibit Index of this Annual Report are filed or furnished with, or incorporated by reference into, this Annual Report, in each case as indicated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415290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8" w:right="2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EXHIBIT INDEX</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69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60" w:type="dxa"/>
            <w:vAlign w:val="bottom"/>
            <w:gridSpan w:val="19"/>
          </w:tcPr>
          <w:p>
            <w:pPr>
              <w:ind w:left="16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Filed Herewith</w:t>
            </w:r>
          </w:p>
        </w:tc>
      </w:tr>
      <w:tr>
        <w:trPr>
          <w:trHeight w:val="115"/>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0"/>
                <w:szCs w:val="10"/>
                <w:color w:val="auto"/>
              </w:rPr>
            </w:pPr>
          </w:p>
        </w:tc>
        <w:tc>
          <w:tcPr>
            <w:tcW w:w="4200" w:type="dxa"/>
            <w:vAlign w:val="bottom"/>
            <w:tcBorders>
              <w:top w:val="single" w:sz="8" w:color="auto"/>
            </w:tcBorders>
            <w:gridSpan w:val="23"/>
          </w:tcPr>
          <w:p>
            <w:pPr>
              <w:spacing w:after="0" w:line="115" w:lineRule="exact"/>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Amended and Restated Certificate of Incorporation of the registrant as currently in</w:t>
              </w:r>
            </w:hyperlink>
          </w:p>
        </w:tc>
        <w:tc>
          <w:tcPr>
            <w:tcW w:w="1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7"/>
              </w:rPr>
              <w:t>10-Q</w:t>
            </w:r>
          </w:p>
        </w:tc>
        <w:tc>
          <w:tcPr>
            <w:tcW w:w="8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8"/>
              </w:rPr>
              <w:t>8/6/2015</w:t>
            </w:r>
          </w:p>
        </w:tc>
        <w:tc>
          <w:tcPr>
            <w:tcW w:w="1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tcBorders>
              <w:top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99">
              <w:r>
                <w:rPr>
                  <w:rFonts w:ascii="Times New Roman" w:cs="Times New Roman" w:eastAsia="Times New Roman" w:hAnsi="Times New Roman"/>
                  <w:sz w:val="11"/>
                  <w:szCs w:val="11"/>
                  <w:color w:val="0000FF"/>
                </w:rPr>
                <w:t>effect.</w:t>
              </w:r>
            </w:hyperlink>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Amended and Restated Bylaws of the registrant as currently in effect.</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8/3/2020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1"/>
                <w:szCs w:val="11"/>
                <w:color w:val="auto"/>
              </w:rPr>
            </w:pPr>
          </w:p>
        </w:tc>
        <w:tc>
          <w:tcPr>
            <w:tcW w:w="3340" w:type="dxa"/>
            <w:vAlign w:val="bottom"/>
            <w:tcBorders>
              <w:top w:val="single" w:sz="8" w:color="0000FF"/>
            </w:tcBorders>
            <w:gridSpan w:val="11"/>
          </w:tcPr>
          <w:p>
            <w:pPr>
              <w:spacing w:after="0" w:line="133" w:lineRule="exact"/>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Specimen Certificate for Class A Common Stock.</w:t>
              </w:r>
            </w:hyperlink>
          </w:p>
        </w:tc>
        <w:tc>
          <w:tcPr>
            <w:tcW w:w="960" w:type="dxa"/>
            <w:vAlign w:val="bottom"/>
            <w:gridSpan w:val="13"/>
          </w:tcPr>
          <w:p>
            <w:pPr>
              <w:spacing w:after="0"/>
              <w:rPr>
                <w:sz w:val="11"/>
                <w:szCs w:val="11"/>
                <w:color w:val="auto"/>
              </w:rPr>
            </w:pP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S-1/A</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333-204262</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6/4/2015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7"/>
          </w:tcPr>
          <w:p>
            <w:pPr>
              <w:spacing w:after="0" w:line="133" w:lineRule="exact"/>
              <w:rPr>
                <w:rFonts w:ascii="Times New Roman" w:cs="Times New Roman" w:eastAsia="Times New Roman" w:hAnsi="Times New Roman"/>
                <w:sz w:val="12"/>
                <w:szCs w:val="12"/>
                <w:color w:val="0000FF"/>
                <w:w w:val="99"/>
              </w:rPr>
            </w:pPr>
            <w:hyperlink r:id="rId102">
              <w:r>
                <w:rPr>
                  <w:rFonts w:ascii="Times New Roman" w:cs="Times New Roman" w:eastAsia="Times New Roman" w:hAnsi="Times New Roman"/>
                  <w:sz w:val="12"/>
                  <w:szCs w:val="12"/>
                  <w:color w:val="0000FF"/>
                  <w:w w:val="99"/>
                </w:rPr>
                <w:t>Description of Capital Stock of the registrant.</w:t>
              </w:r>
            </w:hyperlink>
          </w:p>
        </w:tc>
        <w:tc>
          <w:tcPr>
            <w:tcW w:w="200" w:type="dxa"/>
            <w:vAlign w:val="bottom"/>
            <w:tcBorders>
              <w:top w:val="single" w:sz="8" w:color="0000FF"/>
            </w:tcBorders>
          </w:tcPr>
          <w:p>
            <w:pPr>
              <w:spacing w:after="0"/>
              <w:rPr>
                <w:sz w:val="11"/>
                <w:szCs w:val="11"/>
                <w:color w:val="auto"/>
              </w:rPr>
            </w:pPr>
          </w:p>
        </w:tc>
        <w:tc>
          <w:tcPr>
            <w:tcW w:w="1900" w:type="dxa"/>
            <w:vAlign w:val="bottom"/>
            <w:gridSpan w:val="16"/>
          </w:tcPr>
          <w:p>
            <w:pPr>
              <w:spacing w:after="0"/>
              <w:rPr>
                <w:sz w:val="11"/>
                <w:szCs w:val="11"/>
                <w:color w:val="auto"/>
              </w:rPr>
            </w:pP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4.3</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10.1</w:t>
            </w:r>
          </w:p>
        </w:tc>
        <w:tc>
          <w:tcPr>
            <w:tcW w:w="100" w:type="dxa"/>
            <w:vAlign w:val="bottom"/>
          </w:tcPr>
          <w:p>
            <w:pPr>
              <w:spacing w:after="0"/>
              <w:rPr>
                <w:sz w:val="11"/>
                <w:szCs w:val="11"/>
                <w:color w:val="auto"/>
              </w:rPr>
            </w:pPr>
          </w:p>
        </w:tc>
        <w:tc>
          <w:tcPr>
            <w:tcW w:w="4300" w:type="dxa"/>
            <w:vAlign w:val="bottom"/>
            <w:gridSpan w:val="24"/>
          </w:tcPr>
          <w:p>
            <w:pPr>
              <w:spacing w:after="0" w:line="133"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December 6, 2019 (50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10.2</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December 6, 2019 (70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10.3</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Industrial Lease, by and between the registrant and 50 Castilian Drive, LLC, effective</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12/11/2019</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December 6, 2019 (90 Castilian Drive, Goleta, CA 93117)</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10.4</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40" w:type="dxa"/>
            <w:vAlign w:val="bottom"/>
            <w:tcBorders>
              <w:top w:val="single" w:sz="8" w:color="0000FF"/>
              <w:bottom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Drive, LLC, effective February 10, 2022 (50 Castilian Drive, Goleta, CA 93117).</w:t>
              </w:r>
            </w:hyperlink>
          </w:p>
        </w:tc>
        <w:tc>
          <w:tcPr>
            <w:tcW w:w="120" w:type="dxa"/>
            <w:vAlign w:val="bottom"/>
            <w:tcBorders>
              <w:top w:val="single" w:sz="8" w:color="0000FF"/>
            </w:tcBorders>
            <w:gridSpan w:val="4"/>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10.5</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40" w:type="dxa"/>
            <w:vAlign w:val="bottom"/>
            <w:tcBorders>
              <w:top w:val="single" w:sz="8" w:color="0000FF"/>
              <w:bottom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Drive, LLC, effective February 10, 2022 (70 Castilian Drive, Goleta, CA 93117).</w:t>
              </w:r>
            </w:hyperlink>
          </w:p>
        </w:tc>
        <w:tc>
          <w:tcPr>
            <w:tcW w:w="120" w:type="dxa"/>
            <w:vAlign w:val="bottom"/>
            <w:tcBorders>
              <w:top w:val="single" w:sz="8" w:color="0000FF"/>
            </w:tcBorders>
            <w:gridSpan w:val="4"/>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10.6</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First Amendment to Industrial Lease, by and between the registrant and 50 Castilian</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20" w:type="dxa"/>
            <w:vAlign w:val="bottom"/>
            <w:tcBorders>
              <w:top w:val="single" w:sz="8" w:color="0000FF"/>
              <w:bottom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Drive, LLC, effective February 10, 2022 (90 Castilian Drive, Goleta, CA 93117).</w:t>
              </w:r>
            </w:hyperlink>
          </w:p>
        </w:tc>
        <w:tc>
          <w:tcPr>
            <w:tcW w:w="140" w:type="dxa"/>
            <w:vAlign w:val="bottom"/>
            <w:tcBorders>
              <w:top w:val="single" w:sz="8" w:color="0000FF"/>
            </w:tcBorders>
            <w:gridSpan w:val="5"/>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10.7</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Sublease, by and between the registrant and Google LLC, effective July 10, 2023 (50</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10/27/2023</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Castilian Drive, Goleta, CA 93117).</w:t>
              </w:r>
            </w:hyperlink>
          </w:p>
        </w:tc>
        <w:tc>
          <w:tcPr>
            <w:tcW w:w="2360" w:type="dxa"/>
            <w:vAlign w:val="bottom"/>
            <w:tcBorders>
              <w:top w:val="single" w:sz="8" w:color="0000FF"/>
            </w:tcBorders>
            <w:gridSpan w:val="15"/>
          </w:tcPr>
          <w:p>
            <w:pPr>
              <w:spacing w:after="0"/>
              <w:rPr>
                <w:sz w:val="8"/>
                <w:szCs w:val="8"/>
                <w:color w:val="auto"/>
              </w:rPr>
            </w:pPr>
          </w:p>
        </w:tc>
        <w:tc>
          <w:tcPr>
            <w:tcW w:w="20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2"/>
                <w:szCs w:val="12"/>
                <w:color w:val="auto"/>
              </w:rPr>
            </w:pPr>
          </w:p>
        </w:tc>
        <w:tc>
          <w:tcPr>
            <w:tcW w:w="2700" w:type="dxa"/>
            <w:vAlign w:val="bottom"/>
            <w:tcBorders>
              <w:bottom w:val="single" w:sz="8" w:color="0000FF"/>
            </w:tcBorders>
            <w:gridSpan w:val="9"/>
          </w:tcPr>
          <w:p>
            <w:pPr>
              <w:spacing w:after="0"/>
              <w:rPr>
                <w:rFonts w:ascii="Times New Roman" w:cs="Times New Roman" w:eastAsia="Times New Roman" w:hAnsi="Times New Roman"/>
                <w:sz w:val="12"/>
                <w:szCs w:val="12"/>
                <w:color w:val="0000FF"/>
                <w:w w:val="99"/>
              </w:rPr>
            </w:pPr>
            <w:hyperlink r:id="rId110">
              <w:r>
                <w:rPr>
                  <w:rFonts w:ascii="Times New Roman" w:cs="Times New Roman" w:eastAsia="Times New Roman" w:hAnsi="Times New Roman"/>
                  <w:sz w:val="12"/>
                  <w:szCs w:val="12"/>
                  <w:color w:val="0000FF"/>
                  <w:w w:val="99"/>
                </w:rPr>
                <w:t>2015 Stock Incentive Plan and related form agreements.</w:t>
              </w:r>
            </w:hyperlink>
          </w:p>
        </w:tc>
        <w:tc>
          <w:tcPr>
            <w:tcW w:w="1600" w:type="dxa"/>
            <w:vAlign w:val="bottom"/>
            <w:gridSpan w:val="15"/>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333-204262</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6/4/2015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1"/>
                <w:szCs w:val="11"/>
                <w:color w:val="auto"/>
              </w:rPr>
            </w:pPr>
          </w:p>
        </w:tc>
        <w:tc>
          <w:tcPr>
            <w:tcW w:w="4300" w:type="dxa"/>
            <w:vAlign w:val="bottom"/>
            <w:gridSpan w:val="24"/>
          </w:tcPr>
          <w:p>
            <w:pPr>
              <w:spacing w:after="0" w:line="133"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Form of Restricted Stock Unit Award Agreement (New Hire) under 2015 Stock</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10.16</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tcBorders>
              <w:top w:val="single" w:sz="8" w:color="0000FF"/>
            </w:tcBorders>
            <w:gridSpan w:val="13"/>
          </w:tcPr>
          <w:p>
            <w:pPr>
              <w:spacing w:after="0" w:line="97"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Incentive Plan</w:t>
              </w:r>
              <w:r>
                <w:rPr>
                  <w:rFonts w:ascii="Times New Roman" w:cs="Times New Roman" w:eastAsia="Times New Roman" w:hAnsi="Times New Roman"/>
                  <w:sz w:val="11"/>
                  <w:szCs w:val="11"/>
                  <w:color w:val="000000"/>
                </w:rPr>
                <w:t>.</w:t>
              </w:r>
            </w:hyperlink>
          </w:p>
        </w:tc>
        <w:tc>
          <w:tcPr>
            <w:tcW w:w="80" w:type="dxa"/>
            <w:vAlign w:val="bottom"/>
          </w:tcPr>
          <w:p>
            <w:pPr>
              <w:spacing w:after="0"/>
              <w:rPr>
                <w:sz w:val="8"/>
                <w:szCs w:val="8"/>
                <w:color w:val="auto"/>
              </w:rPr>
            </w:pPr>
          </w:p>
        </w:tc>
        <w:tc>
          <w:tcPr>
            <w:tcW w:w="100" w:type="dxa"/>
            <w:vAlign w:val="bottom"/>
            <w:gridSpan w:val="4"/>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10.10#</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Form of Restricted Stock Unit Award Agreement (Refresh) under 2015 Stock</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10.17</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tcBorders>
              <w:top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Incentive Plan</w:t>
              </w:r>
              <w:r>
                <w:rPr>
                  <w:rFonts w:ascii="Times New Roman" w:cs="Times New Roman" w:eastAsia="Times New Roman" w:hAnsi="Times New Roman"/>
                  <w:sz w:val="11"/>
                  <w:szCs w:val="11"/>
                  <w:color w:val="000000"/>
                </w:rPr>
                <w:t>.</w:t>
              </w:r>
            </w:hyperlink>
          </w:p>
        </w:tc>
        <w:tc>
          <w:tcPr>
            <w:tcW w:w="180" w:type="dxa"/>
            <w:vAlign w:val="bottom"/>
            <w:gridSpan w:val="2"/>
          </w:tcPr>
          <w:p>
            <w:pPr>
              <w:spacing w:after="0"/>
              <w:rPr>
                <w:sz w:val="8"/>
                <w:szCs w:val="8"/>
                <w:color w:val="auto"/>
              </w:rPr>
            </w:pPr>
          </w:p>
        </w:tc>
        <w:tc>
          <w:tcPr>
            <w:tcW w:w="100" w:type="dxa"/>
            <w:vAlign w:val="bottom"/>
            <w:gridSpan w:val="4"/>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10.11#</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Form of Restricted Stock Unit Award Agreement (PSU) under 2015 Stock Incentive</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10.18</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4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Plan</w:t>
              </w:r>
              <w:r>
                <w:rPr>
                  <w:rFonts w:ascii="Times New Roman" w:cs="Times New Roman" w:eastAsia="Times New Roman" w:hAnsi="Times New Roman"/>
                  <w:sz w:val="11"/>
                  <w:szCs w:val="11"/>
                  <w:color w:val="000000"/>
                </w:rPr>
                <w:t>.</w:t>
              </w:r>
            </w:hyperlink>
          </w:p>
        </w:tc>
        <w:tc>
          <w:tcPr>
            <w:tcW w:w="2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10.12#</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2025 Omnibus Incentive Plan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7/26/2024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10.13#</w:t>
            </w:r>
          </w:p>
        </w:tc>
        <w:tc>
          <w:tcPr>
            <w:tcW w:w="100" w:type="dxa"/>
            <w:vAlign w:val="bottom"/>
          </w:tcPr>
          <w:p>
            <w:pPr>
              <w:spacing w:after="0"/>
              <w:rPr>
                <w:sz w:val="11"/>
                <w:szCs w:val="11"/>
                <w:color w:val="auto"/>
              </w:rPr>
            </w:pPr>
          </w:p>
        </w:tc>
        <w:tc>
          <w:tcPr>
            <w:tcW w:w="4300" w:type="dxa"/>
            <w:vAlign w:val="bottom"/>
            <w:gridSpan w:val="24"/>
          </w:tcPr>
          <w:p>
            <w:pPr>
              <w:spacing w:after="0" w:line="133" w:lineRule="exact"/>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Form of Restricted Stock Unit Award Agreement (New Hire) under 2025 Omnibus</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10.13</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0" w:type="dxa"/>
            <w:vAlign w:val="bottom"/>
            <w:tcBorders>
              <w:top w:val="single" w:sz="8" w:color="0000FF"/>
            </w:tcBorders>
            <w:gridSpan w:val="18"/>
          </w:tcPr>
          <w:p>
            <w:pPr>
              <w:spacing w:after="0" w:line="97"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Incentive Plan.</w:t>
              </w:r>
            </w:hyperlink>
          </w:p>
        </w:tc>
        <w:tc>
          <w:tcPr>
            <w:tcW w:w="300" w:type="dxa"/>
            <w:vAlign w:val="bottom"/>
            <w:gridSpan w:val="6"/>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10.14#</w:t>
            </w:r>
          </w:p>
        </w:tc>
        <w:tc>
          <w:tcPr>
            <w:tcW w:w="100" w:type="dxa"/>
            <w:vAlign w:val="bottom"/>
          </w:tcPr>
          <w:p>
            <w:pPr>
              <w:spacing w:after="0"/>
              <w:rPr>
                <w:sz w:val="12"/>
                <w:szCs w:val="12"/>
                <w:color w:val="auto"/>
              </w:rPr>
            </w:pPr>
          </w:p>
        </w:tc>
        <w:tc>
          <w:tcPr>
            <w:tcW w:w="4300" w:type="dxa"/>
            <w:vAlign w:val="bottom"/>
            <w:gridSpan w:val="24"/>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Form of Restricted Stock Unit Award Agreement (Refresh) under 2025 Omnibus</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10.14</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0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Incentive Plan Incentive Plan.</w:t>
              </w:r>
            </w:hyperlink>
          </w:p>
        </w:tc>
        <w:tc>
          <w:tcPr>
            <w:tcW w:w="400" w:type="dxa"/>
            <w:vAlign w:val="bottom"/>
            <w:gridSpan w:val="10"/>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664"/>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90"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5"/>
          </w:tcPr>
          <w:p>
            <w:pPr>
              <w:ind w:left="8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Filed Herewith</w:t>
            </w:r>
          </w:p>
        </w:tc>
      </w:tr>
      <w:tr>
        <w:trPr>
          <w:trHeight w:val="115"/>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6"/>
              </w:rPr>
              <w:t>10.15#</w:t>
            </w:r>
          </w:p>
        </w:tc>
        <w:tc>
          <w:tcPr>
            <w:tcW w:w="100" w:type="dxa"/>
            <w:vAlign w:val="bottom"/>
          </w:tcPr>
          <w:p>
            <w:pPr>
              <w:spacing w:after="0"/>
              <w:rPr>
                <w:sz w:val="10"/>
                <w:szCs w:val="10"/>
                <w:color w:val="auto"/>
              </w:rPr>
            </w:pPr>
          </w:p>
        </w:tc>
        <w:tc>
          <w:tcPr>
            <w:tcW w:w="4220" w:type="dxa"/>
            <w:vAlign w:val="bottom"/>
            <w:tcBorders>
              <w:top w:val="single" w:sz="8" w:color="auto"/>
            </w:tcBorders>
            <w:gridSpan w:val="33"/>
          </w:tcPr>
          <w:p>
            <w:pPr>
              <w:spacing w:after="0" w:line="115" w:lineRule="exact"/>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Form of Restricted Stock Unit Award Agreement (PSU) under 2025 Omnibus</w:t>
              </w:r>
            </w:hyperlink>
          </w:p>
        </w:tc>
        <w:tc>
          <w:tcPr>
            <w:tcW w:w="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7"/>
              </w:rPr>
              <w:t>10-K</w:t>
            </w:r>
          </w:p>
        </w:tc>
        <w:tc>
          <w:tcPr>
            <w:tcW w:w="8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6"/>
              </w:rPr>
              <w:t>10.15</w:t>
            </w:r>
          </w:p>
        </w:tc>
        <w:tc>
          <w:tcPr>
            <w:tcW w:w="8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19">
              <w:r>
                <w:rPr>
                  <w:rFonts w:ascii="Times New Roman" w:cs="Times New Roman" w:eastAsia="Times New Roman" w:hAnsi="Times New Roman"/>
                  <w:sz w:val="11"/>
                  <w:szCs w:val="11"/>
                  <w:color w:val="0000FF"/>
                </w:rPr>
                <w:t>Incentive Plan.</w:t>
              </w:r>
            </w:hyperlink>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10.16#</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2025 Employee Stock Purchase Plan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7/26/2024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10.17#</w:t>
            </w:r>
          </w:p>
        </w:tc>
        <w:tc>
          <w:tcPr>
            <w:tcW w:w="100" w:type="dxa"/>
            <w:vAlign w:val="bottom"/>
          </w:tcPr>
          <w:p>
            <w:pPr>
              <w:spacing w:after="0"/>
              <w:rPr>
                <w:sz w:val="11"/>
                <w:szCs w:val="11"/>
                <w:color w:val="auto"/>
              </w:rPr>
            </w:pPr>
          </w:p>
        </w:tc>
        <w:tc>
          <w:tcPr>
            <w:tcW w:w="3620" w:type="dxa"/>
            <w:vAlign w:val="bottom"/>
            <w:tcBorders>
              <w:bottom w:val="single" w:sz="8" w:color="0000FF"/>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FF"/>
                <w:w w:val="99"/>
              </w:rPr>
              <w:t>Amendment 2026-1 to AppFolio, Inc. 2025 Employee Stock Purchase Plan</w:t>
            </w:r>
          </w:p>
        </w:tc>
        <w:tc>
          <w:tcPr>
            <w:tcW w:w="680" w:type="dxa"/>
            <w:vAlign w:val="bottom"/>
            <w:gridSpan w:val="13"/>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10.18#</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Transition and Separation Agreement, dated March 1, 2023, by and between Jason</w:t>
              </w:r>
            </w:hyperlink>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4/28/2023</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60" w:type="dxa"/>
            <w:vAlign w:val="bottom"/>
            <w:tcBorders>
              <w:top w:val="single" w:sz="8" w:color="0000FF"/>
            </w:tcBorders>
            <w:gridSpan w:val="24"/>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Randall and the registrant</w:t>
              </w:r>
              <w:r>
                <w:rPr>
                  <w:rFonts w:ascii="Times New Roman" w:cs="Times New Roman" w:eastAsia="Times New Roman" w:hAnsi="Times New Roman"/>
                  <w:sz w:val="11"/>
                  <w:szCs w:val="11"/>
                  <w:color w:val="000000"/>
                </w:rPr>
                <w:t>.</w:t>
              </w:r>
            </w:hyperlink>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10.19#</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Employment agreement, dated March 1, 2023, between the registrant and William</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4/28/2023</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40" w:type="dxa"/>
            <w:vAlign w:val="bottom"/>
            <w:tcBorders>
              <w:top w:val="single" w:sz="8" w:color="0000FF"/>
            </w:tcBorders>
            <w:gridSpan w:val="23"/>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Shane Trigg</w:t>
              </w:r>
              <w:r>
                <w:rPr>
                  <w:rFonts w:ascii="Times New Roman" w:cs="Times New Roman" w:eastAsia="Times New Roman" w:hAnsi="Times New Roman"/>
                  <w:sz w:val="11"/>
                  <w:szCs w:val="11"/>
                  <w:color w:val="000000"/>
                </w:rPr>
                <w:t>.</w:t>
              </w:r>
            </w:hyperlink>
          </w:p>
        </w:tc>
        <w:tc>
          <w:tcPr>
            <w:tcW w:w="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10.20#</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Employment agreement between the registrant and Fay Sien Goon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11/8/2021</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10.21#</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Separation Agreement, dated November 8, 2024, between the registrant and Fay Sien</w:t>
              </w:r>
            </w:hyperlink>
          </w:p>
        </w:tc>
        <w:tc>
          <w:tcPr>
            <w:tcW w:w="9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11/21/2024</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20" w:type="dxa"/>
            <w:vAlign w:val="bottom"/>
            <w:tcBorders>
              <w:top w:val="single" w:sz="8" w:color="0000FF"/>
            </w:tcBorders>
            <w:gridSpan w:val="28"/>
          </w:tcPr>
          <w:p>
            <w:pPr>
              <w:spacing w:after="0" w:line="97"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Goon</w:t>
              </w:r>
              <w:r>
                <w:rPr>
                  <w:rFonts w:ascii="Times New Roman" w:cs="Times New Roman" w:eastAsia="Times New Roman" w:hAnsi="Times New Roman"/>
                  <w:sz w:val="11"/>
                  <w:szCs w:val="11"/>
                  <w:color w:val="000000"/>
                </w:rPr>
                <w:t>.</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10.22#</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Employment Agreement, dated July 30, 2025, between the Registrant and Tim Eaton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7/31/2025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10.23#</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Employment Agreement, dated February 6, 2025, between the registrant and Elizabeth</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80" w:type="dxa"/>
            <w:vAlign w:val="bottom"/>
            <w:tcBorders>
              <w:top w:val="single" w:sz="8" w:color="0000FF"/>
            </w:tcBorders>
            <w:gridSpan w:val="31"/>
          </w:tcPr>
          <w:p>
            <w:pPr>
              <w:spacing w:after="0" w:line="97" w:lineRule="exact"/>
              <w:rPr>
                <w:sz w:val="20"/>
                <w:szCs w:val="20"/>
                <w:color w:val="auto"/>
              </w:rPr>
            </w:pPr>
            <w:r>
              <w:rPr>
                <w:rFonts w:ascii="Times New Roman" w:cs="Times New Roman" w:eastAsia="Times New Roman" w:hAnsi="Times New Roman"/>
                <w:sz w:val="11"/>
                <w:szCs w:val="11"/>
                <w:color w:val="0000FF"/>
              </w:rPr>
              <w:t>Barat</w:t>
            </w:r>
            <w:r>
              <w:rPr>
                <w:rFonts w:ascii="Times New Roman" w:cs="Times New Roman" w:eastAsia="Times New Roman" w:hAnsi="Times New Roman"/>
                <w:sz w:val="11"/>
                <w:szCs w:val="11"/>
                <w:color w:val="000000"/>
              </w:rPr>
              <w:t>.</w:t>
            </w: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10.124#</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Employment Agreement, dated February 6, 2025, between the registrant and Matthew</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10.25</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S. Mazza.</w:t>
              </w:r>
            </w:hyperlink>
          </w:p>
        </w:tc>
        <w:tc>
          <w:tcPr>
            <w:tcW w:w="1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gridSpan w:val="5"/>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gridSpan w:val="2"/>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10.25#</w:t>
            </w:r>
          </w:p>
        </w:tc>
        <w:tc>
          <w:tcPr>
            <w:tcW w:w="100" w:type="dxa"/>
            <w:vAlign w:val="bottom"/>
          </w:tcPr>
          <w:p>
            <w:pPr>
              <w:spacing w:after="0"/>
              <w:rPr>
                <w:sz w:val="12"/>
                <w:szCs w:val="12"/>
                <w:color w:val="auto"/>
              </w:rPr>
            </w:pPr>
          </w:p>
        </w:tc>
        <w:tc>
          <w:tcPr>
            <w:tcW w:w="430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Separation Agreement, dated November 19, 2025, by and between the registrant and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0" w:type="dxa"/>
            <w:vAlign w:val="bottom"/>
            <w:tcBorders>
              <w:top w:val="single" w:sz="8" w:color="0000FF"/>
            </w:tcBorders>
            <w:gridSpan w:val="32"/>
          </w:tcPr>
          <w:p>
            <w:pPr>
              <w:spacing w:after="0" w:line="97" w:lineRule="exact"/>
              <w:rPr>
                <w:sz w:val="20"/>
                <w:szCs w:val="20"/>
                <w:color w:val="auto"/>
              </w:rPr>
            </w:pPr>
            <w:r>
              <w:rPr>
                <w:rFonts w:ascii="Times New Roman" w:cs="Times New Roman" w:eastAsia="Times New Roman" w:hAnsi="Times New Roman"/>
                <w:sz w:val="11"/>
                <w:szCs w:val="11"/>
                <w:color w:val="0000FF"/>
              </w:rPr>
              <w:t>Matthew S. Mazza</w:t>
            </w:r>
            <w:r>
              <w:rPr>
                <w:rFonts w:ascii="Times New Roman" w:cs="Times New Roman" w:eastAsia="Times New Roman" w:hAnsi="Times New Roman"/>
                <w:sz w:val="11"/>
                <w:szCs w:val="11"/>
                <w:color w:val="000000"/>
              </w:rPr>
              <w:t>.</w:t>
            </w:r>
          </w:p>
        </w:tc>
        <w:tc>
          <w:tcPr>
            <w:tcW w:w="10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10.26#</w:t>
            </w:r>
          </w:p>
        </w:tc>
        <w:tc>
          <w:tcPr>
            <w:tcW w:w="100" w:type="dxa"/>
            <w:vAlign w:val="bottom"/>
          </w:tcPr>
          <w:p>
            <w:pPr>
              <w:spacing w:after="0"/>
              <w:rPr>
                <w:sz w:val="12"/>
                <w:szCs w:val="12"/>
                <w:color w:val="auto"/>
              </w:rPr>
            </w:pPr>
          </w:p>
        </w:tc>
        <w:tc>
          <w:tcPr>
            <w:tcW w:w="2560" w:type="dxa"/>
            <w:vAlign w:val="bottom"/>
            <w:tcBorders>
              <w:bottom w:val="single" w:sz="8" w:color="0000FF"/>
            </w:tcBorders>
            <w:gridSpan w:val="13"/>
          </w:tcPr>
          <w:p>
            <w:pPr>
              <w:spacing w:after="0"/>
              <w:rPr>
                <w:rFonts w:ascii="Times New Roman" w:cs="Times New Roman" w:eastAsia="Times New Roman" w:hAnsi="Times New Roman"/>
                <w:sz w:val="12"/>
                <w:szCs w:val="12"/>
                <w:color w:val="0000FF"/>
                <w:w w:val="99"/>
              </w:rPr>
            </w:pPr>
            <w:hyperlink r:id="rId127">
              <w:r>
                <w:rPr>
                  <w:rFonts w:ascii="Times New Roman" w:cs="Times New Roman" w:eastAsia="Times New Roman" w:hAnsi="Times New Roman"/>
                  <w:sz w:val="12"/>
                  <w:szCs w:val="12"/>
                  <w:color w:val="0000FF"/>
                  <w:w w:val="99"/>
                </w:rPr>
                <w:t>Nonemployee Director Deferred Compensation Plan.</w:t>
              </w:r>
            </w:hyperlink>
          </w:p>
        </w:tc>
        <w:tc>
          <w:tcPr>
            <w:tcW w:w="1740" w:type="dxa"/>
            <w:vAlign w:val="bottom"/>
            <w:gridSpan w:val="21"/>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10.19</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10.27#</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First Amendment to Non-Employee Director Deferred Compensation Plan</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10-Q</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4/24/2025</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10.28#</w:t>
            </w:r>
          </w:p>
        </w:tc>
        <w:tc>
          <w:tcPr>
            <w:tcW w:w="100" w:type="dxa"/>
            <w:vAlign w:val="bottom"/>
          </w:tcPr>
          <w:p>
            <w:pPr>
              <w:spacing w:after="0"/>
              <w:rPr>
                <w:sz w:val="11"/>
                <w:szCs w:val="11"/>
                <w:color w:val="auto"/>
              </w:rPr>
            </w:pPr>
          </w:p>
        </w:tc>
        <w:tc>
          <w:tcPr>
            <w:tcW w:w="3600" w:type="dxa"/>
            <w:vAlign w:val="bottom"/>
            <w:tcBorders>
              <w:top w:val="single" w:sz="8" w:color="0000FF"/>
            </w:tcBorders>
            <w:gridSpan w:val="20"/>
          </w:tcPr>
          <w:p>
            <w:pPr>
              <w:spacing w:after="0" w:line="133" w:lineRule="exact"/>
              <w:rPr>
                <w:rFonts w:ascii="Times New Roman" w:cs="Times New Roman" w:eastAsia="Times New Roman" w:hAnsi="Times New Roman"/>
                <w:sz w:val="12"/>
                <w:szCs w:val="12"/>
                <w:color w:val="0000FF"/>
              </w:rPr>
            </w:pPr>
            <w:hyperlink r:id="rId129">
              <w:r>
                <w:rPr>
                  <w:rFonts w:ascii="Times New Roman" w:cs="Times New Roman" w:eastAsia="Times New Roman" w:hAnsi="Times New Roman"/>
                  <w:sz w:val="12"/>
                  <w:szCs w:val="12"/>
                  <w:color w:val="0000FF"/>
                </w:rPr>
                <w:t>Related form of Deferral Election under Nonemployee Director Deferred</w:t>
              </w:r>
            </w:hyperlink>
          </w:p>
        </w:tc>
        <w:tc>
          <w:tcPr>
            <w:tcW w:w="700" w:type="dxa"/>
            <w:vAlign w:val="bottom"/>
            <w:gridSpan w:val="14"/>
          </w:tcPr>
          <w:p>
            <w:pPr>
              <w:spacing w:after="0"/>
              <w:rPr>
                <w:sz w:val="11"/>
                <w:szCs w:val="11"/>
                <w:color w:val="auto"/>
              </w:rPr>
            </w:pP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10.20</w:t>
            </w:r>
          </w:p>
        </w:tc>
        <w:tc>
          <w:tcPr>
            <w:tcW w:w="8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2/28/2022</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29">
              <w:r>
                <w:rPr>
                  <w:rFonts w:ascii="Times New Roman" w:cs="Times New Roman" w:eastAsia="Times New Roman" w:hAnsi="Times New Roman"/>
                  <w:sz w:val="11"/>
                  <w:szCs w:val="11"/>
                  <w:color w:val="0000FF"/>
                </w:rPr>
                <w:t>Compensation Plan.</w:t>
              </w:r>
            </w:hyperlink>
          </w:p>
        </w:tc>
        <w:tc>
          <w:tcPr>
            <w:tcW w:w="2540" w:type="dxa"/>
            <w:vAlign w:val="bottom"/>
            <w:tcBorders>
              <w:top w:val="single" w:sz="8" w:color="0000FF"/>
            </w:tcBorders>
            <w:gridSpan w:val="12"/>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6"/>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10.29#</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30">
              <w:r>
                <w:rPr>
                  <w:rFonts w:ascii="Times New Roman" w:cs="Times New Roman" w:eastAsia="Times New Roman" w:hAnsi="Times New Roman"/>
                  <w:sz w:val="12"/>
                  <w:szCs w:val="12"/>
                  <w:color w:val="0000FF"/>
                </w:rPr>
                <w:t>Form of Indemnification Agreement by and between the registrant and certain of its</w:t>
              </w:r>
            </w:hyperlink>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10.23</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2/6/2025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80" w:type="dxa"/>
            <w:vAlign w:val="bottom"/>
            <w:tcBorders>
              <w:top w:val="single" w:sz="8" w:color="0000FF"/>
            </w:tcBorders>
            <w:gridSpan w:val="26"/>
          </w:tcPr>
          <w:p>
            <w:pPr>
              <w:spacing w:after="0" w:line="97" w:lineRule="exact"/>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senior employees and directors.</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10.30#</w:t>
            </w:r>
          </w:p>
        </w:tc>
        <w:tc>
          <w:tcPr>
            <w:tcW w:w="100" w:type="dxa"/>
            <w:vAlign w:val="bottom"/>
          </w:tcPr>
          <w:p>
            <w:pPr>
              <w:spacing w:after="0"/>
              <w:rPr>
                <w:sz w:val="12"/>
                <w:szCs w:val="12"/>
                <w:color w:val="auto"/>
              </w:rPr>
            </w:pPr>
          </w:p>
        </w:tc>
        <w:tc>
          <w:tcPr>
            <w:tcW w:w="4300" w:type="dxa"/>
            <w:vAlign w:val="bottom"/>
            <w:gridSpan w:val="34"/>
          </w:tcPr>
          <w:p>
            <w:pPr>
              <w:spacing w:after="0"/>
              <w:rPr>
                <w:rFonts w:ascii="Times New Roman" w:cs="Times New Roman" w:eastAsia="Times New Roman" w:hAnsi="Times New Roman"/>
                <w:sz w:val="12"/>
                <w:szCs w:val="12"/>
                <w:color w:val="0000FF"/>
              </w:rPr>
            </w:pPr>
            <w:hyperlink r:id="rId131">
              <w:r>
                <w:rPr>
                  <w:rFonts w:ascii="Times New Roman" w:cs="Times New Roman" w:eastAsia="Times New Roman" w:hAnsi="Times New Roman"/>
                  <w:sz w:val="12"/>
                  <w:szCs w:val="12"/>
                  <w:color w:val="0000FF"/>
                </w:rPr>
                <w:t>Agreement and Plan of Merger, dated October 22, 2024, among the registrant, Lilac</w:t>
              </w:r>
            </w:hyperlink>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10/24/2024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31">
              <w:r>
                <w:rPr>
                  <w:rFonts w:ascii="Times New Roman" w:cs="Times New Roman" w:eastAsia="Times New Roman" w:hAnsi="Times New Roman"/>
                  <w:sz w:val="11"/>
                  <w:szCs w:val="11"/>
                  <w:color w:val="0000FF"/>
                </w:rPr>
                <w:t>Merger Sub, Inc., Move EZ, Inc. and WT Representative, LLC</w:t>
              </w:r>
              <w:r>
                <w:rPr>
                  <w:rFonts w:ascii="Times New Roman" w:cs="Times New Roman" w:eastAsia="Times New Roman" w:hAnsi="Times New Roman"/>
                  <w:sz w:val="11"/>
                  <w:szCs w:val="11"/>
                  <w:color w:val="000000"/>
                </w:rPr>
                <w:t>.</w:t>
              </w:r>
            </w:hyperlink>
          </w:p>
        </w:tc>
        <w:tc>
          <w:tcPr>
            <w:tcW w:w="8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1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6"/>
              </w:rPr>
              <w:t>10.31#</w:t>
            </w:r>
          </w:p>
        </w:tc>
        <w:tc>
          <w:tcPr>
            <w:tcW w:w="100" w:type="dxa"/>
            <w:vAlign w:val="bottom"/>
          </w:tcPr>
          <w:p>
            <w:pPr>
              <w:spacing w:after="0"/>
              <w:rPr>
                <w:sz w:val="12"/>
                <w:szCs w:val="12"/>
                <w:color w:val="auto"/>
              </w:rPr>
            </w:pPr>
          </w:p>
        </w:tc>
        <w:tc>
          <w:tcPr>
            <w:tcW w:w="3020" w:type="dxa"/>
            <w:vAlign w:val="bottom"/>
            <w:tcBorders>
              <w:top w:val="single" w:sz="8" w:color="0000FF"/>
            </w:tcBorders>
            <w:gridSpan w:val="15"/>
          </w:tcPr>
          <w:p>
            <w:pPr>
              <w:spacing w:after="0"/>
              <w:rPr>
                <w:rFonts w:ascii="Times New Roman" w:cs="Times New Roman" w:eastAsia="Times New Roman" w:hAnsi="Times New Roman"/>
                <w:sz w:val="12"/>
                <w:szCs w:val="12"/>
                <w:color w:val="0000FF"/>
              </w:rPr>
            </w:pPr>
            <w:hyperlink r:id="rId132">
              <w:r>
                <w:rPr>
                  <w:rFonts w:ascii="Times New Roman" w:cs="Times New Roman" w:eastAsia="Times New Roman" w:hAnsi="Times New Roman"/>
                  <w:sz w:val="12"/>
                  <w:szCs w:val="12"/>
                  <w:color w:val="0000FF"/>
                </w:rPr>
                <w:t>Revolving credit facility agreement</w:t>
              </w:r>
            </w:hyperlink>
            <w:r>
              <w:rPr>
                <w:rFonts w:ascii="Times New Roman" w:cs="Times New Roman" w:eastAsia="Times New Roman" w:hAnsi="Times New Roman"/>
                <w:sz w:val="12"/>
                <w:szCs w:val="12"/>
                <w:color w:val="000000"/>
              </w:rPr>
              <w:t>.</w:t>
            </w:r>
          </w:p>
        </w:tc>
        <w:tc>
          <w:tcPr>
            <w:tcW w:w="1280" w:type="dxa"/>
            <w:vAlign w:val="bottom"/>
            <w:gridSpan w:val="19"/>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6"/>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001-37468</w:t>
            </w: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10/3/2025</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19</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Insider Trading Policy of the registrant</w:t>
            </w:r>
            <w:r>
              <w:rPr>
                <w:rFonts w:ascii="Times New Roman" w:cs="Times New Roman" w:eastAsia="Times New Roman" w:hAnsi="Times New Roman"/>
                <w:sz w:val="12"/>
                <w:szCs w:val="12"/>
                <w:color w:val="000000"/>
              </w:rPr>
              <w: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21.1</w:t>
            </w:r>
          </w:p>
        </w:tc>
        <w:tc>
          <w:tcPr>
            <w:tcW w:w="10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FF"/>
                <w:w w:val="99"/>
              </w:rPr>
              <w:t>Subsidiaries of the registrant.</w:t>
            </w:r>
          </w:p>
        </w:tc>
        <w:tc>
          <w:tcPr>
            <w:tcW w:w="440" w:type="dxa"/>
            <w:vAlign w:val="bottom"/>
            <w:tcBorders>
              <w:top w:val="single" w:sz="8" w:color="0000FF"/>
            </w:tcBorders>
            <w:gridSpan w:val="4"/>
          </w:tcPr>
          <w:p>
            <w:pPr>
              <w:spacing w:after="0"/>
              <w:rPr>
                <w:sz w:val="11"/>
                <w:szCs w:val="11"/>
                <w:color w:val="auto"/>
              </w:rPr>
            </w:pPr>
          </w:p>
        </w:tc>
        <w:tc>
          <w:tcPr>
            <w:tcW w:w="2440" w:type="dxa"/>
            <w:vAlign w:val="bottom"/>
            <w:gridSpan w:val="22"/>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23.1</w:t>
            </w:r>
          </w:p>
        </w:tc>
        <w:tc>
          <w:tcPr>
            <w:tcW w:w="100" w:type="dxa"/>
            <w:vAlign w:val="bottom"/>
          </w:tcPr>
          <w:p>
            <w:pPr>
              <w:spacing w:after="0"/>
              <w:rPr>
                <w:sz w:val="11"/>
                <w:szCs w:val="11"/>
                <w:color w:val="auto"/>
              </w:rPr>
            </w:pPr>
          </w:p>
        </w:tc>
        <w:tc>
          <w:tcPr>
            <w:tcW w:w="2800" w:type="dxa"/>
            <w:vAlign w:val="bottom"/>
            <w:tcBorders>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w w:val="99"/>
              </w:rPr>
              <w:t>Consent of independent registered public accounting firm.</w:t>
            </w:r>
          </w:p>
        </w:tc>
        <w:tc>
          <w:tcPr>
            <w:tcW w:w="1500" w:type="dxa"/>
            <w:vAlign w:val="bottom"/>
            <w:gridSpan w:val="20"/>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24.1</w:t>
            </w:r>
          </w:p>
        </w:tc>
        <w:tc>
          <w:tcPr>
            <w:tcW w:w="100" w:type="dxa"/>
            <w:vAlign w:val="bottom"/>
          </w:tcPr>
          <w:p>
            <w:pPr>
              <w:spacing w:after="0"/>
              <w:rPr>
                <w:sz w:val="11"/>
                <w:szCs w:val="11"/>
                <w:color w:val="auto"/>
              </w:rPr>
            </w:pPr>
          </w:p>
        </w:tc>
        <w:tc>
          <w:tcPr>
            <w:tcW w:w="3580" w:type="dxa"/>
            <w:vAlign w:val="bottom"/>
            <w:tcBorders>
              <w:bottom w:val="single" w:sz="8" w:color="0000FF"/>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FF"/>
                <w:w w:val="99"/>
              </w:rPr>
              <w:t>Power of Attorney (included on the signature page of this Annual Report).</w:t>
            </w:r>
          </w:p>
        </w:tc>
        <w:tc>
          <w:tcPr>
            <w:tcW w:w="720" w:type="dxa"/>
            <w:vAlign w:val="bottom"/>
            <w:gridSpan w:val="15"/>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133"/>
        </w:trPr>
        <w:tc>
          <w:tcPr>
            <w:tcW w:w="10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31.1</w:t>
            </w:r>
          </w:p>
        </w:tc>
        <w:tc>
          <w:tcPr>
            <w:tcW w:w="100" w:type="dxa"/>
            <w:vAlign w:val="bottom"/>
          </w:tcPr>
          <w:p>
            <w:pPr>
              <w:spacing w:after="0"/>
              <w:rPr>
                <w:sz w:val="11"/>
                <w:szCs w:val="11"/>
                <w:color w:val="auto"/>
              </w:rPr>
            </w:pPr>
          </w:p>
        </w:tc>
        <w:tc>
          <w:tcPr>
            <w:tcW w:w="4300" w:type="dxa"/>
            <w:vAlign w:val="bottom"/>
            <w:gridSpan w:val="34"/>
          </w:tcPr>
          <w:p>
            <w:pPr>
              <w:spacing w:after="0" w:line="133" w:lineRule="exact"/>
              <w:rPr>
                <w:sz w:val="20"/>
                <w:szCs w:val="20"/>
                <w:color w:val="auto"/>
              </w:rPr>
            </w:pPr>
            <w:r>
              <w:rPr>
                <w:rFonts w:ascii="Times New Roman" w:cs="Times New Roman" w:eastAsia="Times New Roman" w:hAnsi="Times New Roman"/>
                <w:sz w:val="12"/>
                <w:szCs w:val="12"/>
                <w:color w:val="0000FF"/>
              </w:rPr>
              <w:t>Certification of Chief Executive Officer pursuant to Rule 13a-14(a) or Rule 15d-14(a)</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Borders>
              <w:top w:val="single" w:sz="8" w:color="0000FF"/>
              <w:bottom w:val="single" w:sz="8" w:color="0000FF"/>
            </w:tcBorders>
            <w:gridSpan w:val="17"/>
          </w:tcPr>
          <w:p>
            <w:pPr>
              <w:spacing w:after="0" w:line="97" w:lineRule="exact"/>
              <w:rPr>
                <w:sz w:val="20"/>
                <w:szCs w:val="20"/>
                <w:color w:val="auto"/>
              </w:rPr>
            </w:pPr>
            <w:r>
              <w:rPr>
                <w:rFonts w:ascii="Times New Roman" w:cs="Times New Roman" w:eastAsia="Times New Roman" w:hAnsi="Times New Roman"/>
                <w:sz w:val="11"/>
                <w:szCs w:val="11"/>
                <w:color w:val="0000FF"/>
              </w:rPr>
              <w:t>promulgated under the Securities Exchange Act of 1934, as amended.</w:t>
            </w:r>
          </w:p>
        </w:tc>
        <w:tc>
          <w:tcPr>
            <w:tcW w:w="780" w:type="dxa"/>
            <w:vAlign w:val="bottom"/>
            <w:tcBorders>
              <w:top w:val="single" w:sz="8" w:color="0000FF"/>
            </w:tcBorders>
            <w:gridSpan w:val="12"/>
          </w:tcPr>
          <w:p>
            <w:pPr>
              <w:spacing w:after="0"/>
              <w:rPr>
                <w:sz w:val="8"/>
                <w:szCs w:val="8"/>
                <w:color w:val="auto"/>
              </w:rPr>
            </w:pPr>
          </w:p>
        </w:tc>
        <w:tc>
          <w:tcPr>
            <w:tcW w:w="160" w:type="dxa"/>
            <w:vAlign w:val="bottom"/>
            <w:gridSpan w:val="5"/>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2"/>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31.2</w:t>
            </w:r>
          </w:p>
        </w:tc>
        <w:tc>
          <w:tcPr>
            <w:tcW w:w="100" w:type="dxa"/>
            <w:vAlign w:val="bottom"/>
          </w:tcPr>
          <w:p>
            <w:pPr>
              <w:spacing w:after="0"/>
              <w:rPr>
                <w:sz w:val="12"/>
                <w:szCs w:val="12"/>
                <w:color w:val="auto"/>
              </w:rPr>
            </w:pPr>
          </w:p>
        </w:tc>
        <w:tc>
          <w:tcPr>
            <w:tcW w:w="4300" w:type="dxa"/>
            <w:vAlign w:val="bottom"/>
            <w:gridSpan w:val="34"/>
          </w:tcPr>
          <w:p>
            <w:pPr>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13a-14(a) or Rule 15d-14(a)</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100" w:type="dxa"/>
            <w:vAlign w:val="bottom"/>
            <w:tcBorders>
              <w:top w:val="single" w:sz="8" w:color="0000FF"/>
            </w:tcBorders>
            <w:gridSpan w:val="27"/>
          </w:tcPr>
          <w:p>
            <w:pPr>
              <w:spacing w:after="0" w:line="97" w:lineRule="exact"/>
              <w:rPr>
                <w:sz w:val="20"/>
                <w:szCs w:val="20"/>
                <w:color w:val="auto"/>
              </w:rPr>
            </w:pPr>
            <w:r>
              <w:rPr>
                <w:rFonts w:ascii="Times New Roman" w:cs="Times New Roman" w:eastAsia="Times New Roman" w:hAnsi="Times New Roman"/>
                <w:sz w:val="11"/>
                <w:szCs w:val="11"/>
                <w:color w:val="0000FF"/>
              </w:rPr>
              <w:t>promulgated under the Securities Exchange Act of 1934, as amended.</w:t>
            </w:r>
          </w:p>
        </w:tc>
        <w:tc>
          <w:tcPr>
            <w:tcW w:w="200" w:type="dxa"/>
            <w:vAlign w:val="bottom"/>
            <w:gridSpan w:val="7"/>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664"/>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70" w:name="page71"/>
    <w:bookmarkEnd w:id="70"/>
    <w:tbl>
      <w:tblPr>
        <w:tblLayout w:type="fixed"/>
        <w:tblInd w:w="16" w:type="dxa"/>
        <w:tblCellMar>
          <w:top w:w="0" w:type="dxa"/>
          <w:left w:w="0" w:type="dxa"/>
          <w:bottom w:w="0" w:type="dxa"/>
          <w:right w:w="0" w:type="dxa"/>
        </w:tblCellMar>
      </w:tblPr>
      <w:tr>
        <w:trPr>
          <w:trHeight w:val="159"/>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2"/>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20" w:type="dxa"/>
            <w:vAlign w:val="bottom"/>
            <w:gridSpan w:val="5"/>
          </w:tcPr>
          <w:p>
            <w:pPr>
              <w:ind w:left="1320"/>
              <w:spacing w:after="0"/>
              <w:rPr>
                <w:sz w:val="20"/>
                <w:szCs w:val="20"/>
                <w:color w:val="auto"/>
              </w:rPr>
            </w:pPr>
            <w:r>
              <w:rPr>
                <w:rFonts w:ascii="Times New Roman" w:cs="Times New Roman" w:eastAsia="Times New Roman" w:hAnsi="Times New Roman"/>
                <w:sz w:val="12"/>
                <w:szCs w:val="12"/>
                <w:b w:val="1"/>
                <w:bCs w:val="1"/>
                <w:color w:val="auto"/>
              </w:rPr>
              <w:t>Exhibit Description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File No.</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10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Filed Herewith</w:t>
            </w:r>
          </w:p>
        </w:tc>
      </w:tr>
      <w:tr>
        <w:trPr>
          <w:trHeight w:val="115"/>
        </w:trPr>
        <w:tc>
          <w:tcPr>
            <w:tcW w:w="10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32.1*</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180" w:type="dxa"/>
            <w:vAlign w:val="bottom"/>
            <w:tcBorders>
              <w:top w:val="single" w:sz="8" w:color="auto"/>
            </w:tcBorders>
            <w:gridSpan w:val="5"/>
          </w:tcPr>
          <w:p>
            <w:pPr>
              <w:spacing w:after="0" w:line="115" w:lineRule="exact"/>
              <w:rPr>
                <w:sz w:val="20"/>
                <w:szCs w:val="20"/>
                <w:color w:val="auto"/>
              </w:rPr>
            </w:pPr>
            <w:r>
              <w:rPr>
                <w:rFonts w:ascii="Times New Roman" w:cs="Times New Roman" w:eastAsia="Times New Roman" w:hAnsi="Times New Roman"/>
                <w:sz w:val="12"/>
                <w:szCs w:val="12"/>
                <w:color w:val="0000FF"/>
              </w:rPr>
              <w:t>Certifications of Chief Executive Officer and Chief Financial Officer, pursuant to 18</w:t>
            </w: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1"/>
              </w:rPr>
              <w:t>X</w:t>
            </w:r>
          </w:p>
        </w:tc>
      </w:tr>
      <w:tr>
        <w:trPr>
          <w:trHeight w:val="97"/>
        </w:trPr>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40" w:type="dxa"/>
            <w:vAlign w:val="bottom"/>
            <w:tcBorders>
              <w:top w:val="single" w:sz="8" w:color="0000FF"/>
            </w:tcBorders>
            <w:gridSpan w:val="3"/>
          </w:tcPr>
          <w:p>
            <w:pPr>
              <w:spacing w:after="0" w:line="97" w:lineRule="exact"/>
              <w:rPr>
                <w:sz w:val="20"/>
                <w:szCs w:val="20"/>
                <w:color w:val="auto"/>
              </w:rPr>
            </w:pPr>
            <w:r>
              <w:rPr>
                <w:rFonts w:ascii="Times New Roman" w:cs="Times New Roman" w:eastAsia="Times New Roman" w:hAnsi="Times New Roman"/>
                <w:sz w:val="11"/>
                <w:szCs w:val="11"/>
                <w:color w:val="0000FF"/>
              </w:rPr>
              <w:t>U.S.C. Section 1350, as adopted pursuant to Section 906 of the Sarbanes-Oxley Act</w:t>
            </w:r>
          </w:p>
        </w:tc>
        <w:tc>
          <w:tcPr>
            <w:tcW w:w="24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color w:val="0000FF"/>
              </w:rPr>
              <w:t>of</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06"/>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top w:val="single" w:sz="8" w:color="0000FF"/>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88"/>
              </w:rPr>
              <w:t>2002.</w:t>
            </w:r>
          </w:p>
        </w:tc>
        <w:tc>
          <w:tcPr>
            <w:tcW w:w="1760" w:type="dxa"/>
            <w:vAlign w:val="bottom"/>
            <w:tcBorders>
              <w:top w:val="single" w:sz="8" w:color="0000FF"/>
            </w:tcBorders>
          </w:tcPr>
          <w:p>
            <w:pPr>
              <w:spacing w:after="0"/>
              <w:rPr>
                <w:sz w:val="9"/>
                <w:szCs w:val="9"/>
                <w:color w:val="auto"/>
              </w:rPr>
            </w:pPr>
          </w:p>
        </w:tc>
        <w:tc>
          <w:tcPr>
            <w:tcW w:w="20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33"/>
        </w:trPr>
        <w:tc>
          <w:tcPr>
            <w:tcW w:w="10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gridSpan w:val="6"/>
          </w:tcPr>
          <w:p>
            <w:pPr>
              <w:spacing w:after="0" w:line="133" w:lineRule="exact"/>
              <w:rPr>
                <w:rFonts w:ascii="Times New Roman" w:cs="Times New Roman" w:eastAsia="Times New Roman" w:hAnsi="Times New Roman"/>
                <w:sz w:val="12"/>
                <w:szCs w:val="12"/>
                <w:color w:val="0000FF"/>
              </w:rPr>
            </w:pPr>
            <w:hyperlink r:id="rId135">
              <w:r>
                <w:rPr>
                  <w:rFonts w:ascii="Times New Roman" w:cs="Times New Roman" w:eastAsia="Times New Roman" w:hAnsi="Times New Roman"/>
                  <w:sz w:val="12"/>
                  <w:szCs w:val="12"/>
                  <w:color w:val="0000FF"/>
                </w:rPr>
                <w:t>Executive Compensation Recovery Policy</w:t>
              </w:r>
            </w:hyperlink>
            <w:r>
              <w:rPr>
                <w:rFonts w:ascii="Times New Roman" w:cs="Times New Roman" w:eastAsia="Times New Roman" w:hAnsi="Times New Roman"/>
                <w:sz w:val="12"/>
                <w:szCs w:val="12"/>
                <w:color w:val="000000"/>
              </w:rPr>
              <w:t>.</w:t>
            </w:r>
          </w:p>
        </w:tc>
        <w:tc>
          <w:tcPr>
            <w:tcW w:w="9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7"/>
              </w:rPr>
              <w:t>10-K</w:t>
            </w:r>
          </w:p>
        </w:tc>
        <w:tc>
          <w:tcPr>
            <w:tcW w:w="1280" w:type="dxa"/>
            <w:vAlign w:val="bottom"/>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001-37468</w:t>
            </w:r>
          </w:p>
        </w:tc>
        <w:tc>
          <w:tcPr>
            <w:tcW w:w="80" w:type="dxa"/>
            <w:vAlign w:val="bottom"/>
          </w:tcPr>
          <w:p>
            <w:pPr>
              <w:spacing w:after="0"/>
              <w:rPr>
                <w:sz w:val="11"/>
                <w:szCs w:val="11"/>
                <w:color w:val="auto"/>
              </w:rPr>
            </w:pPr>
          </w:p>
        </w:tc>
        <w:tc>
          <w:tcPr>
            <w:tcW w:w="980" w:type="dxa"/>
            <w:vAlign w:val="bottom"/>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80" w:type="dxa"/>
            <w:vAlign w:val="bottom"/>
          </w:tcPr>
          <w:p>
            <w:pPr>
              <w:spacing w:after="0"/>
              <w:rPr>
                <w:sz w:val="11"/>
                <w:szCs w:val="11"/>
                <w:color w:val="auto"/>
              </w:rPr>
            </w:pPr>
          </w:p>
        </w:tc>
        <w:tc>
          <w:tcPr>
            <w:tcW w:w="1200" w:type="dxa"/>
            <w:vAlign w:val="bottom"/>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2/1/2024</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101.SCH</w:t>
            </w:r>
          </w:p>
        </w:tc>
        <w:tc>
          <w:tcPr>
            <w:tcW w:w="20" w:type="dxa"/>
            <w:vAlign w:val="bottom"/>
          </w:tcPr>
          <w:p>
            <w:pPr>
              <w:spacing w:after="0"/>
              <w:rPr>
                <w:sz w:val="14"/>
                <w:szCs w:val="14"/>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101.CAL</w:t>
            </w:r>
          </w:p>
        </w:tc>
        <w:tc>
          <w:tcPr>
            <w:tcW w:w="20" w:type="dxa"/>
            <w:vAlign w:val="bottom"/>
          </w:tcPr>
          <w:p>
            <w:pPr>
              <w:spacing w:after="0"/>
              <w:rPr>
                <w:sz w:val="13"/>
                <w:szCs w:val="13"/>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101.DEF</w:t>
            </w:r>
          </w:p>
        </w:tc>
        <w:tc>
          <w:tcPr>
            <w:tcW w:w="20" w:type="dxa"/>
            <w:vAlign w:val="bottom"/>
          </w:tcPr>
          <w:p>
            <w:pPr>
              <w:spacing w:after="0"/>
              <w:rPr>
                <w:sz w:val="13"/>
                <w:szCs w:val="13"/>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101.LAB</w:t>
            </w:r>
          </w:p>
        </w:tc>
        <w:tc>
          <w:tcPr>
            <w:tcW w:w="20" w:type="dxa"/>
            <w:vAlign w:val="bottom"/>
          </w:tcPr>
          <w:p>
            <w:pPr>
              <w:spacing w:after="0"/>
              <w:rPr>
                <w:sz w:val="13"/>
                <w:szCs w:val="13"/>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5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101.PRE</w:t>
            </w:r>
          </w:p>
        </w:tc>
        <w:tc>
          <w:tcPr>
            <w:tcW w:w="20" w:type="dxa"/>
            <w:vAlign w:val="bottom"/>
          </w:tcPr>
          <w:p>
            <w:pPr>
              <w:spacing w:after="0"/>
              <w:rPr>
                <w:sz w:val="13"/>
                <w:szCs w:val="13"/>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X</w:t>
            </w:r>
          </w:p>
        </w:tc>
      </w:tr>
      <w:tr>
        <w:trPr>
          <w:trHeight w:val="119"/>
        </w:trPr>
        <w:tc>
          <w:tcPr>
            <w:tcW w:w="10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104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gridSpan w:val="6"/>
          </w:tcPr>
          <w:p>
            <w:pPr>
              <w:spacing w:after="0" w:line="119" w:lineRule="exact"/>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auto"/>
                <w:w w:val="91"/>
              </w:rPr>
              <w:t>X</w:t>
            </w: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w:t>
            </w:r>
          </w:p>
        </w:tc>
        <w:tc>
          <w:tcPr>
            <w:tcW w:w="1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86" w:lineRule="exact"/>
        <w:rPr>
          <w:sz w:val="20"/>
          <w:szCs w:val="20"/>
          <w:color w:val="auto"/>
        </w:rPr>
      </w:pPr>
    </w:p>
    <w:p>
      <w:pPr>
        <w:ind w:left="1096" w:hanging="1096"/>
        <w:spacing w:after="0"/>
        <w:tabs>
          <w:tab w:leader="none" w:pos="1096"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management contract or compensatory plan or arrangement</w:t>
      </w:r>
    </w:p>
    <w:p>
      <w:pPr>
        <w:spacing w:after="0" w:line="17" w:lineRule="exact"/>
        <w:rPr>
          <w:sz w:val="20"/>
          <w:szCs w:val="20"/>
          <w:color w:val="auto"/>
        </w:rPr>
      </w:pPr>
    </w:p>
    <w:p>
      <w:pPr>
        <w:ind w:left="1096" w:right="60" w:hanging="1096"/>
        <w:spacing w:after="0" w:line="224" w:lineRule="auto"/>
        <w:tabs>
          <w:tab w:leader="none" w:pos="109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708025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56"/>
          </w:cols>
          <w:pgMar w:left="304" w:top="881" w:right="3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480" w:type="dxa"/>
            <w:vAlign w:val="bottom"/>
            <w:gridSpan w:val="3"/>
          </w:tcPr>
          <w:p>
            <w:pPr>
              <w:ind w:left="1280"/>
              <w:spacing w:after="0"/>
              <w:rPr>
                <w:sz w:val="20"/>
                <w:szCs w:val="20"/>
                <w:color w:val="auto"/>
              </w:rPr>
            </w:pPr>
            <w:r>
              <w:rPr>
                <w:rFonts w:ascii="Times New Roman" w:cs="Times New Roman" w:eastAsia="Times New Roman" w:hAnsi="Times New Roman"/>
                <w:sz w:val="12"/>
                <w:szCs w:val="12"/>
                <w:b w:val="1"/>
                <w:bCs w:val="1"/>
                <w:color w:val="auto"/>
              </w:rPr>
              <w:t>AppFolio, Inc.</w:t>
            </w:r>
          </w:p>
        </w:tc>
      </w:tr>
      <w:tr>
        <w:trPr>
          <w:trHeight w:val="396"/>
        </w:trPr>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Date:</w:t>
            </w:r>
          </w:p>
        </w:tc>
        <w:tc>
          <w:tcPr>
            <w:tcW w:w="2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February 5, 2026</w:t>
            </w:r>
          </w:p>
        </w:tc>
        <w:tc>
          <w:tcPr>
            <w:tcW w:w="8480" w:type="dxa"/>
            <w:vAlign w:val="bottom"/>
            <w:gridSpan w:val="3"/>
          </w:tcPr>
          <w:p>
            <w:pPr>
              <w:ind w:left="1640"/>
              <w:spacing w:after="0"/>
              <w:rPr>
                <w:sz w:val="20"/>
                <w:szCs w:val="20"/>
                <w:color w:val="auto"/>
              </w:rPr>
            </w:pPr>
            <w:r>
              <w:rPr>
                <w:rFonts w:ascii="Times New Roman" w:cs="Times New Roman" w:eastAsia="Times New Roman" w:hAnsi="Times New Roman"/>
                <w:sz w:val="12"/>
                <w:szCs w:val="12"/>
                <w:color w:val="auto"/>
              </w:rPr>
              <w:t>By: /s/ Shane Trigg</w:t>
            </w:r>
          </w:p>
        </w:tc>
      </w:tr>
      <w:tr>
        <w:trPr>
          <w:trHeight w:val="140"/>
        </w:trPr>
        <w:tc>
          <w:tcPr>
            <w:tcW w:w="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Shane Trigg</w:t>
            </w:r>
          </w:p>
        </w:tc>
        <w:tc>
          <w:tcPr>
            <w:tcW w:w="2540" w:type="dxa"/>
            <w:vAlign w:val="bottom"/>
          </w:tcPr>
          <w:p>
            <w:pPr>
              <w:spacing w:after="0"/>
              <w:rPr>
                <w:sz w:val="12"/>
                <w:szCs w:val="12"/>
                <w:color w:val="auto"/>
              </w:rPr>
            </w:pPr>
          </w:p>
        </w:tc>
      </w:tr>
      <w:tr>
        <w:trPr>
          <w:trHeight w:val="153"/>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1467"/>
        </w:trPr>
        <w:tc>
          <w:tcPr>
            <w:tcW w:w="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Shane Trigg, Tim Eaton, and Don Rigler,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each of said attorneys-in-fact and agents, or substitute or substitutes, may do or cause to be done by virtue hereof.</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00"/>
          </w:cols>
          <w:pgMar w:left="300" w:top="101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22885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6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Shane Trigg</w:t>
      </w:r>
    </w:p>
    <w:p>
      <w:pPr>
        <w:spacing w:after="0" w:line="30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1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Tim Eaton</w:t>
      </w:r>
    </w:p>
    <w:p>
      <w:pPr>
        <w:spacing w:after="0" w:line="29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Don Rigler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Don Rigler</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1"/>
          <w:szCs w:val="11"/>
          <w:color w:val="auto"/>
        </w:rPr>
        <w:t>/s/ Andreas von Blottnitz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22885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3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Andreas von Blottnitz</w:t>
      </w:r>
    </w:p>
    <w:p>
      <w:pPr>
        <w:spacing w:after="0" w:line="17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1"/>
          <w:szCs w:val="11"/>
          <w:color w:val="auto"/>
        </w:rPr>
        <w:t>/s/ 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2288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1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Agnes Bundy Scanlan</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Janet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Janet Kerr</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Olivia Nottebohm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22288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Olivia Nottebohm</w:t>
      </w:r>
    </w:p>
    <w:p>
      <w:pPr>
        <w:spacing w:after="0" w:line="159"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/s/ Winifred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222885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2228850" cy="5715"/>
                    </a:xfrm>
                    <a:prstGeom prst="rect">
                      <a:avLst/>
                    </a:prstGeom>
                    <a:noFill/>
                  </pic:spPr>
                </pic:pic>
              </a:graphicData>
            </a:graphic>
          </wp:anchor>
        </w:drawing>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Winifred Webb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18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DATE</w:t>
            </w:r>
          </w:p>
        </w:tc>
      </w:tr>
      <w:tr>
        <w:trPr>
          <w:trHeight w:val="241"/>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c>
          <w:tcPr>
            <w:tcW w:w="2240" w:type="dxa"/>
            <w:vAlign w:val="bottom"/>
          </w:tcPr>
          <w:p>
            <w:pPr>
              <w:spacing w:after="0"/>
              <w:rPr>
                <w:sz w:val="20"/>
                <w:szCs w:val="20"/>
                <w:color w:val="auto"/>
              </w:rPr>
            </w:pPr>
          </w:p>
        </w:tc>
      </w:tr>
      <w:tr>
        <w:trPr>
          <w:trHeight w:val="162"/>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41"/>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Chief Financial Officer</w:t>
            </w:r>
          </w:p>
        </w:tc>
        <w:tc>
          <w:tcPr>
            <w:tcW w:w="2240" w:type="dxa"/>
            <w:vAlign w:val="bottom"/>
          </w:tcPr>
          <w:p>
            <w:pPr>
              <w:spacing w:after="0"/>
              <w:rPr>
                <w:sz w:val="24"/>
                <w:szCs w:val="24"/>
                <w:color w:val="auto"/>
              </w:rPr>
            </w:pPr>
          </w:p>
        </w:tc>
      </w:tr>
      <w:tr>
        <w:trPr>
          <w:trHeight w:val="162"/>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(Principal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41"/>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Vice President of Accounting</w:t>
            </w:r>
          </w:p>
        </w:tc>
        <w:tc>
          <w:tcPr>
            <w:tcW w:w="2240" w:type="dxa"/>
            <w:vAlign w:val="bottom"/>
          </w:tcPr>
          <w:p>
            <w:pPr>
              <w:spacing w:after="0"/>
              <w:rPr>
                <w:sz w:val="24"/>
                <w:szCs w:val="24"/>
                <w:color w:val="auto"/>
              </w:rPr>
            </w:pPr>
          </w:p>
        </w:tc>
      </w:tr>
      <w:tr>
        <w:trPr>
          <w:trHeight w:val="162"/>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(Principal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77"/>
        </w:trPr>
        <w:tc>
          <w:tcPr>
            <w:tcW w:w="53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77"/>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77"/>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r>
        <w:trPr>
          <w:trHeight w:val="459"/>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5, 2026</w:t>
            </w:r>
          </w:p>
        </w:tc>
      </w:tr>
    </w:tbl>
    <w:p>
      <w:pPr>
        <w:sectPr>
          <w:pgSz w:w="11900" w:h="16838" w:orient="portrait"/>
          <w:cols w:equalWidth="0" w:num="2">
            <w:col w:w="3000" w:space="720"/>
            <w:col w:w="7580"/>
          </w:cols>
          <w:pgMar w:left="300" w:top="1016" w:right="299" w:bottom="1440" w:gutter="0" w:footer="0" w:header="0"/>
          <w:type w:val="continuous"/>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68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w w:val="99"/>
              </w:rPr>
              <w:t>Exhibit 21.1</w:t>
            </w:r>
          </w:p>
        </w:tc>
      </w:tr>
      <w:tr>
        <w:trPr>
          <w:trHeight w:val="459"/>
        </w:trPr>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List of Subsidiaries of the Registrant</w:t>
            </w:r>
          </w:p>
        </w:tc>
      </w:tr>
      <w:tr>
        <w:trPr>
          <w:trHeight w:val="667"/>
        </w:trPr>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Name of Subsidiary</w:t>
            </w:r>
          </w:p>
        </w:tc>
        <w:tc>
          <w:tcPr>
            <w:tcW w:w="2120" w:type="dxa"/>
            <w:vAlign w:val="bottom"/>
          </w:tcPr>
          <w:p>
            <w:pPr>
              <w:spacing w:after="0"/>
              <w:rPr>
                <w:sz w:val="24"/>
                <w:szCs w:val="24"/>
                <w:color w:val="auto"/>
              </w:rPr>
            </w:pPr>
          </w:p>
        </w:tc>
        <w:tc>
          <w:tcPr>
            <w:tcW w:w="770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Jurisdiction of Incorporation or Organization</w:t>
            </w:r>
          </w:p>
        </w:tc>
      </w:tr>
      <w:tr>
        <w:trPr>
          <w:trHeight w:val="20"/>
        </w:trPr>
        <w:tc>
          <w:tcPr>
            <w:tcW w:w="9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8"/>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AppFolio Insurance Services,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California</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AppFolio Investment Management,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California</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Move EZ,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Delaware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Terra Mar Insurance Company, Inc.</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Hawaii</w:t>
            </w:r>
          </w:p>
        </w:tc>
      </w:tr>
      <w:tr>
        <w:trPr>
          <w:trHeight w:val="155"/>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Home Concierge Move Easy Private Limited</w:t>
            </w:r>
          </w:p>
        </w:tc>
        <w:tc>
          <w:tcPr>
            <w:tcW w:w="5020" w:type="dxa"/>
            <w:vAlign w:val="bottom"/>
          </w:tcPr>
          <w:p>
            <w:pPr>
              <w:spacing w:after="0"/>
              <w:rPr>
                <w:sz w:val="13"/>
                <w:szCs w:val="13"/>
                <w:color w:val="auto"/>
              </w:rPr>
            </w:pPr>
          </w:p>
        </w:tc>
        <w:tc>
          <w:tcPr>
            <w:tcW w:w="268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India</w:t>
            </w:r>
          </w:p>
        </w:tc>
      </w:tr>
    </w:tbl>
    <w:p>
      <w:pPr>
        <w:sectPr>
          <w:pgSz w:w="11900" w:h="16838" w:orient="portrait"/>
          <w:cols w:equalWidth="0" w:num="1">
            <w:col w:w="10780"/>
          </w:cols>
          <w:pgMar w:left="820" w:top="920" w:right="2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Georgia" w:cs="Georgia" w:eastAsia="Georgia" w:hAnsi="Georgia"/>
          <w:sz w:val="12"/>
          <w:szCs w:val="12"/>
          <w:color w:val="auto"/>
        </w:rPr>
        <w:t>CONSENT OF INDEPENDENT REGISTERED PUBLIC ACCOUNTING FIRM</w:t>
      </w:r>
    </w:p>
    <w:p>
      <w:pPr>
        <w:spacing w:after="0" w:line="242" w:lineRule="exact"/>
        <w:rPr>
          <w:sz w:val="20"/>
          <w:szCs w:val="20"/>
          <w:color w:val="auto"/>
        </w:rPr>
      </w:pPr>
    </w:p>
    <w:p>
      <w:pPr>
        <w:jc w:val="both"/>
        <w:spacing w:after="0" w:line="245" w:lineRule="auto"/>
        <w:rPr>
          <w:sz w:val="20"/>
          <w:szCs w:val="20"/>
          <w:color w:val="auto"/>
        </w:rPr>
      </w:pPr>
      <w:r>
        <w:rPr>
          <w:rFonts w:ascii="Georgia" w:cs="Georgia" w:eastAsia="Georgia" w:hAnsi="Georgia"/>
          <w:sz w:val="12"/>
          <w:szCs w:val="12"/>
          <w:color w:val="auto"/>
        </w:rPr>
        <w:t>We hereby consent to the incorporation by reference in the Registration Statements on Form S-8 (No. 333-281024, No. 333-276819, No. 333-269664, No. 333-263096, No. 333-236818, No. 333-229970, No. 333-223231, No. 333-216274, No. 333-209792, and No. 333-206179) of AppFolio, Inc. of our report dated February 5, 2026 relating to the financial statements and the effectiveness of internal control over financial reporting which appears in this Form 10-K.</w:t>
      </w:r>
    </w:p>
    <w:p>
      <w:pPr>
        <w:spacing w:after="0" w:line="148" w:lineRule="exact"/>
        <w:rPr>
          <w:sz w:val="20"/>
          <w:szCs w:val="20"/>
          <w:color w:val="auto"/>
        </w:rPr>
      </w:pPr>
    </w:p>
    <w:p>
      <w:pPr>
        <w:spacing w:after="0"/>
        <w:rPr>
          <w:sz w:val="20"/>
          <w:szCs w:val="20"/>
          <w:color w:val="auto"/>
        </w:rPr>
      </w:pPr>
      <w:r>
        <w:rPr>
          <w:rFonts w:ascii="Georgia" w:cs="Georgia" w:eastAsia="Georgia" w:hAnsi="Georgia"/>
          <w:sz w:val="12"/>
          <w:szCs w:val="12"/>
          <w:color w:val="auto"/>
        </w:rPr>
        <w:t>/s/ PricewaterhouseCoopers LLP</w:t>
      </w:r>
    </w:p>
    <w:p>
      <w:pPr>
        <w:spacing w:after="0" w:line="237" w:lineRule="auto"/>
        <w:rPr>
          <w:sz w:val="20"/>
          <w:szCs w:val="20"/>
          <w:color w:val="auto"/>
        </w:rPr>
      </w:pPr>
      <w:r>
        <w:rPr>
          <w:rFonts w:ascii="Georgia" w:cs="Georgia" w:eastAsia="Georgia" w:hAnsi="Georgia"/>
          <w:sz w:val="12"/>
          <w:szCs w:val="12"/>
          <w:color w:val="auto"/>
        </w:rPr>
        <w:t>Los Angeles, California</w:t>
      </w:r>
    </w:p>
    <w:p>
      <w:pPr>
        <w:spacing w:after="0"/>
        <w:rPr>
          <w:sz w:val="20"/>
          <w:szCs w:val="20"/>
          <w:color w:val="auto"/>
        </w:rPr>
      </w:pPr>
      <w:r>
        <w:rPr>
          <w:rFonts w:ascii="Georgia" w:cs="Georgia" w:eastAsia="Georgia" w:hAnsi="Georgia"/>
          <w:sz w:val="12"/>
          <w:szCs w:val="12"/>
          <w:color w:val="auto"/>
        </w:rPr>
        <w:t>February 5, 2026</w:t>
      </w:r>
    </w:p>
    <w:p>
      <w:pPr>
        <w:sectPr>
          <w:pgSz w:w="11900" w:h="16838" w:orient="portrait"/>
          <w:cols w:equalWidth="0" w:num="1">
            <w:col w:w="11300"/>
          </w:cols>
          <w:pgMar w:left="300" w:top="638" w:right="2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Shane Trigg, certify that:</w:t>
      </w:r>
    </w:p>
    <w:p>
      <w:pPr>
        <w:spacing w:after="0" w:line="96" w:lineRule="exact"/>
        <w:rPr>
          <w:sz w:val="20"/>
          <w:szCs w:val="20"/>
          <w:color w:val="auto"/>
        </w:rPr>
      </w:pPr>
    </w:p>
    <w:p>
      <w:pPr>
        <w:ind w:left="1100" w:hanging="1096"/>
        <w:spacing w:after="0"/>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AppFolio, Inc.;</w:t>
      </w:r>
    </w:p>
    <w:p>
      <w:pPr>
        <w:spacing w:after="0" w:line="87" w:lineRule="exact"/>
        <w:rPr>
          <w:rFonts w:ascii="Times New Roman" w:cs="Times New Roman" w:eastAsia="Times New Roman" w:hAnsi="Times New Roman"/>
          <w:sz w:val="12"/>
          <w:szCs w:val="12"/>
          <w:color w:val="auto"/>
        </w:rPr>
      </w:pPr>
    </w:p>
    <w:p>
      <w:pPr>
        <w:ind w:left="1100" w:right="20" w:hanging="1096"/>
        <w:spacing w:after="0" w:line="248"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Times New Roman" w:cs="Times New Roman" w:eastAsia="Times New Roman" w:hAnsi="Times New Roman"/>
          <w:sz w:val="12"/>
          <w:szCs w:val="12"/>
          <w:color w:val="auto"/>
        </w:rPr>
      </w:pPr>
    </w:p>
    <w:p>
      <w:pPr>
        <w:ind w:left="2300" w:right="40" w:hanging="528"/>
        <w:spacing w:after="0" w:line="248" w:lineRule="auto"/>
        <w:tabs>
          <w:tab w:leader="none" w:pos="2300" w:val="left"/>
        </w:tabs>
        <w:numPr>
          <w:ilvl w:val="2"/>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2"/>
          <w:szCs w:val="12"/>
          <w:color w:val="auto"/>
        </w:rPr>
      </w:pPr>
    </w:p>
    <w:p>
      <w:pPr>
        <w:ind w:left="2300" w:right="300" w:hanging="528"/>
        <w:spacing w:after="0" w:line="275" w:lineRule="auto"/>
        <w:tabs>
          <w:tab w:leader="none" w:pos="2300" w:val="left"/>
        </w:tabs>
        <w:numPr>
          <w:ilvl w:val="2"/>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1"/>
          <w:szCs w:val="11"/>
          <w:color w:val="auto"/>
        </w:rPr>
      </w:pPr>
    </w:p>
    <w:p>
      <w:pPr>
        <w:ind w:left="2300" w:right="40" w:hanging="528"/>
        <w:spacing w:after="0" w:line="236" w:lineRule="auto"/>
        <w:tabs>
          <w:tab w:leader="none" w:pos="2300" w:val="left"/>
        </w:tabs>
        <w:numPr>
          <w:ilvl w:val="2"/>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left="2300" w:right="40" w:hanging="528"/>
        <w:spacing w:after="0" w:line="248" w:lineRule="auto"/>
        <w:tabs>
          <w:tab w:leader="none" w:pos="2300" w:val="left"/>
        </w:tabs>
        <w:numPr>
          <w:ilvl w:val="2"/>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2"/>
          <w:szCs w:val="12"/>
          <w:color w:val="auto"/>
        </w:rPr>
      </w:pPr>
    </w:p>
    <w:p>
      <w:pPr>
        <w:ind w:left="2280" w:right="20" w:hanging="530"/>
        <w:spacing w:after="0" w:line="236" w:lineRule="auto"/>
        <w:tabs>
          <w:tab w:leader="none" w:pos="228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2280" w:hanging="530"/>
        <w:spacing w:after="0"/>
        <w:tabs>
          <w:tab w:leader="none" w:pos="228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spacing w:after="0"/>
        <w:tabs>
          <w:tab w:leader="none" w:pos="680" w:val="left"/>
          <w:tab w:leader="none" w:pos="588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5, 2026</w:t>
      </w:r>
      <w:r>
        <w:rPr>
          <w:sz w:val="20"/>
          <w:szCs w:val="20"/>
          <w:color w:val="auto"/>
        </w:rPr>
        <w:tab/>
      </w:r>
      <w:r>
        <w:rPr>
          <w:rFonts w:ascii="Times New Roman" w:cs="Times New Roman" w:eastAsia="Times New Roman" w:hAnsi="Times New Roman"/>
          <w:sz w:val="12"/>
          <w:szCs w:val="12"/>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10795</wp:posOffset>
            </wp:positionV>
            <wp:extent cx="34004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Shane Trigg</w:t>
      </w:r>
    </w:p>
    <w:p>
      <w:pPr>
        <w:spacing w:after="0" w:line="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989" w:right="2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Tim Eaton, certify that:</w:t>
      </w:r>
    </w:p>
    <w:p>
      <w:pPr>
        <w:spacing w:after="0" w:line="96" w:lineRule="exact"/>
        <w:rPr>
          <w:sz w:val="20"/>
          <w:szCs w:val="20"/>
          <w:color w:val="auto"/>
        </w:rPr>
      </w:pPr>
    </w:p>
    <w:p>
      <w:pPr>
        <w:ind w:left="1120" w:hanging="1116"/>
        <w:spacing w:after="0"/>
        <w:tabs>
          <w:tab w:leader="none" w:pos="11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AppFolio, Inc.;</w:t>
      </w:r>
    </w:p>
    <w:p>
      <w:pPr>
        <w:spacing w:after="0" w:line="87" w:lineRule="exact"/>
        <w:rPr>
          <w:rFonts w:ascii="Times New Roman" w:cs="Times New Roman" w:eastAsia="Times New Roman" w:hAnsi="Times New Roman"/>
          <w:sz w:val="12"/>
          <w:szCs w:val="12"/>
          <w:color w:val="auto"/>
        </w:rPr>
      </w:pPr>
    </w:p>
    <w:p>
      <w:pPr>
        <w:ind w:left="1100" w:right="20" w:hanging="1096"/>
        <w:spacing w:after="0" w:line="248" w:lineRule="auto"/>
        <w:tabs>
          <w:tab w:leader="none" w:pos="1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2"/>
          <w:szCs w:val="12"/>
          <w:color w:val="auto"/>
        </w:rPr>
      </w:pPr>
    </w:p>
    <w:p>
      <w:pPr>
        <w:ind w:left="2300" w:right="20" w:hanging="568"/>
        <w:spacing w:after="0" w:line="248" w:lineRule="auto"/>
        <w:tabs>
          <w:tab w:leader="none" w:pos="23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2"/>
          <w:szCs w:val="12"/>
          <w:color w:val="auto"/>
        </w:rPr>
      </w:pPr>
    </w:p>
    <w:p>
      <w:pPr>
        <w:ind w:left="2300" w:right="300" w:hanging="568"/>
        <w:spacing w:after="0" w:line="275" w:lineRule="auto"/>
        <w:tabs>
          <w:tab w:leader="none" w:pos="2300" w:val="left"/>
        </w:tabs>
        <w:numPr>
          <w:ilvl w:val="1"/>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1"/>
          <w:szCs w:val="11"/>
          <w:color w:val="auto"/>
        </w:rPr>
      </w:pPr>
    </w:p>
    <w:p>
      <w:pPr>
        <w:ind w:left="2300" w:right="20" w:hanging="568"/>
        <w:spacing w:after="0" w:line="236" w:lineRule="auto"/>
        <w:tabs>
          <w:tab w:leader="none" w:pos="23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left="2300" w:right="20" w:hanging="568"/>
        <w:spacing w:after="0" w:line="248" w:lineRule="auto"/>
        <w:tabs>
          <w:tab w:leader="none" w:pos="230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2"/>
          <w:szCs w:val="12"/>
          <w:color w:val="auto"/>
        </w:rPr>
      </w:pPr>
    </w:p>
    <w:p>
      <w:pPr>
        <w:ind w:left="1100" w:right="20" w:hanging="1096"/>
        <w:spacing w:after="0" w:line="236" w:lineRule="auto"/>
        <w:tabs>
          <w:tab w:leader="none" w:pos="110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2"/>
          <w:szCs w:val="12"/>
          <w:color w:val="auto"/>
        </w:rPr>
      </w:pPr>
    </w:p>
    <w:p>
      <w:pPr>
        <w:ind w:left="2400" w:right="20" w:hanging="650"/>
        <w:spacing w:after="0" w:line="236" w:lineRule="auto"/>
        <w:tabs>
          <w:tab w:leader="none" w:pos="2400" w:val="left"/>
        </w:tabs>
        <w:numPr>
          <w:ilvl w:val="2"/>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2400" w:hanging="650"/>
        <w:spacing w:after="0"/>
        <w:tabs>
          <w:tab w:leader="none" w:pos="2400" w:val="left"/>
        </w:tabs>
        <w:numPr>
          <w:ilvl w:val="2"/>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700" w:val="left"/>
          <w:tab w:leader="none" w:pos="590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5, 2026</w:t>
      </w:r>
      <w:r>
        <w:rPr>
          <w:sz w:val="20"/>
          <w:szCs w:val="20"/>
          <w:color w:val="auto"/>
        </w:rPr>
        <w:tab/>
      </w:r>
      <w:r>
        <w:rPr>
          <w:rFonts w:ascii="Times New Roman" w:cs="Times New Roman" w:eastAsia="Times New Roman" w:hAnsi="Times New Roman"/>
          <w:sz w:val="12"/>
          <w:szCs w:val="12"/>
          <w:color w:val="auto"/>
        </w:rPr>
        <w:t>/s/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10795</wp:posOffset>
            </wp:positionV>
            <wp:extent cx="341757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Tim Eaton</w:t>
      </w:r>
    </w:p>
    <w:p>
      <w:pPr>
        <w:spacing w:after="0" w:line="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0"/>
          </w:cols>
          <w:pgMar w:left="300" w:top="989" w:right="2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 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following certifications are hereby made in connection with the Annual Report on Form 10-K of AppFolio, Inc. (the “Company”) for the period ended December 31, 2025, as filed with the Securities and Exchange Commission on the date hereof (the “Report”):</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February 5, 2026</w:t>
            </w:r>
          </w:p>
        </w:tc>
        <w:tc>
          <w:tcPr>
            <w:tcW w:w="234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Shane Trigg</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Shane Trigg</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36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 Tim Eaton,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8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February 5, 2026</w:t>
            </w:r>
          </w:p>
        </w:tc>
        <w:tc>
          <w:tcPr>
            <w:tcW w:w="234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Tim Eaton</w:t>
            </w:r>
          </w:p>
        </w:tc>
      </w:tr>
      <w:tr>
        <w:trPr>
          <w:trHeight w:val="140"/>
        </w:trPr>
        <w:tc>
          <w:tcPr>
            <w:tcW w:w="5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Tim Eaton</w:t>
            </w:r>
          </w:p>
        </w:tc>
      </w:tr>
      <w:tr>
        <w:trPr>
          <w:trHeight w:val="155"/>
        </w:trPr>
        <w:tc>
          <w:tcPr>
            <w:tcW w:w="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 w:lineRule="exact"/>
        <w:rPr>
          <w:sz w:val="20"/>
          <w:szCs w:val="20"/>
          <w:color w:val="auto"/>
        </w:rPr>
      </w:pPr>
    </w:p>
    <w:sectPr>
      <w:pgSz w:w="11900" w:h="16838" w:orient="portrait"/>
      <w:cols w:equalWidth="0" w:num="1">
        <w:col w:w="11300"/>
      </w:cols>
      <w:pgMar w:left="300" w:top="115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4"/>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1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Roman"/>
      <w:start w:val="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99" Type="http://schemas.openxmlformats.org/officeDocument/2006/relationships/hyperlink" Target="https://www.sec.gov/Archives/edgar/data/1433195/000143319515000003/exhibit3163015.htm" TargetMode="External"/><Relationship Id="rId100" Type="http://schemas.openxmlformats.org/officeDocument/2006/relationships/hyperlink" Target="https://www.sec.gov/Archives/edgar/data/1433195/000143319520000061/a63020exhibit31.htm" TargetMode="External"/><Relationship Id="rId101" Type="http://schemas.openxmlformats.org/officeDocument/2006/relationships/hyperlink" Target="https://www.sec.gov/Archives/edgar/data/1433195/000119312515213095/d907976dex41.htm" TargetMode="External"/><Relationship Id="rId102" Type="http://schemas.openxmlformats.org/officeDocument/2006/relationships/hyperlink" Target="https://www.sec.gov/Archives/edgar/data/1433195/000143319525000013/exhibit43descriptionofca.htm" TargetMode="External"/><Relationship Id="rId103" Type="http://schemas.openxmlformats.org/officeDocument/2006/relationships/hyperlink" Target="https://www.sec.gov/Archives/edgar/data/1433195/000143319519000085/exhibit10150castilianl.htm" TargetMode="External"/><Relationship Id="rId104" Type="http://schemas.openxmlformats.org/officeDocument/2006/relationships/hyperlink" Target="https://www.sec.gov/Archives/edgar/data/1433195/000143319519000085/exhibit10270castilianl.htm" TargetMode="External"/><Relationship Id="rId105" Type="http://schemas.openxmlformats.org/officeDocument/2006/relationships/hyperlink" Target="https://www.sec.gov/Archives/edgar/data/1433195/000143319519000085/exhibit10390castilianl.htm" TargetMode="External"/><Relationship Id="rId106" Type="http://schemas.openxmlformats.org/officeDocument/2006/relationships/hyperlink" Target="https://www.sec.gov/Archives/edgar/data/1433195/000143319522000023/a123121ex104-50castilianfi.htm" TargetMode="External"/><Relationship Id="rId107" Type="http://schemas.openxmlformats.org/officeDocument/2006/relationships/hyperlink" Target="https://www.sec.gov/Archives/edgar/data/1433195/000143319522000023/a123121ex105-70castilianfi.htm" TargetMode="External"/><Relationship Id="rId108" Type="http://schemas.openxmlformats.org/officeDocument/2006/relationships/hyperlink" Target="https://www.sec.gov/Archives/edgar/data/1433195/000143319522000023/a123121ex106-90castilianfi.htm" TargetMode="External"/><Relationship Id="rId109" Type="http://schemas.openxmlformats.org/officeDocument/2006/relationships/hyperlink" Target="https://www.sec.gov/Archives/edgar/data/1433195/000143319523000126/a93023exhibit103.htm" TargetMode="External"/><Relationship Id="rId110" Type="http://schemas.openxmlformats.org/officeDocument/2006/relationships/hyperlink" Target="https://www.sec.gov/Archives/edgar/data/1433195/000119312515213095/d907976dex104.htm" TargetMode="External"/><Relationship Id="rId111" Type="http://schemas.openxmlformats.org/officeDocument/2006/relationships/hyperlink" Target="https://www.sec.gov/Archives/edgar/data/1433195/000143319522000023/a123121ex10162015rsugranta.htm" TargetMode="External"/><Relationship Id="rId112" Type="http://schemas.openxmlformats.org/officeDocument/2006/relationships/hyperlink" Target="https://www.sec.gov/Archives/edgar/data/1433195/000143319522000023/a123121ex10172015rsugranta.htm" TargetMode="External"/><Relationship Id="rId113" Type="http://schemas.openxmlformats.org/officeDocument/2006/relationships/hyperlink" Target="https://www.sec.gov/Archives/edgar/data/1433195/000143319522000023/a123121ex10182015appfoliop.htm" TargetMode="External"/><Relationship Id="rId114" Type="http://schemas.openxmlformats.org/officeDocument/2006/relationships/hyperlink" Target="https://www.sec.gov/Archives/edgar/data/1433195/000143319524000106/exhibit1012025omnibusinc.htm" TargetMode="External"/><Relationship Id="rId115" Type="http://schemas.openxmlformats.org/officeDocument/2006/relationships/hyperlink" Target="https://www.sec.gov/Archives/edgar/data/1433195/000143319525000013/a1013rsugrantagreementne.htm" TargetMode="External"/><Relationship Id="rId116" Type="http://schemas.openxmlformats.org/officeDocument/2006/relationships/hyperlink" Target="https://www.sec.gov/Archives/edgar/data/1433195/000143319525000013/a1014rsugrantagreementre.htm" TargetMode="External"/><Relationship Id="rId119" Type="http://schemas.openxmlformats.org/officeDocument/2006/relationships/hyperlink" Target="https://www.sec.gov/Archives/edgar/data/1433195/000143319525000013/a1015prsugrantagreement.htm" TargetMode="External"/><Relationship Id="rId120" Type="http://schemas.openxmlformats.org/officeDocument/2006/relationships/hyperlink" Target="https://www.sec.gov/Archives/edgar/data/1433195/000143319524000106/exhibit1022025employeest.htm" TargetMode="External"/><Relationship Id="rId121" Type="http://schemas.openxmlformats.org/officeDocument/2006/relationships/hyperlink" Target="https://www.sec.gov/Archives/edgar/data/1433195/000143319523000053/exhibit101randall_transiti.htm" TargetMode="External"/><Relationship Id="rId122" Type="http://schemas.openxmlformats.org/officeDocument/2006/relationships/hyperlink" Target="https://www.sec.gov/Archives/edgar/data/1433195/000143319523000053/exhibit102triggaremploymen.htm" TargetMode="External"/><Relationship Id="rId123" Type="http://schemas.openxmlformats.org/officeDocument/2006/relationships/hyperlink" Target="https://www.sec.gov/Archives/edgar/data/1433195/000143319521000106/a93021ex101faysiengoonempl.htm" TargetMode="External"/><Relationship Id="rId124" Type="http://schemas.openxmlformats.org/officeDocument/2006/relationships/hyperlink" Target="https://www.sec.gov/Archives/edgar/data/1433195/000143319524000145/fsg-separationagreementf.htm" TargetMode="External"/><Relationship Id="rId125" Type="http://schemas.openxmlformats.org/officeDocument/2006/relationships/hyperlink" Target="https://www.sec.gov/Archives/edgar/data/1433195/000143319525000105/timeatonemploymentagreem.htm" TargetMode="External"/><Relationship Id="rId126" Type="http://schemas.openxmlformats.org/officeDocument/2006/relationships/hyperlink" Target="https://www.sec.gov/Archives/edgar/data/1433195/000143319525000013/mattmazzaemploymentagree.htm" TargetMode="External"/><Relationship Id="rId127" Type="http://schemas.openxmlformats.org/officeDocument/2006/relationships/hyperlink" Target="https://www.sec.gov/Archives/edgar/data/1433195/000143319522000023/a123121ex1019nonemployeedi.htm" TargetMode="External"/><Relationship Id="rId128" Type="http://schemas.openxmlformats.org/officeDocument/2006/relationships/hyperlink" Target="https://www.sec.gov/Archives/edgar/data/1433195/000143319525000055/firstamendmenttonon-empl.htm" TargetMode="External"/><Relationship Id="rId129" Type="http://schemas.openxmlformats.org/officeDocument/2006/relationships/hyperlink" Target="https://www.sec.gov/Archives/edgar/data/1433195/000143319522000023/a123121ex10202022deferrale.htm" TargetMode="External"/><Relationship Id="rId130" Type="http://schemas.openxmlformats.org/officeDocument/2006/relationships/hyperlink" Target="https://www.sec.gov/Archives/edgar/data/1433195/000143319525000013/a123124exhibit1023for10-k.htm" TargetMode="External"/><Relationship Id="rId131" Type="http://schemas.openxmlformats.org/officeDocument/2006/relationships/hyperlink" Target="https://www.sec.gov/Archives/edgar/data/1433195/000143319524000125/appfolioliveeasy-mergera.htm" TargetMode="External"/><Relationship Id="rId132" Type="http://schemas.openxmlformats.org/officeDocument/2006/relationships/hyperlink" Target="https://www.sec.gov/Archives/edgar/data/1433195/000143319525000134/pnc-appfolioxcreditagree.htm" TargetMode="External"/><Relationship Id="rId135" Type="http://schemas.openxmlformats.org/officeDocument/2006/relationships/hyperlink" Target="https://www.sec.gov/Archives/edgar/data/1433195/000143319524000023/a123123ex971executivecomp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2026-02-05T15:31:08Z</dcterms:created>
  <dcterms:modified xsi:type="dcterms:W3CDTF">2026-02-05T15:31:08Z</dcterms:modified>
</cp:coreProperties>
</file>